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Exchange Act of 1934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w:t>
      </w:r>
    </w:p>
    <w:p>
      <w:pPr>
        <w:spacing w:after="0" w:line="200" w:lineRule="exact"/>
        <w:rPr>
          <w:sz w:val="24"/>
          <w:szCs w:val="24"/>
          <w:color w:val="auto"/>
        </w:rPr>
      </w:pPr>
    </w:p>
    <w:p>
      <w:pPr>
        <w:spacing w:after="0" w:line="258" w:lineRule="exact"/>
        <w:rPr>
          <w:sz w:val="24"/>
          <w:szCs w:val="24"/>
          <w:color w:val="auto"/>
        </w:rPr>
      </w:pPr>
    </w:p>
    <w:p>
      <w:pPr>
        <w:ind w:left="1240" w:hanging="640"/>
        <w:spacing w:after="0"/>
        <w:tabs>
          <w:tab w:leader="none" w:pos="124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4"/>
          <w:szCs w:val="14"/>
          <w:color w:val="auto"/>
        </w:rPr>
        <w:t>Filed by the Registrant</w:t>
      </w:r>
    </w:p>
    <w:p>
      <w:pPr>
        <w:spacing w:after="0" w:line="66" w:lineRule="exact"/>
        <w:rPr>
          <w:sz w:val="24"/>
          <w:szCs w:val="24"/>
          <w:color w:val="auto"/>
        </w:rPr>
      </w:pPr>
    </w:p>
    <w:p>
      <w:pPr>
        <w:ind w:left="1240" w:hanging="640"/>
        <w:spacing w:after="0"/>
        <w:tabs>
          <w:tab w:leader="none" w:pos="124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Filed by a Party other than the Registrant</w:t>
      </w:r>
    </w:p>
    <w:p>
      <w:pPr>
        <w:spacing w:after="0" w:line="275" w:lineRule="exact"/>
        <w:rPr>
          <w:sz w:val="24"/>
          <w:szCs w:val="24"/>
          <w:color w:val="auto"/>
        </w:rPr>
      </w:pPr>
    </w:p>
    <w:p>
      <w:pPr>
        <w:ind w:left="600"/>
        <w:spacing w:after="0"/>
        <w:rPr>
          <w:sz w:val="20"/>
          <w:szCs w:val="20"/>
          <w:color w:val="auto"/>
        </w:rPr>
      </w:pPr>
      <w:r>
        <w:rPr>
          <w:rFonts w:ascii="Arial" w:cs="Arial" w:eastAsia="Arial" w:hAnsi="Arial"/>
          <w:sz w:val="14"/>
          <w:szCs w:val="14"/>
          <w:color w:val="auto"/>
        </w:rPr>
        <w:t>Check the appropriate box:</w:t>
      </w:r>
    </w:p>
    <w:p>
      <w:pPr>
        <w:spacing w:after="0" w:line="96" w:lineRule="exact"/>
        <w:rPr>
          <w:sz w:val="24"/>
          <w:szCs w:val="24"/>
          <w:color w:val="auto"/>
        </w:rPr>
      </w:pPr>
    </w:p>
    <w:p>
      <w:pPr>
        <w:ind w:left="1240" w:hanging="640"/>
        <w:spacing w:after="0"/>
        <w:tabs>
          <w:tab w:leader="none" w:pos="124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72" w:lineRule="exact"/>
        <w:rPr>
          <w:rFonts w:ascii="MS PGothic" w:cs="MS PGothic" w:eastAsia="MS PGothic" w:hAnsi="MS PGothic"/>
          <w:sz w:val="18"/>
          <w:szCs w:val="18"/>
          <w:color w:val="auto"/>
        </w:rPr>
      </w:pPr>
    </w:p>
    <w:p>
      <w:pPr>
        <w:ind w:left="1240" w:hanging="640"/>
        <w:spacing w:after="0"/>
        <w:tabs>
          <w:tab w:leader="none" w:pos="1240" w:val="left"/>
        </w:tabs>
        <w:numPr>
          <w:ilvl w:val="0"/>
          <w:numId w:val="3"/>
        </w:numPr>
        <w:rPr>
          <w:rFonts w:ascii="MS PGothic" w:cs="MS PGothic" w:eastAsia="MS PGothic" w:hAnsi="MS PGothic"/>
          <w:sz w:val="18"/>
          <w:szCs w:val="18"/>
          <w:color w:val="auto"/>
        </w:rPr>
      </w:pPr>
      <w:r>
        <w:rPr>
          <w:rFonts w:ascii="Arial" w:cs="Arial" w:eastAsia="Arial" w:hAnsi="Arial"/>
          <w:sz w:val="14"/>
          <w:szCs w:val="14"/>
          <w:b w:val="1"/>
          <w:bCs w:val="1"/>
          <w:color w:val="auto"/>
        </w:rPr>
        <w:t>Confidential, For Use of the Commission Only (as permitted by Rule 14a-6(e)(2))</w:t>
      </w:r>
    </w:p>
    <w:p>
      <w:pPr>
        <w:spacing w:after="0" w:line="72" w:lineRule="exact"/>
        <w:rPr>
          <w:sz w:val="24"/>
          <w:szCs w:val="24"/>
          <w:color w:val="auto"/>
        </w:rPr>
      </w:pPr>
    </w:p>
    <w:p>
      <w:pPr>
        <w:ind w:left="1240" w:hanging="640"/>
        <w:spacing w:after="0"/>
        <w:tabs>
          <w:tab w:leader="none" w:pos="1240" w:val="left"/>
        </w:tabs>
        <w:numPr>
          <w:ilvl w:val="0"/>
          <w:numId w:val="4"/>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72" w:lineRule="exact"/>
        <w:rPr>
          <w:sz w:val="24"/>
          <w:szCs w:val="24"/>
          <w:color w:val="auto"/>
        </w:rPr>
      </w:pPr>
    </w:p>
    <w:p>
      <w:pPr>
        <w:ind w:left="1240" w:hanging="640"/>
        <w:spacing w:after="0"/>
        <w:tabs>
          <w:tab w:leader="none" w:pos="1240"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72" w:lineRule="exact"/>
        <w:rPr>
          <w:rFonts w:ascii="MS PGothic" w:cs="MS PGothic" w:eastAsia="MS PGothic" w:hAnsi="MS PGothic"/>
          <w:sz w:val="18"/>
          <w:szCs w:val="18"/>
          <w:color w:val="auto"/>
        </w:rPr>
      </w:pPr>
    </w:p>
    <w:p>
      <w:pPr>
        <w:ind w:left="1240" w:hanging="640"/>
        <w:spacing w:after="0"/>
        <w:tabs>
          <w:tab w:leader="none" w:pos="1240"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325755</wp:posOffset>
            </wp:positionV>
            <wp:extent cx="1285875"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231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Lockheed Martin Corporation</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Registrant as Specified in its Charter)</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85" w:lineRule="exact"/>
        <w:rPr>
          <w:sz w:val="24"/>
          <w:szCs w:val="24"/>
          <w:color w:val="auto"/>
        </w:rPr>
      </w:pPr>
    </w:p>
    <w:p>
      <w:pPr>
        <w:ind w:left="600"/>
        <w:spacing w:after="0"/>
        <w:rPr>
          <w:sz w:val="20"/>
          <w:szCs w:val="20"/>
          <w:color w:val="auto"/>
        </w:rPr>
      </w:pPr>
      <w:r>
        <w:rPr>
          <w:rFonts w:ascii="Arial" w:cs="Arial" w:eastAsia="Arial" w:hAnsi="Arial"/>
          <w:sz w:val="14"/>
          <w:szCs w:val="14"/>
          <w:color w:val="auto"/>
        </w:rPr>
        <w:t>Payment of Filing Fee (Check all boxes that apply):</w:t>
      </w:r>
    </w:p>
    <w:p>
      <w:pPr>
        <w:spacing w:after="0" w:line="150" w:lineRule="exact"/>
        <w:rPr>
          <w:sz w:val="24"/>
          <w:szCs w:val="24"/>
          <w:color w:val="auto"/>
        </w:rPr>
      </w:pPr>
    </w:p>
    <w:p>
      <w:pPr>
        <w:ind w:left="1240" w:hanging="64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4"/>
          <w:szCs w:val="14"/>
          <w:color w:val="auto"/>
        </w:rPr>
        <w:t>No fee required</w:t>
      </w:r>
    </w:p>
    <w:p>
      <w:pPr>
        <w:spacing w:after="0" w:line="72" w:lineRule="exact"/>
        <w:rPr>
          <w:sz w:val="24"/>
          <w:szCs w:val="24"/>
          <w:color w:val="auto"/>
        </w:rPr>
      </w:pPr>
    </w:p>
    <w:p>
      <w:pPr>
        <w:ind w:left="1240" w:hanging="640"/>
        <w:spacing w:after="0"/>
        <w:tabs>
          <w:tab w:leader="none" w:pos="1240" w:val="left"/>
        </w:tabs>
        <w:numPr>
          <w:ilvl w:val="0"/>
          <w:numId w:val="7"/>
        </w:numPr>
        <w:rPr>
          <w:rFonts w:ascii="MS PGothic" w:cs="MS PGothic" w:eastAsia="MS PGothic" w:hAnsi="MS PGothic"/>
          <w:sz w:val="18"/>
          <w:szCs w:val="18"/>
          <w:color w:val="auto"/>
        </w:rPr>
      </w:pPr>
      <w:r>
        <w:rPr>
          <w:rFonts w:ascii="Arial" w:cs="Arial" w:eastAsia="Arial" w:hAnsi="Arial"/>
          <w:sz w:val="14"/>
          <w:szCs w:val="14"/>
          <w:color w:val="auto"/>
        </w:rPr>
        <w:t>Fee paid previously with preliminary materials</w:t>
      </w:r>
    </w:p>
    <w:p>
      <w:pPr>
        <w:spacing w:after="0" w:line="18" w:lineRule="exact"/>
        <w:rPr>
          <w:rFonts w:ascii="MS PGothic" w:cs="MS PGothic" w:eastAsia="MS PGothic" w:hAnsi="MS PGothic"/>
          <w:sz w:val="18"/>
          <w:szCs w:val="18"/>
          <w:color w:val="auto"/>
        </w:rPr>
      </w:pPr>
    </w:p>
    <w:p>
      <w:pPr>
        <w:ind w:left="1240" w:hanging="640"/>
        <w:spacing w:after="0"/>
        <w:tabs>
          <w:tab w:leader="none" w:pos="1240" w:val="left"/>
        </w:tabs>
        <w:numPr>
          <w:ilvl w:val="0"/>
          <w:numId w:val="7"/>
        </w:numPr>
        <w:rPr>
          <w:rFonts w:ascii="MS PGothic" w:cs="MS PGothic" w:eastAsia="MS PGothic" w:hAnsi="MS PGothic"/>
          <w:sz w:val="18"/>
          <w:szCs w:val="18"/>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1067435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0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8996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3"/>
          <w:szCs w:val="43"/>
          <w:color w:val="003478"/>
        </w:rPr>
        <w:t>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46355</wp:posOffset>
            </wp:positionV>
            <wp:extent cx="2863215"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63215" cy="68580"/>
                    </a:xfrm>
                    <a:prstGeom prst="rect">
                      <a:avLst/>
                    </a:prstGeom>
                    <a:noFill/>
                  </pic:spPr>
                </pic:pic>
              </a:graphicData>
            </a:graphic>
          </wp:anchor>
        </w:drawing>
      </w:r>
    </w:p>
    <w:p>
      <w:pPr>
        <w:sectPr>
          <w:pgSz w:w="11900" w:h="16838" w:orient="portrait"/>
          <w:cols w:equalWidth="0" w:num="1">
            <w:col w:w="11160"/>
          </w:cols>
          <w:pgMar w:left="320" w:top="1300" w:right="419" w:bottom="1440" w:gutter="0" w:footer="0" w:header="0"/>
        </w:sectPr>
      </w:pPr>
    </w:p>
    <w:p>
      <w:pPr>
        <w:spacing w:after="0" w:line="76" w:lineRule="exact"/>
        <w:rPr>
          <w:sz w:val="20"/>
          <w:szCs w:val="20"/>
          <w:color w:val="auto"/>
        </w:rPr>
      </w:pPr>
    </w:p>
    <w:p>
      <w:pPr>
        <w:ind w:left="20"/>
        <w:spacing w:after="0"/>
        <w:rPr>
          <w:sz w:val="20"/>
          <w:szCs w:val="20"/>
          <w:color w:val="auto"/>
        </w:rPr>
      </w:pPr>
      <w:r>
        <w:rPr>
          <w:rFonts w:ascii="Arial" w:cs="Arial" w:eastAsia="Arial" w:hAnsi="Arial"/>
          <w:sz w:val="22"/>
          <w:szCs w:val="22"/>
          <w:color w:val="003478"/>
        </w:rPr>
        <w:t>Voting Matters and Board Recommendations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003478"/>
              </w:rPr>
              <w:t>Proposal 1</w:t>
            </w:r>
          </w:p>
        </w:tc>
        <w:tc>
          <w:tcPr>
            <w:tcW w:w="3720" w:type="dxa"/>
            <w:vAlign w:val="bottom"/>
            <w:tcBorders>
              <w:top w:val="single" w:sz="8" w:color="auto"/>
            </w:tcBorders>
          </w:tcPr>
          <w:p>
            <w:pPr>
              <w:ind w:left="260"/>
              <w:spacing w:after="0"/>
              <w:rPr>
                <w:sz w:val="20"/>
                <w:szCs w:val="20"/>
                <w:color w:val="auto"/>
              </w:rPr>
            </w:pPr>
            <w:r>
              <w:rPr>
                <w:rFonts w:ascii="Calibri" w:cs="Calibri" w:eastAsia="Calibri" w:hAnsi="Calibri"/>
                <w:sz w:val="17"/>
                <w:szCs w:val="17"/>
                <w:color w:val="auto"/>
              </w:rPr>
              <w:t>Electon of 13 Directors</w:t>
            </w:r>
          </w:p>
        </w:tc>
        <w:tc>
          <w:tcPr>
            <w:tcW w:w="1560" w:type="dxa"/>
            <w:vAlign w:val="bottom"/>
            <w:tcBorders>
              <w:top w:val="single" w:sz="8" w:color="auto"/>
            </w:tcBorders>
          </w:tcPr>
          <w:p>
            <w:pPr>
              <w:ind w:left="500"/>
              <w:spacing w:after="0"/>
              <w:rPr>
                <w:sz w:val="20"/>
                <w:szCs w:val="20"/>
                <w:color w:val="auto"/>
              </w:rPr>
            </w:pPr>
            <w:r>
              <w:rPr>
                <w:rFonts w:ascii="Arial" w:cs="Arial" w:eastAsia="Arial" w:hAnsi="Arial"/>
                <w:sz w:val="20"/>
                <w:szCs w:val="20"/>
                <w:color w:val="003478"/>
              </w:rPr>
              <w:t>FOR</w:t>
            </w:r>
          </w:p>
        </w:tc>
        <w:tc>
          <w:tcPr>
            <w:tcW w:w="0" w:type="dxa"/>
            <w:vAlign w:val="bottom"/>
          </w:tcPr>
          <w:p>
            <w:pPr>
              <w:spacing w:after="0"/>
              <w:rPr>
                <w:sz w:val="1"/>
                <w:szCs w:val="1"/>
                <w:color w:val="auto"/>
              </w:rPr>
            </w:pPr>
          </w:p>
        </w:tc>
      </w:tr>
      <w:tr>
        <w:trPr>
          <w:trHeight w:val="512"/>
        </w:trPr>
        <w:tc>
          <w:tcPr>
            <w:tcW w:w="1240" w:type="dxa"/>
            <w:vAlign w:val="bottom"/>
          </w:tcPr>
          <w:p>
            <w:pPr>
              <w:spacing w:after="0"/>
              <w:rPr>
                <w:sz w:val="24"/>
                <w:szCs w:val="24"/>
                <w:color w:val="auto"/>
              </w:rPr>
            </w:pPr>
          </w:p>
        </w:tc>
        <w:tc>
          <w:tcPr>
            <w:tcW w:w="3720" w:type="dxa"/>
            <w:vAlign w:val="bottom"/>
            <w:vMerge w:val="restart"/>
          </w:tcPr>
          <w:p>
            <w:pPr>
              <w:ind w:left="640"/>
              <w:spacing w:after="0"/>
              <w:rPr>
                <w:sz w:val="20"/>
                <w:szCs w:val="20"/>
                <w:color w:val="auto"/>
              </w:rPr>
            </w:pPr>
            <w:r>
              <w:rPr>
                <w:rFonts w:ascii="Calibri" w:cs="Calibri" w:eastAsia="Calibri" w:hAnsi="Calibri"/>
                <w:sz w:val="14"/>
                <w:szCs w:val="14"/>
                <w:color w:val="003478"/>
              </w:rPr>
              <w:t>See page 6 for further informaton</w:t>
            </w:r>
            <w:r>
              <w:rPr>
                <w:rFonts w:ascii="Calibri" w:cs="Calibri" w:eastAsia="Calibri" w:hAnsi="Calibri"/>
                <w:sz w:val="13"/>
                <w:szCs w:val="13"/>
                <w:color w:val="003478"/>
              </w:rPr>
              <w:t>.</w:t>
            </w:r>
          </w:p>
        </w:tc>
        <w:tc>
          <w:tcPr>
            <w:tcW w:w="1560" w:type="dxa"/>
            <w:vAlign w:val="bottom"/>
          </w:tcPr>
          <w:p>
            <w:pPr>
              <w:ind w:left="100"/>
              <w:spacing w:after="0"/>
              <w:rPr>
                <w:sz w:val="20"/>
                <w:szCs w:val="20"/>
                <w:color w:val="auto"/>
              </w:rPr>
            </w:pPr>
            <w:r>
              <w:rPr>
                <w:rFonts w:ascii="Calibri" w:cs="Calibri" w:eastAsia="Calibri" w:hAnsi="Calibri"/>
                <w:sz w:val="18"/>
                <w:szCs w:val="18"/>
                <w:b w:val="1"/>
                <w:bCs w:val="1"/>
                <w:color w:val="auto"/>
              </w:rPr>
              <w:t>each Director</w:t>
            </w:r>
          </w:p>
        </w:tc>
        <w:tc>
          <w:tcPr>
            <w:tcW w:w="0" w:type="dxa"/>
            <w:vAlign w:val="bottom"/>
          </w:tcPr>
          <w:p>
            <w:pPr>
              <w:spacing w:after="0"/>
              <w:rPr>
                <w:sz w:val="1"/>
                <w:szCs w:val="1"/>
                <w:color w:val="auto"/>
              </w:rPr>
            </w:pPr>
          </w:p>
        </w:tc>
      </w:tr>
      <w:tr>
        <w:trPr>
          <w:trHeight w:val="58"/>
        </w:trPr>
        <w:tc>
          <w:tcPr>
            <w:tcW w:w="124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1560" w:type="dxa"/>
            <w:vAlign w:val="bottom"/>
            <w:vMerge w:val="restart"/>
          </w:tcPr>
          <w:p>
            <w:pPr>
              <w:ind w:left="100"/>
              <w:spacing w:after="0" w:line="216" w:lineRule="exact"/>
              <w:rPr>
                <w:sz w:val="20"/>
                <w:szCs w:val="20"/>
                <w:color w:val="auto"/>
              </w:rPr>
            </w:pPr>
            <w:r>
              <w:rPr>
                <w:rFonts w:ascii="Calibri" w:cs="Calibri" w:eastAsia="Calibri" w:hAnsi="Calibri"/>
                <w:sz w:val="18"/>
                <w:szCs w:val="18"/>
                <w:b w:val="1"/>
                <w:bCs w:val="1"/>
                <w:color w:val="auto"/>
              </w:rPr>
              <w:t>Nominee</w:t>
            </w:r>
          </w:p>
        </w:tc>
        <w:tc>
          <w:tcPr>
            <w:tcW w:w="0" w:type="dxa"/>
            <w:vAlign w:val="bottom"/>
          </w:tcPr>
          <w:p>
            <w:pPr>
              <w:spacing w:after="0"/>
              <w:rPr>
                <w:sz w:val="1"/>
                <w:szCs w:val="1"/>
                <w:color w:val="auto"/>
              </w:rPr>
            </w:pPr>
          </w:p>
        </w:tc>
      </w:tr>
      <w:tr>
        <w:trPr>
          <w:trHeight w:val="158"/>
        </w:trPr>
        <w:tc>
          <w:tcPr>
            <w:tcW w:w="12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1240" w:type="dxa"/>
            <w:vAlign w:val="bottom"/>
            <w:tcBorders>
              <w:bottom w:val="single" w:sz="8" w:color="auto"/>
            </w:tcBorders>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3" w:lineRule="exact"/>
              <w:rPr>
                <w:sz w:val="20"/>
                <w:szCs w:val="20"/>
                <w:color w:val="auto"/>
              </w:rPr>
            </w:pPr>
            <w:r>
              <w:rPr>
                <w:rFonts w:ascii="Arial" w:cs="Arial" w:eastAsia="Arial" w:hAnsi="Arial"/>
                <w:sz w:val="20"/>
                <w:szCs w:val="20"/>
                <w:color w:val="003478"/>
              </w:rPr>
              <w:t>Proposal 2</w:t>
            </w:r>
          </w:p>
        </w:tc>
        <w:tc>
          <w:tcPr>
            <w:tcW w:w="3720" w:type="dxa"/>
            <w:vAlign w:val="bottom"/>
          </w:tcPr>
          <w:p>
            <w:pPr>
              <w:ind w:left="260"/>
              <w:spacing w:after="0" w:line="183" w:lineRule="exact"/>
              <w:rPr>
                <w:sz w:val="20"/>
                <w:szCs w:val="20"/>
                <w:color w:val="auto"/>
              </w:rPr>
            </w:pPr>
            <w:r>
              <w:rPr>
                <w:rFonts w:ascii="Calibri" w:cs="Calibri" w:eastAsia="Calibri" w:hAnsi="Calibri"/>
                <w:sz w:val="17"/>
                <w:szCs w:val="17"/>
                <w:color w:val="auto"/>
              </w:rPr>
              <w:t>Advisory Vote to Approve the Compensaton of</w:t>
            </w:r>
          </w:p>
        </w:tc>
        <w:tc>
          <w:tcPr>
            <w:tcW w:w="1560" w:type="dxa"/>
            <w:vAlign w:val="bottom"/>
          </w:tcPr>
          <w:p>
            <w:pPr>
              <w:ind w:left="500"/>
              <w:spacing w:after="0" w:line="183" w:lineRule="exact"/>
              <w:rPr>
                <w:sz w:val="20"/>
                <w:szCs w:val="20"/>
                <w:color w:val="auto"/>
              </w:rPr>
            </w:pPr>
            <w:r>
              <w:rPr>
                <w:rFonts w:ascii="Arial" w:cs="Arial" w:eastAsia="Arial" w:hAnsi="Arial"/>
                <w:sz w:val="20"/>
                <w:szCs w:val="20"/>
                <w:color w:val="003478"/>
              </w:rPr>
              <w:t>FOR</w:t>
            </w: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3720" w:type="dxa"/>
            <w:vAlign w:val="bottom"/>
          </w:tcPr>
          <w:p>
            <w:pPr>
              <w:ind w:left="260"/>
              <w:spacing w:after="0" w:line="205" w:lineRule="exact"/>
              <w:rPr>
                <w:sz w:val="20"/>
                <w:szCs w:val="20"/>
                <w:color w:val="auto"/>
              </w:rPr>
            </w:pPr>
            <w:r>
              <w:rPr>
                <w:rFonts w:ascii="Calibri" w:cs="Calibri" w:eastAsia="Calibri" w:hAnsi="Calibri"/>
                <w:sz w:val="17"/>
                <w:szCs w:val="17"/>
                <w:color w:val="auto"/>
              </w:rPr>
              <w:t>our Named Executve Ofcers (Say-on-Pay)</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-831850</wp:posOffset>
            </wp:positionV>
            <wp:extent cx="120015"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-471805</wp:posOffset>
            </wp:positionV>
            <wp:extent cx="85725"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-163195</wp:posOffset>
            </wp:positionV>
            <wp:extent cx="120015"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27" w:lineRule="exact"/>
        <w:rPr>
          <w:sz w:val="20"/>
          <w:szCs w:val="20"/>
          <w:color w:val="auto"/>
        </w:rPr>
      </w:pPr>
    </w:p>
    <w:p>
      <w:pPr>
        <w:ind w:left="1880"/>
        <w:spacing w:after="0"/>
        <w:rPr>
          <w:sz w:val="20"/>
          <w:szCs w:val="20"/>
          <w:color w:val="auto"/>
        </w:rPr>
      </w:pPr>
      <w:r>
        <w:rPr>
          <w:rFonts w:ascii="Calibri" w:cs="Calibri" w:eastAsia="Calibri" w:hAnsi="Calibri"/>
          <w:sz w:val="14"/>
          <w:szCs w:val="14"/>
          <w:color w:val="003478"/>
        </w:rPr>
        <w:t>See page 39 for further informaton</w:t>
      </w:r>
      <w:r>
        <w:rPr>
          <w:rFonts w:ascii="Calibri" w:cs="Calibri" w:eastAsia="Calibri" w:hAnsi="Calibri"/>
          <w:sz w:val="13"/>
          <w:szCs w:val="13"/>
          <w:color w:val="00347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-106680</wp:posOffset>
            </wp:positionV>
            <wp:extent cx="85725"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40" w:type="dxa"/>
            <w:vAlign w:val="bottom"/>
            <w:tcBorders>
              <w:top w:val="single" w:sz="8" w:color="auto"/>
            </w:tcBorders>
          </w:tcPr>
          <w:p>
            <w:pPr>
              <w:ind w:left="20"/>
              <w:spacing w:after="0" w:line="203" w:lineRule="exact"/>
              <w:rPr>
                <w:sz w:val="20"/>
                <w:szCs w:val="20"/>
                <w:color w:val="auto"/>
              </w:rPr>
            </w:pPr>
            <w:r>
              <w:rPr>
                <w:rFonts w:ascii="Arial" w:cs="Arial" w:eastAsia="Arial" w:hAnsi="Arial"/>
                <w:sz w:val="20"/>
                <w:szCs w:val="20"/>
                <w:color w:val="003478"/>
              </w:rPr>
              <w:t>Proposal 3</w:t>
            </w:r>
          </w:p>
        </w:tc>
        <w:tc>
          <w:tcPr>
            <w:tcW w:w="3760" w:type="dxa"/>
            <w:vAlign w:val="bottom"/>
            <w:tcBorders>
              <w:top w:val="single" w:sz="8" w:color="auto"/>
            </w:tcBorders>
          </w:tcPr>
          <w:p>
            <w:pPr>
              <w:ind w:left="260"/>
              <w:spacing w:after="0" w:line="203" w:lineRule="exact"/>
              <w:rPr>
                <w:sz w:val="20"/>
                <w:szCs w:val="20"/>
                <w:color w:val="auto"/>
              </w:rPr>
            </w:pPr>
            <w:r>
              <w:rPr>
                <w:rFonts w:ascii="Calibri" w:cs="Calibri" w:eastAsia="Calibri" w:hAnsi="Calibri"/>
                <w:sz w:val="17"/>
                <w:szCs w:val="17"/>
                <w:color w:val="auto"/>
              </w:rPr>
              <w:t>Advisory Vote on the Frequency of</w:t>
            </w:r>
          </w:p>
        </w:tc>
        <w:tc>
          <w:tcPr>
            <w:tcW w:w="1520" w:type="dxa"/>
            <w:vAlign w:val="bottom"/>
            <w:tcBorders>
              <w:top w:val="single" w:sz="8" w:color="auto"/>
            </w:tcBorders>
          </w:tcPr>
          <w:p>
            <w:pPr>
              <w:ind w:left="460"/>
              <w:spacing w:after="0" w:line="203" w:lineRule="exact"/>
              <w:rPr>
                <w:sz w:val="20"/>
                <w:szCs w:val="20"/>
                <w:color w:val="auto"/>
              </w:rPr>
            </w:pPr>
            <w:r>
              <w:rPr>
                <w:rFonts w:ascii="Arial" w:cs="Arial" w:eastAsia="Arial" w:hAnsi="Arial"/>
                <w:sz w:val="20"/>
                <w:szCs w:val="20"/>
                <w:color w:val="003478"/>
              </w:rPr>
              <w:t>FOR</w:t>
            </w:r>
          </w:p>
        </w:tc>
      </w:tr>
      <w:tr>
        <w:trPr>
          <w:trHeight w:val="148"/>
        </w:trPr>
        <w:tc>
          <w:tcPr>
            <w:tcW w:w="1240" w:type="dxa"/>
            <w:vAlign w:val="bottom"/>
          </w:tcPr>
          <w:p>
            <w:pPr>
              <w:spacing w:after="0"/>
              <w:rPr>
                <w:sz w:val="12"/>
                <w:szCs w:val="12"/>
                <w:color w:val="auto"/>
              </w:rPr>
            </w:pPr>
          </w:p>
        </w:tc>
        <w:tc>
          <w:tcPr>
            <w:tcW w:w="3760" w:type="dxa"/>
            <w:vAlign w:val="bottom"/>
          </w:tcPr>
          <w:p>
            <w:pPr>
              <w:ind w:left="260"/>
              <w:spacing w:after="0" w:line="149" w:lineRule="exact"/>
              <w:rPr>
                <w:sz w:val="20"/>
                <w:szCs w:val="20"/>
                <w:color w:val="auto"/>
              </w:rPr>
            </w:pPr>
            <w:r>
              <w:rPr>
                <w:rFonts w:ascii="Calibri" w:cs="Calibri" w:eastAsia="Calibri" w:hAnsi="Calibri"/>
                <w:sz w:val="16"/>
                <w:szCs w:val="16"/>
                <w:color w:val="auto"/>
              </w:rPr>
              <w:t>Votes to Approve the Compensaton of our</w:t>
            </w:r>
          </w:p>
        </w:tc>
        <w:tc>
          <w:tcPr>
            <w:tcW w:w="1520" w:type="dxa"/>
            <w:vAlign w:val="bottom"/>
          </w:tcPr>
          <w:p>
            <w:pPr>
              <w:spacing w:after="0"/>
              <w:rPr>
                <w:sz w:val="12"/>
                <w:szCs w:val="12"/>
                <w:color w:val="auto"/>
              </w:rPr>
            </w:pPr>
          </w:p>
        </w:tc>
      </w:tr>
      <w:tr>
        <w:trPr>
          <w:trHeight w:val="204"/>
        </w:trPr>
        <w:tc>
          <w:tcPr>
            <w:tcW w:w="1240" w:type="dxa"/>
            <w:vAlign w:val="bottom"/>
          </w:tcPr>
          <w:p>
            <w:pPr>
              <w:spacing w:after="0"/>
              <w:rPr>
                <w:sz w:val="17"/>
                <w:szCs w:val="17"/>
                <w:color w:val="auto"/>
              </w:rPr>
            </w:pPr>
          </w:p>
        </w:tc>
        <w:tc>
          <w:tcPr>
            <w:tcW w:w="3760" w:type="dxa"/>
            <w:vAlign w:val="bottom"/>
          </w:tcPr>
          <w:p>
            <w:pPr>
              <w:ind w:left="260"/>
              <w:spacing w:after="0" w:line="205" w:lineRule="exact"/>
              <w:rPr>
                <w:sz w:val="20"/>
                <w:szCs w:val="20"/>
                <w:color w:val="auto"/>
              </w:rPr>
            </w:pPr>
            <w:r>
              <w:rPr>
                <w:rFonts w:ascii="Calibri" w:cs="Calibri" w:eastAsia="Calibri" w:hAnsi="Calibri"/>
                <w:sz w:val="17"/>
                <w:szCs w:val="17"/>
                <w:color w:val="auto"/>
              </w:rPr>
              <w:t>Named Executve Ofcers</w:t>
            </w:r>
          </w:p>
        </w:tc>
        <w:tc>
          <w:tcPr>
            <w:tcW w:w="15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-257175</wp:posOffset>
            </wp:positionV>
            <wp:extent cx="120015"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jc w:val="right"/>
        <w:ind w:right="800"/>
        <w:spacing w:after="0" w:line="238" w:lineRule="auto"/>
        <w:rPr>
          <w:sz w:val="20"/>
          <w:szCs w:val="20"/>
          <w:color w:val="auto"/>
        </w:rPr>
      </w:pPr>
      <w:r>
        <w:rPr>
          <w:rFonts w:ascii="Calibri" w:cs="Calibri" w:eastAsia="Calibri" w:hAnsi="Calibri"/>
          <w:sz w:val="18"/>
          <w:szCs w:val="18"/>
          <w:b w:val="1"/>
          <w:bCs w:val="1"/>
          <w:color w:val="auto"/>
        </w:rPr>
        <w:t>One Year</w:t>
      </w:r>
    </w:p>
    <w:p>
      <w:pPr>
        <w:spacing w:after="0" w:line="251" w:lineRule="exact"/>
        <w:rPr>
          <w:sz w:val="20"/>
          <w:szCs w:val="20"/>
          <w:color w:val="auto"/>
        </w:rPr>
      </w:pPr>
    </w:p>
    <w:p>
      <w:pPr>
        <w:ind w:left="1880"/>
        <w:spacing w:after="0"/>
        <w:rPr>
          <w:sz w:val="20"/>
          <w:szCs w:val="20"/>
          <w:color w:val="auto"/>
        </w:rPr>
      </w:pPr>
      <w:r>
        <w:rPr>
          <w:rFonts w:ascii="Calibri" w:cs="Calibri" w:eastAsia="Calibri" w:hAnsi="Calibri"/>
          <w:sz w:val="14"/>
          <w:szCs w:val="14"/>
          <w:color w:val="003478"/>
        </w:rPr>
        <w:t>See page 40 for further informaton</w:t>
      </w:r>
      <w:r>
        <w:rPr>
          <w:rFonts w:ascii="Calibri" w:cs="Calibri" w:eastAsia="Calibri" w:hAnsi="Calibri"/>
          <w:sz w:val="13"/>
          <w:szCs w:val="13"/>
          <w:color w:val="00347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-97790</wp:posOffset>
            </wp:positionV>
            <wp:extent cx="8572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40" w:type="dxa"/>
            <w:vAlign w:val="bottom"/>
            <w:tcBorders>
              <w:top w:val="single" w:sz="8" w:color="auto"/>
            </w:tcBorders>
          </w:tcPr>
          <w:p>
            <w:pPr>
              <w:ind w:left="20"/>
              <w:spacing w:after="0" w:line="203" w:lineRule="exact"/>
              <w:rPr>
                <w:sz w:val="20"/>
                <w:szCs w:val="20"/>
                <w:color w:val="auto"/>
              </w:rPr>
            </w:pPr>
            <w:r>
              <w:rPr>
                <w:rFonts w:ascii="Arial" w:cs="Arial" w:eastAsia="Arial" w:hAnsi="Arial"/>
                <w:sz w:val="20"/>
                <w:szCs w:val="20"/>
                <w:color w:val="003478"/>
              </w:rPr>
              <w:t>Proposal 4</w:t>
            </w:r>
          </w:p>
        </w:tc>
        <w:tc>
          <w:tcPr>
            <w:tcW w:w="3980" w:type="dxa"/>
            <w:vAlign w:val="bottom"/>
            <w:tcBorders>
              <w:top w:val="single" w:sz="8" w:color="auto"/>
            </w:tcBorders>
          </w:tcPr>
          <w:p>
            <w:pPr>
              <w:ind w:left="260"/>
              <w:spacing w:after="0" w:line="203" w:lineRule="exact"/>
              <w:rPr>
                <w:sz w:val="20"/>
                <w:szCs w:val="20"/>
                <w:color w:val="auto"/>
              </w:rPr>
            </w:pPr>
            <w:r>
              <w:rPr>
                <w:rFonts w:ascii="Calibri" w:cs="Calibri" w:eastAsia="Calibri" w:hAnsi="Calibri"/>
                <w:sz w:val="17"/>
                <w:szCs w:val="17"/>
                <w:color w:val="auto"/>
              </w:rPr>
              <w:t>Ratfcaton of the Appointment of Ernst &amp; Young</w:t>
            </w:r>
          </w:p>
        </w:tc>
        <w:tc>
          <w:tcPr>
            <w:tcW w:w="1300" w:type="dxa"/>
            <w:vAlign w:val="bottom"/>
            <w:tcBorders>
              <w:top w:val="single" w:sz="8" w:color="auto"/>
            </w:tcBorders>
          </w:tcPr>
          <w:p>
            <w:pPr>
              <w:ind w:left="240"/>
              <w:spacing w:after="0" w:line="203" w:lineRule="exact"/>
              <w:rPr>
                <w:sz w:val="20"/>
                <w:szCs w:val="20"/>
                <w:color w:val="auto"/>
              </w:rPr>
            </w:pPr>
            <w:r>
              <w:rPr>
                <w:rFonts w:ascii="Arial" w:cs="Arial" w:eastAsia="Arial" w:hAnsi="Arial"/>
                <w:sz w:val="20"/>
                <w:szCs w:val="20"/>
                <w:color w:val="003478"/>
              </w:rPr>
              <w:t>FOR</w:t>
            </w:r>
          </w:p>
        </w:tc>
      </w:tr>
      <w:tr>
        <w:trPr>
          <w:trHeight w:val="204"/>
        </w:trPr>
        <w:tc>
          <w:tcPr>
            <w:tcW w:w="1240" w:type="dxa"/>
            <w:vAlign w:val="bottom"/>
          </w:tcPr>
          <w:p>
            <w:pPr>
              <w:spacing w:after="0"/>
              <w:rPr>
                <w:sz w:val="17"/>
                <w:szCs w:val="17"/>
                <w:color w:val="auto"/>
              </w:rPr>
            </w:pPr>
          </w:p>
        </w:tc>
        <w:tc>
          <w:tcPr>
            <w:tcW w:w="3980" w:type="dxa"/>
            <w:vAlign w:val="bottom"/>
          </w:tcPr>
          <w:p>
            <w:pPr>
              <w:ind w:left="260"/>
              <w:spacing w:after="0" w:line="205" w:lineRule="exact"/>
              <w:rPr>
                <w:sz w:val="20"/>
                <w:szCs w:val="20"/>
                <w:color w:val="auto"/>
              </w:rPr>
            </w:pPr>
            <w:r>
              <w:rPr>
                <w:rFonts w:ascii="Calibri" w:cs="Calibri" w:eastAsia="Calibri" w:hAnsi="Calibri"/>
                <w:sz w:val="17"/>
                <w:szCs w:val="17"/>
                <w:color w:val="auto"/>
              </w:rPr>
              <w:t>LLP as our Independent Auditors for 2023</w:t>
            </w:r>
          </w:p>
        </w:tc>
        <w:tc>
          <w:tcPr>
            <w:tcW w:w="13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-163195</wp:posOffset>
            </wp:positionV>
            <wp:extent cx="12001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327" w:lineRule="exact"/>
        <w:rPr>
          <w:sz w:val="20"/>
          <w:szCs w:val="20"/>
          <w:color w:val="auto"/>
        </w:rPr>
      </w:pPr>
    </w:p>
    <w:p>
      <w:pPr>
        <w:ind w:left="1880"/>
        <w:spacing w:after="0"/>
        <w:rPr>
          <w:sz w:val="20"/>
          <w:szCs w:val="20"/>
          <w:color w:val="auto"/>
        </w:rPr>
      </w:pPr>
      <w:r>
        <w:rPr>
          <w:rFonts w:ascii="Calibri" w:cs="Calibri" w:eastAsia="Calibri" w:hAnsi="Calibri"/>
          <w:sz w:val="14"/>
          <w:szCs w:val="14"/>
          <w:color w:val="003478"/>
        </w:rPr>
        <w:t>See page 79 for further informaton</w:t>
      </w:r>
      <w:r>
        <w:rPr>
          <w:rFonts w:ascii="Calibri" w:cs="Calibri" w:eastAsia="Calibri" w:hAnsi="Calibri"/>
          <w:sz w:val="13"/>
          <w:szCs w:val="13"/>
          <w:color w:val="00347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-98425</wp:posOffset>
            </wp:positionV>
            <wp:extent cx="8572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Borders>
              <w:top w:val="single" w:sz="8" w:color="auto"/>
            </w:tcBorders>
          </w:tcPr>
          <w:p>
            <w:pPr>
              <w:ind w:left="20"/>
              <w:spacing w:after="0" w:line="216" w:lineRule="exact"/>
              <w:rPr>
                <w:sz w:val="20"/>
                <w:szCs w:val="20"/>
                <w:color w:val="auto"/>
              </w:rPr>
            </w:pPr>
            <w:r>
              <w:rPr>
                <w:rFonts w:ascii="Arial" w:cs="Arial" w:eastAsia="Arial" w:hAnsi="Arial"/>
                <w:sz w:val="20"/>
                <w:szCs w:val="20"/>
                <w:color w:val="auto"/>
              </w:rPr>
              <w:t>Proposals 5 -</w:t>
            </w:r>
          </w:p>
        </w:tc>
        <w:tc>
          <w:tcPr>
            <w:tcW w:w="3820" w:type="dxa"/>
            <w:vAlign w:val="bottom"/>
            <w:tcBorders>
              <w:top w:val="single" w:sz="8" w:color="auto"/>
            </w:tcBorders>
          </w:tcPr>
          <w:p>
            <w:pPr>
              <w:ind w:left="160"/>
              <w:spacing w:after="0"/>
              <w:rPr>
                <w:sz w:val="20"/>
                <w:szCs w:val="20"/>
                <w:color w:val="auto"/>
              </w:rPr>
            </w:pPr>
            <w:r>
              <w:rPr>
                <w:rFonts w:ascii="Calibri" w:cs="Calibri" w:eastAsia="Calibri" w:hAnsi="Calibri"/>
                <w:sz w:val="17"/>
                <w:szCs w:val="17"/>
                <w:color w:val="auto"/>
              </w:rPr>
              <w:t>Stockholder Proposals as described in the proxy</w:t>
            </w:r>
          </w:p>
        </w:tc>
        <w:tc>
          <w:tcPr>
            <w:tcW w:w="1360" w:type="dxa"/>
            <w:vAlign w:val="bottom"/>
            <w:tcBorders>
              <w:top w:val="single" w:sz="8" w:color="auto"/>
            </w:tcBorders>
          </w:tcPr>
          <w:p>
            <w:pPr>
              <w:ind w:left="300"/>
              <w:spacing w:after="0" w:line="216" w:lineRule="exact"/>
              <w:rPr>
                <w:sz w:val="20"/>
                <w:szCs w:val="20"/>
                <w:color w:val="auto"/>
              </w:rPr>
            </w:pPr>
            <w:r>
              <w:rPr>
                <w:rFonts w:ascii="Arial" w:cs="Arial" w:eastAsia="Arial" w:hAnsi="Arial"/>
                <w:sz w:val="20"/>
                <w:szCs w:val="20"/>
                <w:color w:val="auto"/>
              </w:rPr>
              <w:t>AGAINST</w:t>
            </w:r>
          </w:p>
        </w:tc>
        <w:tc>
          <w:tcPr>
            <w:tcW w:w="0" w:type="dxa"/>
            <w:vAlign w:val="bottom"/>
          </w:tcPr>
          <w:p>
            <w:pPr>
              <w:spacing w:after="0"/>
              <w:rPr>
                <w:sz w:val="1"/>
                <w:szCs w:val="1"/>
                <w:color w:val="auto"/>
              </w:rPr>
            </w:pPr>
          </w:p>
        </w:tc>
      </w:tr>
      <w:tr>
        <w:trPr>
          <w:trHeight w:val="204"/>
        </w:trPr>
        <w:tc>
          <w:tcPr>
            <w:tcW w:w="1340" w:type="dxa"/>
            <w:vAlign w:val="bottom"/>
            <w:vMerge w:val="restart"/>
          </w:tcPr>
          <w:p>
            <w:pPr>
              <w:ind w:left="20"/>
              <w:spacing w:after="0"/>
              <w:rPr>
                <w:sz w:val="20"/>
                <w:szCs w:val="20"/>
                <w:color w:val="auto"/>
              </w:rPr>
            </w:pPr>
            <w:r>
              <w:rPr>
                <w:rFonts w:ascii="Arial" w:cs="Arial" w:eastAsia="Arial" w:hAnsi="Arial"/>
                <w:sz w:val="20"/>
                <w:szCs w:val="20"/>
                <w:color w:val="auto"/>
              </w:rPr>
              <w:t>7</w:t>
            </w:r>
          </w:p>
        </w:tc>
        <w:tc>
          <w:tcPr>
            <w:tcW w:w="3820" w:type="dxa"/>
            <w:vAlign w:val="bottom"/>
          </w:tcPr>
          <w:p>
            <w:pPr>
              <w:ind w:left="160"/>
              <w:spacing w:after="0" w:line="205" w:lineRule="exact"/>
              <w:rPr>
                <w:sz w:val="20"/>
                <w:szCs w:val="20"/>
                <w:color w:val="auto"/>
              </w:rPr>
            </w:pPr>
            <w:r>
              <w:rPr>
                <w:rFonts w:ascii="Calibri" w:cs="Calibri" w:eastAsia="Calibri" w:hAnsi="Calibri"/>
                <w:sz w:val="17"/>
                <w:szCs w:val="17"/>
                <w:color w:val="auto"/>
              </w:rPr>
              <w:t>statement, if properly presented</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34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-228600</wp:posOffset>
            </wp:positionV>
            <wp:extent cx="120015"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400"/>
        <w:spacing w:after="0" w:line="319" w:lineRule="auto"/>
        <w:rPr>
          <w:sz w:val="20"/>
          <w:szCs w:val="20"/>
          <w:color w:val="auto"/>
        </w:rPr>
      </w:pPr>
      <w:r>
        <w:rPr>
          <w:rFonts w:ascii="Arial" w:cs="Arial" w:eastAsia="Arial" w:hAnsi="Arial"/>
          <w:sz w:val="25"/>
          <w:szCs w:val="25"/>
          <w:b w:val="1"/>
          <w:bCs w:val="1"/>
          <w:color w:val="003478"/>
        </w:rPr>
        <w:t>Lockheed Martin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-528955</wp:posOffset>
            </wp:positionV>
            <wp:extent cx="2863215" cy="386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63215" cy="38658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3478"/>
        </w:rPr>
        <w:t>When:</w:t>
      </w:r>
    </w:p>
    <w:p>
      <w:pPr>
        <w:spacing w:after="0" w:line="28" w:lineRule="exact"/>
        <w:rPr>
          <w:sz w:val="20"/>
          <w:szCs w:val="20"/>
          <w:color w:val="auto"/>
        </w:rPr>
      </w:pPr>
    </w:p>
    <w:p>
      <w:pPr>
        <w:spacing w:after="0"/>
        <w:rPr>
          <w:sz w:val="20"/>
          <w:szCs w:val="20"/>
          <w:color w:val="auto"/>
        </w:rPr>
      </w:pPr>
      <w:r>
        <w:rPr>
          <w:rFonts w:ascii="Calibri" w:cs="Calibri" w:eastAsia="Calibri" w:hAnsi="Calibri"/>
          <w:sz w:val="17"/>
          <w:szCs w:val="17"/>
          <w:color w:val="auto"/>
        </w:rPr>
        <w:t>Thursday, April 27, 2023, 9:00 a.m. EDT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003478"/>
        </w:rPr>
        <w:t>Live Webcast Access:</w:t>
      </w:r>
    </w:p>
    <w:p>
      <w:pPr>
        <w:spacing w:after="0" w:line="45" w:lineRule="exact"/>
        <w:rPr>
          <w:sz w:val="20"/>
          <w:szCs w:val="20"/>
          <w:color w:val="auto"/>
        </w:rPr>
      </w:pPr>
    </w:p>
    <w:p>
      <w:pPr>
        <w:ind w:right="780"/>
        <w:spacing w:after="0" w:line="248" w:lineRule="auto"/>
        <w:rPr>
          <w:sz w:val="20"/>
          <w:szCs w:val="20"/>
          <w:color w:val="auto"/>
        </w:rPr>
      </w:pPr>
      <w:r>
        <w:rPr>
          <w:rFonts w:ascii="Calibri" w:cs="Calibri" w:eastAsia="Calibri" w:hAnsi="Calibri"/>
          <w:sz w:val="17"/>
          <w:szCs w:val="17"/>
          <w:color w:val="auto"/>
        </w:rPr>
        <w:t xml:space="preserve">Online audio webcast at: </w:t>
      </w:r>
      <w:r>
        <w:rPr>
          <w:rFonts w:ascii="Calibri" w:cs="Calibri" w:eastAsia="Calibri" w:hAnsi="Calibri"/>
          <w:sz w:val="17"/>
          <w:szCs w:val="17"/>
          <w:b w:val="1"/>
          <w:bCs w:val="1"/>
          <w:i w:val="1"/>
          <w:iCs w:val="1"/>
          <w:color w:val="auto"/>
        </w:rPr>
        <w:t xml:space="preserve">www.meetnow.global/LMT2023 </w:t>
      </w:r>
      <w:r>
        <w:rPr>
          <w:rFonts w:ascii="Calibri" w:cs="Calibri" w:eastAsia="Calibri" w:hAnsi="Calibri"/>
          <w:sz w:val="17"/>
          <w:szCs w:val="17"/>
          <w:color w:val="auto"/>
        </w:rPr>
        <w:t>(You may log in</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beginning at 8:30 a.m. EDT)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3478"/>
        </w:rPr>
        <w:t>Who Can Vote:</w:t>
      </w:r>
    </w:p>
    <w:p>
      <w:pPr>
        <w:spacing w:after="0" w:line="45" w:lineRule="exact"/>
        <w:rPr>
          <w:sz w:val="20"/>
          <w:szCs w:val="20"/>
          <w:color w:val="auto"/>
        </w:rPr>
      </w:pPr>
    </w:p>
    <w:p>
      <w:pPr>
        <w:ind w:right="360"/>
        <w:spacing w:after="0" w:line="253" w:lineRule="auto"/>
        <w:rPr>
          <w:sz w:val="20"/>
          <w:szCs w:val="20"/>
          <w:color w:val="auto"/>
        </w:rPr>
      </w:pPr>
      <w:r>
        <w:rPr>
          <w:rFonts w:ascii="Calibri" w:cs="Calibri" w:eastAsia="Calibri" w:hAnsi="Calibri"/>
          <w:sz w:val="17"/>
          <w:szCs w:val="17"/>
          <w:color w:val="auto"/>
        </w:rPr>
        <w:t xml:space="preserve">Stockholders of record at the close of business on February 24, 2023 are enttled to vote. Whether or not you plan to atend the Annual Meetng, </w:t>
      </w:r>
      <w:r>
        <w:rPr>
          <w:rFonts w:ascii="Calibri" w:cs="Calibri" w:eastAsia="Calibri" w:hAnsi="Calibri"/>
          <w:sz w:val="17"/>
          <w:szCs w:val="17"/>
          <w:b w:val="1"/>
          <w:bCs w:val="1"/>
          <w:color w:val="auto"/>
        </w:rPr>
        <w:t>we encourage</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you to vote and submit your proxy in advance </w:t>
      </w:r>
      <w:r>
        <w:rPr>
          <w:rFonts w:ascii="Calibri" w:cs="Calibri" w:eastAsia="Calibri" w:hAnsi="Calibri"/>
          <w:sz w:val="17"/>
          <w:szCs w:val="17"/>
          <w:color w:val="auto"/>
        </w:rPr>
        <w:t>of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meetng by one of the methods described below. See Frequently Asked Questons beginning on page 91 for additonal informaton regarding accessing the Annual Meetng and how to vote your shares.</w:t>
      </w:r>
    </w:p>
    <w:p>
      <w:pPr>
        <w:spacing w:after="0" w:line="1084" w:lineRule="exact"/>
        <w:rPr>
          <w:sz w:val="20"/>
          <w:szCs w:val="20"/>
          <w:color w:val="auto"/>
        </w:rPr>
      </w:pPr>
    </w:p>
    <w:p>
      <w:pPr>
        <w:sectPr>
          <w:pgSz w:w="11900" w:h="16838" w:orient="portrait"/>
          <w:cols w:equalWidth="0" w:num="2">
            <w:col w:w="6520" w:space="380"/>
            <w:col w:w="4260"/>
          </w:cols>
          <w:pgMar w:left="320" w:top="1300" w:right="419" w:bottom="1440" w:gutter="0" w:footer="0" w:header="0"/>
          <w:type w:val="continuous"/>
        </w:sectPr>
      </w:pPr>
    </w:p>
    <w:p>
      <w:pPr>
        <w:ind w:left="1880"/>
        <w:spacing w:after="0"/>
        <w:rPr>
          <w:sz w:val="20"/>
          <w:szCs w:val="20"/>
          <w:color w:val="auto"/>
        </w:rPr>
      </w:pPr>
      <w:r>
        <w:rPr>
          <w:rFonts w:ascii="Calibri" w:cs="Calibri" w:eastAsia="Calibri" w:hAnsi="Calibri"/>
          <w:sz w:val="14"/>
          <w:szCs w:val="14"/>
          <w:color w:val="auto"/>
        </w:rPr>
        <w:t>See pages 82-90 for further informaton</w:t>
      </w:r>
      <w:r>
        <w:rPr>
          <w:rFonts w:ascii="Calibri" w:cs="Calibri" w:eastAsia="Calibri" w:hAnsi="Calibri"/>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41319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31945"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-106680</wp:posOffset>
            </wp:positionV>
            <wp:extent cx="8572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ectPr>
          <w:pgSz w:w="11900" w:h="16838" w:orient="portrait"/>
          <w:cols w:equalWidth="0" w:num="1">
            <w:col w:w="11160"/>
          </w:cols>
          <w:pgMar w:left="320" w:top="1300" w:right="41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20"/>
        <w:spacing w:after="0" w:line="254" w:lineRule="auto"/>
        <w:rPr>
          <w:sz w:val="20"/>
          <w:szCs w:val="20"/>
          <w:color w:val="auto"/>
        </w:rPr>
      </w:pPr>
      <w:r>
        <w:rPr>
          <w:rFonts w:ascii="Calibri" w:cs="Calibri" w:eastAsia="Calibri" w:hAnsi="Calibri"/>
          <w:sz w:val="17"/>
          <w:szCs w:val="17"/>
          <w:color w:val="auto"/>
        </w:rPr>
        <w:t>The 2023 Annual Meetng will be conducted exclusively online through a live audio webcast to facilitate stockholder atendance and to enable stockholders to partcipate fully and equally, regardless of size of holdings, resources or physical locaton. Our 2022 Annual Report, which is not part of the proxy solicitng materials, is enclosed if the proxy materials were mailed to you and is also available online at www.edocumentview.com/LMT. The proxy materials or a Notce of Internet Availability were frst sent to stockholders on or about March 14,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03478"/>
        </w:rPr>
        <w:t>How to Vote in Advance:</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20"/>
          <w:szCs w:val="20"/>
          <w:color w:val="003478"/>
        </w:rPr>
        <w:t>Via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-54610</wp:posOffset>
            </wp:positionV>
            <wp:extent cx="257175" cy="231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 cy="231775"/>
                    </a:xfrm>
                    <a:prstGeom prst="rect">
                      <a:avLst/>
                    </a:prstGeom>
                    <a:noFill/>
                  </pic:spPr>
                </pic:pic>
              </a:graphicData>
            </a:graphic>
          </wp:anchor>
        </w:drawing>
      </w:r>
    </w:p>
    <w:p>
      <w:pPr>
        <w:spacing w:after="0" w:line="11" w:lineRule="exact"/>
        <w:rPr>
          <w:sz w:val="20"/>
          <w:szCs w:val="20"/>
          <w:color w:val="auto"/>
        </w:rPr>
      </w:pPr>
    </w:p>
    <w:p>
      <w:pPr>
        <w:ind w:left="900" w:right="60"/>
        <w:spacing w:after="0" w:line="225" w:lineRule="auto"/>
        <w:rPr>
          <w:sz w:val="20"/>
          <w:szCs w:val="20"/>
          <w:color w:val="auto"/>
        </w:rPr>
      </w:pPr>
      <w:r>
        <w:rPr>
          <w:rFonts w:ascii="Calibri" w:cs="Calibri" w:eastAsia="Calibri" w:hAnsi="Calibri"/>
          <w:sz w:val="17"/>
          <w:szCs w:val="17"/>
          <w:color w:val="auto"/>
        </w:rPr>
        <w:t>At the website listed on the Notce of Internet Availability, proxy card or votng instructon form you received.</w:t>
      </w:r>
    </w:p>
    <w:p>
      <w:pPr>
        <w:spacing w:after="0" w:line="285" w:lineRule="exact"/>
        <w:rPr>
          <w:sz w:val="20"/>
          <w:szCs w:val="20"/>
          <w:color w:val="auto"/>
        </w:rPr>
      </w:pPr>
    </w:p>
    <w:p>
      <w:pPr>
        <w:sectPr>
          <w:pgSz w:w="11900" w:h="16838" w:orient="portrait"/>
          <w:cols w:equalWidth="0" w:num="2">
            <w:col w:w="6480" w:space="260"/>
            <w:col w:w="4420"/>
          </w:cols>
          <w:pgMar w:left="320" w:top="1300" w:right="419" w:bottom="1440" w:gutter="0" w:footer="0" w:header="0"/>
          <w:type w:val="continuous"/>
        </w:sectPr>
      </w:pPr>
    </w:p>
    <w:p>
      <w:pPr>
        <w:spacing w:after="0" w:line="134" w:lineRule="exact"/>
        <w:rPr>
          <w:sz w:val="20"/>
          <w:szCs w:val="20"/>
          <w:color w:val="auto"/>
        </w:rPr>
      </w:pPr>
    </w:p>
    <w:p>
      <w:pPr>
        <w:ind w:left="20" w:right="420"/>
        <w:spacing w:after="0" w:line="245" w:lineRule="auto"/>
        <w:rPr>
          <w:sz w:val="20"/>
          <w:szCs w:val="20"/>
          <w:color w:val="auto"/>
        </w:rPr>
      </w:pPr>
      <w:r>
        <w:rPr>
          <w:rFonts w:ascii="Calibri" w:cs="Calibri" w:eastAsia="Calibri" w:hAnsi="Calibri"/>
          <w:sz w:val="17"/>
          <w:szCs w:val="17"/>
          <w:color w:val="auto"/>
        </w:rPr>
        <w:t>We will consider the seven proposals above and any other maters that may properly come before the meetng.</w:t>
      </w:r>
    </w:p>
    <w:p>
      <w:pPr>
        <w:spacing w:after="0" w:line="116" w:lineRule="exact"/>
        <w:rPr>
          <w:sz w:val="20"/>
          <w:szCs w:val="20"/>
          <w:color w:val="auto"/>
        </w:rPr>
      </w:pPr>
    </w:p>
    <w:p>
      <w:pPr>
        <w:ind w:left="20" w:right="500"/>
        <w:spacing w:after="0" w:line="255" w:lineRule="auto"/>
        <w:rPr>
          <w:sz w:val="20"/>
          <w:szCs w:val="20"/>
          <w:color w:val="auto"/>
        </w:rPr>
      </w:pPr>
      <w:r>
        <w:rPr>
          <w:rFonts w:ascii="Calibri" w:cs="Calibri" w:eastAsia="Calibri" w:hAnsi="Calibri"/>
          <w:sz w:val="17"/>
          <w:szCs w:val="17"/>
          <w:color w:val="auto"/>
        </w:rPr>
        <w:t>Your vote is extremely important. Please vote at your earliest convenience to ensure the presence of a quorum at the meetng. Promptly votng your shares in accordance with the instructons you receive will save the expense of additonal solicitaton.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alibri" w:cs="Calibri" w:eastAsia="Calibri" w:hAnsi="Calibri"/>
          <w:sz w:val="17"/>
          <w:szCs w:val="17"/>
          <w:color w:val="002E6D"/>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1729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17295" cy="30861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003478"/>
        </w:rPr>
        <w:t>Maryanne R. Lavan</w:t>
      </w:r>
    </w:p>
    <w:p>
      <w:pPr>
        <w:spacing w:after="0" w:line="29" w:lineRule="exact"/>
        <w:rPr>
          <w:sz w:val="20"/>
          <w:szCs w:val="20"/>
          <w:color w:val="auto"/>
        </w:rPr>
      </w:pPr>
    </w:p>
    <w:p>
      <w:pPr>
        <w:ind w:right="2380"/>
        <w:spacing w:after="0" w:line="227" w:lineRule="auto"/>
        <w:rPr>
          <w:sz w:val="20"/>
          <w:szCs w:val="20"/>
          <w:color w:val="auto"/>
        </w:rPr>
      </w:pPr>
      <w:r>
        <w:rPr>
          <w:rFonts w:ascii="Calibri" w:cs="Calibri" w:eastAsia="Calibri" w:hAnsi="Calibri"/>
          <w:sz w:val="17"/>
          <w:szCs w:val="17"/>
          <w:color w:val="auto"/>
        </w:rPr>
        <w:t>Senior Vice President, General Counsel and Corporate Secretary March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003478"/>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-49530</wp:posOffset>
            </wp:positionV>
            <wp:extent cx="17145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257175"/>
                    </a:xfrm>
                    <a:prstGeom prst="rect">
                      <a:avLst/>
                    </a:prstGeom>
                    <a:noFill/>
                  </pic:spPr>
                </pic:pic>
              </a:graphicData>
            </a:graphic>
          </wp:anchor>
        </w:drawing>
      </w:r>
    </w:p>
    <w:p>
      <w:pPr>
        <w:spacing w:after="0" w:line="260" w:lineRule="auto"/>
        <w:rPr>
          <w:sz w:val="20"/>
          <w:szCs w:val="20"/>
          <w:color w:val="auto"/>
        </w:rPr>
      </w:pPr>
      <w:r>
        <w:rPr>
          <w:rFonts w:ascii="Calibri" w:cs="Calibri" w:eastAsia="Calibri" w:hAnsi="Calibri"/>
          <w:sz w:val="17"/>
          <w:szCs w:val="17"/>
          <w:color w:val="auto"/>
        </w:rPr>
        <w:t>Call the telephone number provided on the proxy card or votng instructon form you received.</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003478"/>
        </w:rPr>
        <w:t>By Mail:</w:t>
      </w:r>
    </w:p>
    <w:p>
      <w:pPr>
        <w:spacing w:after="0" w:line="31" w:lineRule="exact"/>
        <w:rPr>
          <w:sz w:val="20"/>
          <w:szCs w:val="20"/>
          <w:color w:val="auto"/>
        </w:rPr>
      </w:pPr>
    </w:p>
    <w:p>
      <w:pPr>
        <w:ind w:right="300"/>
        <w:spacing w:after="0" w:line="225" w:lineRule="auto"/>
        <w:rPr>
          <w:sz w:val="20"/>
          <w:szCs w:val="20"/>
          <w:color w:val="auto"/>
        </w:rPr>
      </w:pPr>
      <w:r>
        <w:rPr>
          <w:rFonts w:ascii="Calibri" w:cs="Calibri" w:eastAsia="Calibri" w:hAnsi="Calibri"/>
          <w:sz w:val="17"/>
          <w:szCs w:val="17"/>
          <w:color w:val="auto"/>
        </w:rPr>
        <w:t>Mark, date and sign your proxy card or votng instructon form and return it in the accompanying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-350520</wp:posOffset>
            </wp:positionV>
            <wp:extent cx="257175"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 cy="231775"/>
                    </a:xfrm>
                    <a:prstGeom prst="rect">
                      <a:avLst/>
                    </a:prstGeom>
                    <a:noFill/>
                  </pic:spPr>
                </pic:pic>
              </a:graphicData>
            </a:graphic>
          </wp:anchor>
        </w:drawing>
      </w:r>
    </w:p>
    <w:p>
      <w:pPr>
        <w:spacing w:after="0" w:line="1956" w:lineRule="exact"/>
        <w:rPr>
          <w:sz w:val="20"/>
          <w:szCs w:val="20"/>
          <w:color w:val="auto"/>
        </w:rPr>
      </w:pPr>
    </w:p>
    <w:p>
      <w:pPr>
        <w:sectPr>
          <w:pgSz w:w="11900" w:h="16838" w:orient="portrait"/>
          <w:cols w:equalWidth="0" w:num="2">
            <w:col w:w="6920" w:space="720"/>
            <w:col w:w="3520"/>
          </w:cols>
          <w:pgMar w:left="320" w:top="1300" w:right="419" w:bottom="1440" w:gutter="0" w:footer="0" w:header="0"/>
          <w:type w:val="continuous"/>
        </w:sect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5"/>
          <w:szCs w:val="15"/>
          <w:color w:val="003478"/>
        </w:rPr>
        <w:t>Important Notice Regarding the Availability of Proxy Materials for the Annual Meeting of Stockholders to be Held on April 27, 2023:</w:t>
      </w:r>
    </w:p>
    <w:p>
      <w:pPr>
        <w:spacing w:after="0" w:line="3"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The 2023 Proxy Statement and 2022 Annual Report are available at </w:t>
      </w:r>
      <w:r>
        <w:rPr>
          <w:rFonts w:ascii="Calibri" w:cs="Calibri" w:eastAsia="Calibri" w:hAnsi="Calibri"/>
          <w:sz w:val="17"/>
          <w:szCs w:val="17"/>
          <w:i w:val="1"/>
          <w:iCs w:val="1"/>
          <w:color w:val="auto"/>
        </w:rPr>
        <w:t>www.edocumentview.com/LMT</w:t>
      </w:r>
      <w:r>
        <w:rPr>
          <w:rFonts w:ascii="Calibri" w:cs="Calibri" w:eastAsia="Calibri" w:hAnsi="Calibri"/>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886460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0" w:right="4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3"/>
          <w:szCs w:val="43"/>
          <w:color w:val="003478"/>
        </w:rPr>
        <w:t>Letter from Your Board of Directors</w:t>
      </w:r>
    </w:p>
    <w:p>
      <w:pPr>
        <w:spacing w:after="0" w:line="299"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March 14, 2023</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0"/>
          <w:szCs w:val="20"/>
          <w:color w:val="003478"/>
        </w:rPr>
        <w:t>Dear Stockholders:</w:t>
      </w:r>
    </w:p>
    <w:p>
      <w:pPr>
        <w:spacing w:after="0" w:line="169" w:lineRule="exact"/>
        <w:rPr>
          <w:sz w:val="20"/>
          <w:szCs w:val="20"/>
          <w:color w:val="auto"/>
        </w:rPr>
      </w:pPr>
    </w:p>
    <w:p>
      <w:pPr>
        <w:ind w:left="20" w:right="120"/>
        <w:spacing w:after="0" w:line="255" w:lineRule="auto"/>
        <w:rPr>
          <w:sz w:val="20"/>
          <w:szCs w:val="20"/>
          <w:color w:val="auto"/>
        </w:rPr>
      </w:pPr>
      <w:r>
        <w:rPr>
          <w:rFonts w:ascii="Calibri" w:cs="Calibri" w:eastAsia="Calibri" w:hAnsi="Calibri"/>
          <w:sz w:val="17"/>
          <w:szCs w:val="17"/>
          <w:color w:val="auto"/>
        </w:rPr>
        <w:t>We hope you will join us at our virtual 2023 Annual Meetng of Stockholders on April 27, 2023. We encourage your atendance and engagement as we cover management and stockholder proposals as well as respond to your questons and comments.</w:t>
      </w:r>
    </w:p>
    <w:p>
      <w:pPr>
        <w:spacing w:after="0" w:line="122" w:lineRule="exact"/>
        <w:rPr>
          <w:sz w:val="20"/>
          <w:szCs w:val="20"/>
          <w:color w:val="auto"/>
        </w:rPr>
      </w:pPr>
    </w:p>
    <w:p>
      <w:pPr>
        <w:ind w:left="20"/>
        <w:spacing w:after="0" w:line="255" w:lineRule="auto"/>
        <w:rPr>
          <w:sz w:val="20"/>
          <w:szCs w:val="20"/>
          <w:color w:val="auto"/>
        </w:rPr>
      </w:pPr>
      <w:r>
        <w:rPr>
          <w:rFonts w:ascii="Calibri" w:cs="Calibri" w:eastAsia="Calibri" w:hAnsi="Calibri"/>
          <w:sz w:val="17"/>
          <w:szCs w:val="17"/>
          <w:color w:val="auto"/>
        </w:rPr>
        <w:t>As we embark on a journey of enterprise-wide transformaton and leadership in global security, we are commited to our company’s core values. These values inspire and unite our 116,000 teammates from diverse cultures and backgrounds across more than 30 countries. Every day, we work to meet the needs of the U.S. Government and its allies as we focus on deterrence through networked capabilites. Our customers’ need for joint all-domain operatons is shaping Lockheed Martn to be fast, agile and innovatve pathfnders to keep our customers “ahead of ready.”</w:t>
      </w:r>
    </w:p>
    <w:p>
      <w:pPr>
        <w:spacing w:after="0" w:line="108" w:lineRule="exact"/>
        <w:rPr>
          <w:sz w:val="20"/>
          <w:szCs w:val="20"/>
          <w:color w:val="auto"/>
        </w:rPr>
      </w:pPr>
    </w:p>
    <w:p>
      <w:pPr>
        <w:ind w:left="20" w:right="260"/>
        <w:spacing w:after="0" w:line="258" w:lineRule="auto"/>
        <w:rPr>
          <w:sz w:val="20"/>
          <w:szCs w:val="20"/>
          <w:color w:val="auto"/>
        </w:rPr>
      </w:pPr>
      <w:r>
        <w:rPr>
          <w:rFonts w:ascii="Calibri" w:cs="Calibri" w:eastAsia="Calibri" w:hAnsi="Calibri"/>
          <w:sz w:val="17"/>
          <w:szCs w:val="17"/>
          <w:color w:val="auto"/>
        </w:rPr>
        <w:t>We are acceleratng the delivery of 21st Century Security solutons to meet our customers’ hardest challenges. In this 2023 Proxy Statement, you will see we are doing this as responsible corporate citzens focused on positve outcomes and as global stewards for sustainable and ethical business practces.</w:t>
      </w:r>
    </w:p>
    <w:p>
      <w:pPr>
        <w:spacing w:after="0" w:line="107" w:lineRule="exact"/>
        <w:rPr>
          <w:sz w:val="20"/>
          <w:szCs w:val="20"/>
          <w:color w:val="auto"/>
        </w:rPr>
      </w:pPr>
    </w:p>
    <w:p>
      <w:pPr>
        <w:ind w:left="20" w:right="160"/>
        <w:spacing w:after="0" w:line="256" w:lineRule="auto"/>
        <w:rPr>
          <w:sz w:val="20"/>
          <w:szCs w:val="20"/>
          <w:color w:val="auto"/>
        </w:rPr>
      </w:pPr>
      <w:r>
        <w:rPr>
          <w:rFonts w:ascii="Calibri" w:cs="Calibri" w:eastAsia="Calibri" w:hAnsi="Calibri"/>
          <w:sz w:val="17"/>
          <w:szCs w:val="17"/>
          <w:color w:val="auto"/>
        </w:rPr>
        <w:t>We are confdent in our company’s strategy for long-term growth, which comes not only through contnuing to innovate and deliver for our customers, but also through the choices we make and the methods we use to accomplish our goals. As a Board, we actvely partnered with management to oversee progress in key areas aligned with our strategy and core values, and we are proud of the following 2022 achievements:</w:t>
      </w:r>
    </w:p>
    <w:p>
      <w:pPr>
        <w:spacing w:after="0" w:line="122" w:lineRule="exact"/>
        <w:rPr>
          <w:sz w:val="20"/>
          <w:szCs w:val="20"/>
          <w:color w:val="auto"/>
        </w:rPr>
      </w:pPr>
    </w:p>
    <w:p>
      <w:pPr>
        <w:ind w:left="260" w:right="20" w:hanging="153"/>
        <w:spacing w:after="0" w:line="247" w:lineRule="auto"/>
        <w:tabs>
          <w:tab w:leader="none" w:pos="253" w:val="left"/>
        </w:tabs>
        <w:numPr>
          <w:ilvl w:val="0"/>
          <w:numId w:val="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Customer Mission Success: </w:t>
      </w:r>
      <w:r>
        <w:rPr>
          <w:rFonts w:ascii="Calibri" w:cs="Calibri" w:eastAsia="Calibri" w:hAnsi="Calibri"/>
          <w:sz w:val="17"/>
          <w:szCs w:val="17"/>
          <w:color w:val="auto"/>
        </w:rPr>
        <w:t>We completed 94% of targeted Mission Success events. These are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events such as key deliveries, fight tests and demonstratons that we identfed at the beginning of the year as important to our customers and our program performance.</w:t>
      </w:r>
    </w:p>
    <w:p>
      <w:pPr>
        <w:spacing w:after="0" w:line="74" w:lineRule="exact"/>
        <w:rPr>
          <w:rFonts w:ascii="Calibri" w:cs="Calibri" w:eastAsia="Calibri" w:hAnsi="Calibri"/>
          <w:sz w:val="17"/>
          <w:szCs w:val="17"/>
          <w:color w:val="auto"/>
        </w:rPr>
      </w:pPr>
    </w:p>
    <w:p>
      <w:pPr>
        <w:ind w:left="260" w:hanging="153"/>
        <w:spacing w:after="0" w:line="255" w:lineRule="auto"/>
        <w:tabs>
          <w:tab w:leader="none" w:pos="253" w:val="left"/>
        </w:tabs>
        <w:numPr>
          <w:ilvl w:val="0"/>
          <w:numId w:val="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Stockholder Value: </w:t>
      </w:r>
      <w:r>
        <w:rPr>
          <w:rFonts w:ascii="Calibri" w:cs="Calibri" w:eastAsia="Calibri" w:hAnsi="Calibri"/>
          <w:sz w:val="17"/>
          <w:szCs w:val="17"/>
          <w:color w:val="auto"/>
        </w:rPr>
        <w:t>We created signifcant stockholder value, returning $10.9 billion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stockholders through dividend payments and share repurchases and achieving one- and three-year total stockholder returns of 40% and 36%, respectvely.</w:t>
      </w:r>
    </w:p>
    <w:p>
      <w:pPr>
        <w:spacing w:after="0" w:line="50" w:lineRule="exact"/>
        <w:rPr>
          <w:rFonts w:ascii="Calibri" w:cs="Calibri" w:eastAsia="Calibri" w:hAnsi="Calibri"/>
          <w:sz w:val="17"/>
          <w:szCs w:val="17"/>
          <w:color w:val="auto"/>
        </w:rPr>
      </w:pPr>
    </w:p>
    <w:p>
      <w:pPr>
        <w:ind w:left="260" w:hanging="153"/>
        <w:spacing w:after="0"/>
        <w:tabs>
          <w:tab w:leader="none" w:pos="260" w:val="left"/>
        </w:tabs>
        <w:numPr>
          <w:ilvl w:val="0"/>
          <w:numId w:val="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OneLM Transformaton (1LMX): </w:t>
      </w:r>
      <w:r>
        <w:rPr>
          <w:rFonts w:ascii="Calibri" w:cs="Calibri" w:eastAsia="Calibri" w:hAnsi="Calibri"/>
          <w:sz w:val="17"/>
          <w:szCs w:val="17"/>
          <w:color w:val="auto"/>
        </w:rPr>
        <w:t>We invested $400 million in digital and business transformaton as</w:t>
      </w:r>
    </w:p>
    <w:p>
      <w:pPr>
        <w:spacing w:after="0" w:line="25" w:lineRule="exact"/>
        <w:rPr>
          <w:rFonts w:ascii="Calibri" w:cs="Calibri" w:eastAsia="Calibri" w:hAnsi="Calibri"/>
          <w:sz w:val="17"/>
          <w:szCs w:val="17"/>
          <w:color w:val="auto"/>
        </w:rPr>
      </w:pPr>
    </w:p>
    <w:p>
      <w:pPr>
        <w:ind w:left="260" w:right="240"/>
        <w:spacing w:after="0" w:line="245" w:lineRule="auto"/>
        <w:rPr>
          <w:rFonts w:ascii="Calibri" w:cs="Calibri" w:eastAsia="Calibri" w:hAnsi="Calibri"/>
          <w:sz w:val="17"/>
          <w:szCs w:val="17"/>
          <w:color w:val="auto"/>
        </w:rPr>
      </w:pPr>
      <w:r>
        <w:rPr>
          <w:rFonts w:ascii="Calibri" w:cs="Calibri" w:eastAsia="Calibri" w:hAnsi="Calibri"/>
          <w:sz w:val="17"/>
          <w:szCs w:val="17"/>
          <w:color w:val="auto"/>
        </w:rPr>
        <w:t>part of a mult-year program to transform our processes and deliver capability to our customers that will enhance our speed, agility, insights and value.</w:t>
      </w:r>
    </w:p>
    <w:p>
      <w:pPr>
        <w:spacing w:after="0" w:line="75" w:lineRule="exact"/>
        <w:rPr>
          <w:rFonts w:ascii="Calibri" w:cs="Calibri" w:eastAsia="Calibri" w:hAnsi="Calibri"/>
          <w:sz w:val="17"/>
          <w:szCs w:val="17"/>
          <w:color w:val="auto"/>
        </w:rPr>
      </w:pPr>
    </w:p>
    <w:p>
      <w:pPr>
        <w:ind w:left="260" w:right="80" w:hanging="153"/>
        <w:spacing w:after="0" w:line="255" w:lineRule="auto"/>
        <w:tabs>
          <w:tab w:leader="none" w:pos="253" w:val="left"/>
        </w:tabs>
        <w:numPr>
          <w:ilvl w:val="0"/>
          <w:numId w:val="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R&amp;D and Capital Investments: </w:t>
      </w:r>
      <w:r>
        <w:rPr>
          <w:rFonts w:ascii="Calibri" w:cs="Calibri" w:eastAsia="Calibri" w:hAnsi="Calibri"/>
          <w:sz w:val="17"/>
          <w:szCs w:val="17"/>
          <w:color w:val="auto"/>
        </w:rPr>
        <w:t>We increased our company-funded research and development and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capital investments to meet emerging challenges and help accelerate the delivery of capabilites our customers need.</w:t>
      </w:r>
    </w:p>
    <w:p>
      <w:pPr>
        <w:spacing w:after="0" w:line="54" w:lineRule="exact"/>
        <w:rPr>
          <w:rFonts w:ascii="Calibri" w:cs="Calibri" w:eastAsia="Calibri" w:hAnsi="Calibri"/>
          <w:sz w:val="17"/>
          <w:szCs w:val="17"/>
          <w:color w:val="auto"/>
        </w:rPr>
      </w:pPr>
    </w:p>
    <w:p>
      <w:pPr>
        <w:ind w:left="260" w:right="240" w:hanging="153"/>
        <w:spacing w:after="0" w:line="245" w:lineRule="auto"/>
        <w:tabs>
          <w:tab w:leader="none" w:pos="253" w:val="left"/>
        </w:tabs>
        <w:numPr>
          <w:ilvl w:val="0"/>
          <w:numId w:val="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Supply Chain: </w:t>
      </w:r>
      <w:r>
        <w:rPr>
          <w:rFonts w:ascii="Calibri" w:cs="Calibri" w:eastAsia="Calibri" w:hAnsi="Calibri"/>
          <w:sz w:val="17"/>
          <w:szCs w:val="17"/>
          <w:color w:val="auto"/>
        </w:rPr>
        <w:t>We made progress on our transformaton eforts designed to increase savings,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improve supplier performance, increase organizatonal efciency and decrease supply chain risk</w:t>
      </w:r>
    </w:p>
    <w:p>
      <w:pPr>
        <w:spacing w:after="0" w:line="21" w:lineRule="exact"/>
        <w:rPr>
          <w:rFonts w:ascii="Calibri" w:cs="Calibri" w:eastAsia="Calibri" w:hAnsi="Calibri"/>
          <w:sz w:val="17"/>
          <w:szCs w:val="17"/>
          <w:color w:val="auto"/>
        </w:rPr>
      </w:pPr>
    </w:p>
    <w:p>
      <w:pPr>
        <w:ind w:left="260" w:right="940"/>
        <w:spacing w:after="0" w:line="245" w:lineRule="auto"/>
        <w:rPr>
          <w:rFonts w:ascii="Calibri" w:cs="Calibri" w:eastAsia="Calibri" w:hAnsi="Calibri"/>
          <w:sz w:val="17"/>
          <w:szCs w:val="17"/>
          <w:color w:val="auto"/>
        </w:rPr>
      </w:pPr>
      <w:r>
        <w:rPr>
          <w:rFonts w:ascii="Calibri" w:cs="Calibri" w:eastAsia="Calibri" w:hAnsi="Calibri"/>
          <w:sz w:val="17"/>
          <w:szCs w:val="17"/>
          <w:color w:val="auto"/>
        </w:rPr>
        <w:t>and developed an enterprise-wide approach for increasing mult-ter supply chain risk management.</w:t>
      </w:r>
    </w:p>
    <w:p>
      <w:pPr>
        <w:spacing w:after="0" w:line="75" w:lineRule="exact"/>
        <w:rPr>
          <w:rFonts w:ascii="Calibri" w:cs="Calibri" w:eastAsia="Calibri" w:hAnsi="Calibri"/>
          <w:sz w:val="17"/>
          <w:szCs w:val="17"/>
          <w:color w:val="auto"/>
        </w:rPr>
      </w:pPr>
    </w:p>
    <w:p>
      <w:pPr>
        <w:ind w:left="260" w:right="120" w:hanging="153"/>
        <w:spacing w:after="0" w:line="255" w:lineRule="auto"/>
        <w:tabs>
          <w:tab w:leader="none" w:pos="253" w:val="left"/>
        </w:tabs>
        <w:numPr>
          <w:ilvl w:val="0"/>
          <w:numId w:val="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Military &amp; Veteran Support: </w:t>
      </w:r>
      <w:r>
        <w:rPr>
          <w:rFonts w:ascii="Calibri" w:cs="Calibri" w:eastAsia="Calibri" w:hAnsi="Calibri"/>
          <w:sz w:val="17"/>
          <w:szCs w:val="17"/>
          <w:color w:val="auto"/>
        </w:rPr>
        <w:t>Veterans make up a ffh of our workforce. We donated more than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$9.6 million to ensure service members, veterans and their families are prepared, well-supported and enabled to fully partcipate and thrive in society.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1907540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32"/>
          <w:szCs w:val="32"/>
          <w:color w:val="003467"/>
        </w:rPr>
        <w:t>Do What’s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-3823970</wp:posOffset>
            </wp:positionV>
            <wp:extent cx="2400300" cy="4183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300"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32"/>
          <w:szCs w:val="32"/>
          <w:color w:val="003467"/>
        </w:rPr>
        <w:t>Respect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281305</wp:posOffset>
            </wp:positionV>
            <wp:extent cx="221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759"/>
        <w:spacing w:after="0" w:line="295" w:lineRule="auto"/>
        <w:rPr>
          <w:sz w:val="20"/>
          <w:szCs w:val="20"/>
          <w:color w:val="auto"/>
        </w:rPr>
      </w:pPr>
      <w:r>
        <w:rPr>
          <w:rFonts w:ascii="Arial" w:cs="Arial" w:eastAsia="Arial" w:hAnsi="Arial"/>
          <w:sz w:val="32"/>
          <w:szCs w:val="32"/>
          <w:color w:val="003467"/>
        </w:rPr>
        <w:t>Perform with Excellence</w:t>
      </w:r>
    </w:p>
    <w:p>
      <w:pPr>
        <w:sectPr>
          <w:pgSz w:w="11900" w:h="16838" w:orient="portrait"/>
          <w:cols w:equalWidth="0" w:num="2">
            <w:col w:w="7300" w:space="260"/>
            <w:col w:w="2579"/>
          </w:cols>
          <w:pgMar w:left="320" w:top="1300" w:right="1440" w:bottom="1440" w:gutter="0" w:footer="0" w:header="0"/>
        </w:sectPr>
      </w:pPr>
    </w:p>
    <w:bookmarkStart w:id="4" w:name="page5"/>
    <w:bookmarkEnd w:id="4"/>
    <w:p>
      <w:pPr>
        <w:ind w:left="240" w:right="20" w:hanging="153"/>
        <w:spacing w:after="0" w:line="233" w:lineRule="auto"/>
        <w:tabs>
          <w:tab w:leader="none" w:pos="233"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Employee Culture: </w:t>
      </w:r>
      <w:r>
        <w:rPr>
          <w:rFonts w:ascii="Calibri" w:cs="Calibri" w:eastAsia="Calibri" w:hAnsi="Calibri"/>
          <w:sz w:val="17"/>
          <w:szCs w:val="17"/>
          <w:color w:val="auto"/>
        </w:rPr>
        <w:t>We launched several learning curriculums focused on preparing our leaders and workforce to efectvely navigate change and adapt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new ways of working with an emphasis on inclusion and fexibility. Lockheed Martn’s focused eforts around culture, transformaton, leadership development and the employee experience contributed to our ranking as the top Aerospace and Defense Employer and 11</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best company overall in the 2022 Forbes World’s Best Employers survey.</w:t>
      </w:r>
    </w:p>
    <w:p>
      <w:pPr>
        <w:spacing w:after="0" w:line="79" w:lineRule="exact"/>
        <w:rPr>
          <w:rFonts w:ascii="Calibri" w:cs="Calibri" w:eastAsia="Calibri" w:hAnsi="Calibri"/>
          <w:sz w:val="17"/>
          <w:szCs w:val="17"/>
          <w:color w:val="auto"/>
        </w:rPr>
      </w:pPr>
    </w:p>
    <w:p>
      <w:pPr>
        <w:ind w:left="240" w:right="620" w:hanging="153"/>
        <w:spacing w:after="0" w:line="245" w:lineRule="auto"/>
        <w:tabs>
          <w:tab w:leader="none" w:pos="233"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Internal Audit and Enterprise Risk Management: </w:t>
      </w:r>
      <w:r>
        <w:rPr>
          <w:rFonts w:ascii="Calibri" w:cs="Calibri" w:eastAsia="Calibri" w:hAnsi="Calibri"/>
          <w:sz w:val="17"/>
          <w:szCs w:val="17"/>
          <w:color w:val="auto"/>
        </w:rPr>
        <w:t>We enhanced enterprise assurance through increased use of data analytcs and automated risk</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surveillance.</w:t>
      </w:r>
    </w:p>
    <w:p>
      <w:pPr>
        <w:spacing w:after="0" w:line="75" w:lineRule="exact"/>
        <w:rPr>
          <w:rFonts w:ascii="Calibri" w:cs="Calibri" w:eastAsia="Calibri" w:hAnsi="Calibri"/>
          <w:sz w:val="17"/>
          <w:szCs w:val="17"/>
          <w:color w:val="auto"/>
        </w:rPr>
      </w:pPr>
    </w:p>
    <w:p>
      <w:pPr>
        <w:ind w:left="240" w:right="80" w:hanging="153"/>
        <w:spacing w:after="0" w:line="245" w:lineRule="auto"/>
        <w:tabs>
          <w:tab w:leader="none" w:pos="233"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Environmental: </w:t>
      </w:r>
      <w:r>
        <w:rPr>
          <w:rFonts w:ascii="Calibri" w:cs="Calibri" w:eastAsia="Calibri" w:hAnsi="Calibri"/>
          <w:sz w:val="17"/>
          <w:szCs w:val="17"/>
          <w:color w:val="auto"/>
        </w:rPr>
        <w:t>We accelerated our 2030 decarbonizaton goals, restated them on an absolute basis, and updated the baseline year, increasing our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targets to 36% reducton of carbon and 40% use of renewables. We also published a climate lobbying assessment report in response to investor interest.</w:t>
      </w:r>
    </w:p>
    <w:p>
      <w:pPr>
        <w:spacing w:after="0" w:line="75" w:lineRule="exact"/>
        <w:rPr>
          <w:rFonts w:ascii="Calibri" w:cs="Calibri" w:eastAsia="Calibri" w:hAnsi="Calibri"/>
          <w:sz w:val="17"/>
          <w:szCs w:val="17"/>
          <w:color w:val="auto"/>
        </w:rPr>
      </w:pPr>
    </w:p>
    <w:p>
      <w:pPr>
        <w:ind w:left="240" w:right="360" w:hanging="153"/>
        <w:spacing w:after="0" w:line="245" w:lineRule="auto"/>
        <w:tabs>
          <w:tab w:leader="none" w:pos="233"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Human Rights: </w:t>
      </w:r>
      <w:r>
        <w:rPr>
          <w:rFonts w:ascii="Calibri" w:cs="Calibri" w:eastAsia="Calibri" w:hAnsi="Calibri"/>
          <w:sz w:val="17"/>
          <w:szCs w:val="17"/>
          <w:color w:val="auto"/>
        </w:rPr>
        <w:t>We contnued to engage with our investors on human rights issues and published an updated Human Rights Report providing greater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transparency into our policies, programs and commitments related to human rights.</w:t>
      </w:r>
    </w:p>
    <w:p>
      <w:pPr>
        <w:spacing w:after="0" w:line="75" w:lineRule="exact"/>
        <w:rPr>
          <w:rFonts w:ascii="Calibri" w:cs="Calibri" w:eastAsia="Calibri" w:hAnsi="Calibri"/>
          <w:sz w:val="17"/>
          <w:szCs w:val="17"/>
          <w:color w:val="auto"/>
        </w:rPr>
      </w:pPr>
    </w:p>
    <w:p>
      <w:pPr>
        <w:ind w:left="240" w:right="260" w:hanging="153"/>
        <w:spacing w:after="0" w:line="245" w:lineRule="auto"/>
        <w:tabs>
          <w:tab w:leader="none" w:pos="233"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Governance and Board of Directors: </w:t>
      </w:r>
      <w:r>
        <w:rPr>
          <w:rFonts w:ascii="Calibri" w:cs="Calibri" w:eastAsia="Calibri" w:hAnsi="Calibri"/>
          <w:sz w:val="17"/>
          <w:szCs w:val="17"/>
          <w:color w:val="auto"/>
        </w:rPr>
        <w:t>We have 38% gender and ethnic diversity among our Board nominees. During 2022, we updated our Governance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Guidelines to make explicit the Board’s commitment to diversity in our Board member searches.</w:t>
      </w:r>
    </w:p>
    <w:p>
      <w:pPr>
        <w:spacing w:after="0" w:line="62" w:lineRule="exact"/>
        <w:rPr>
          <w:rFonts w:ascii="Calibri" w:cs="Calibri" w:eastAsia="Calibri" w:hAnsi="Calibri"/>
          <w:sz w:val="17"/>
          <w:szCs w:val="17"/>
          <w:color w:val="auto"/>
        </w:rPr>
      </w:pPr>
    </w:p>
    <w:p>
      <w:pPr>
        <w:ind w:left="240" w:right="540" w:hanging="153"/>
        <w:spacing w:after="0" w:line="261" w:lineRule="auto"/>
        <w:tabs>
          <w:tab w:leader="none" w:pos="233"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Stockholder Engagement: </w:t>
      </w:r>
      <w:r>
        <w:rPr>
          <w:rFonts w:ascii="Calibri" w:cs="Calibri" w:eastAsia="Calibri" w:hAnsi="Calibri"/>
          <w:sz w:val="17"/>
          <w:szCs w:val="17"/>
          <w:color w:val="auto"/>
        </w:rPr>
        <w:t>We solicited ongoing feedback from investors through our year-round stockholder engagement program, which in 2022</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included engagements with stockholders representng nearly half of our outstanding shares.</w:t>
      </w:r>
    </w:p>
    <w:p>
      <w:pPr>
        <w:spacing w:after="0" w:line="102" w:lineRule="exact"/>
        <w:rPr>
          <w:sz w:val="20"/>
          <w:szCs w:val="20"/>
          <w:color w:val="auto"/>
        </w:rPr>
      </w:pPr>
    </w:p>
    <w:p>
      <w:pPr>
        <w:spacing w:after="0" w:line="255" w:lineRule="auto"/>
        <w:rPr>
          <w:sz w:val="20"/>
          <w:szCs w:val="20"/>
          <w:color w:val="auto"/>
        </w:rPr>
      </w:pPr>
      <w:r>
        <w:rPr>
          <w:rFonts w:ascii="Calibri" w:cs="Calibri" w:eastAsia="Calibri" w:hAnsi="Calibri"/>
          <w:sz w:val="17"/>
          <w:szCs w:val="17"/>
          <w:color w:val="auto"/>
        </w:rPr>
        <w:t>Our energy, ingenuity and values have made us the world’s leader in integrated deterrence. In this Proxy Statement, you will learn more about our Board and governance practces, our approach to Environmental, Social, and Governance (ESG) topics, our executve compensaton structure and other important aspects of our company.</w:t>
      </w:r>
    </w:p>
    <w:p>
      <w:pPr>
        <w:spacing w:after="0" w:line="122" w:lineRule="exact"/>
        <w:rPr>
          <w:sz w:val="20"/>
          <w:szCs w:val="20"/>
          <w:color w:val="auto"/>
        </w:rPr>
      </w:pPr>
    </w:p>
    <w:p>
      <w:pPr>
        <w:ind w:right="620"/>
        <w:spacing w:after="0" w:line="245" w:lineRule="auto"/>
        <w:rPr>
          <w:sz w:val="20"/>
          <w:szCs w:val="20"/>
          <w:color w:val="auto"/>
        </w:rPr>
      </w:pPr>
      <w:r>
        <w:rPr>
          <w:rFonts w:ascii="Calibri" w:cs="Calibri" w:eastAsia="Calibri" w:hAnsi="Calibri"/>
          <w:sz w:val="17"/>
          <w:szCs w:val="17"/>
          <w:color w:val="auto"/>
        </w:rPr>
        <w:t>It is an honor to serve as your Board of Directors and we are thankful for your contnued trust. Your vote is important to us and we encourage you to promptly cast your votes in consideraton of our recommendatons.</w:t>
      </w:r>
    </w:p>
    <w:p>
      <w:pPr>
        <w:spacing w:after="0" w:line="126" w:lineRule="exact"/>
        <w:rPr>
          <w:sz w:val="20"/>
          <w:szCs w:val="20"/>
          <w:color w:val="auto"/>
        </w:rPr>
      </w:pPr>
    </w:p>
    <w:p>
      <w:pPr>
        <w:spacing w:after="0"/>
        <w:rPr>
          <w:sz w:val="20"/>
          <w:szCs w:val="20"/>
          <w:color w:val="auto"/>
        </w:rPr>
      </w:pPr>
      <w:r>
        <w:rPr>
          <w:rFonts w:ascii="Calibri" w:cs="Calibri" w:eastAsia="Calibri" w:hAnsi="Calibri"/>
          <w:sz w:val="17"/>
          <w:szCs w:val="17"/>
          <w:color w:val="auto"/>
        </w:rPr>
        <w:t>With respect and grattude,</w:t>
      </w:r>
    </w:p>
    <w:p>
      <w:pPr>
        <w:spacing w:after="0" w:line="116" w:lineRule="exact"/>
        <w:rPr>
          <w:sz w:val="20"/>
          <w:szCs w:val="20"/>
          <w:color w:val="auto"/>
        </w:rPr>
      </w:pPr>
    </w:p>
    <w:p>
      <w:pPr>
        <w:spacing w:after="0"/>
        <w:rPr>
          <w:sz w:val="20"/>
          <w:szCs w:val="20"/>
          <w:color w:val="auto"/>
        </w:rPr>
      </w:pPr>
      <w:r>
        <w:rPr>
          <w:rFonts w:ascii="Calibri" w:cs="Calibri" w:eastAsia="Calibri" w:hAnsi="Calibri"/>
          <w:sz w:val="17"/>
          <w:szCs w:val="17"/>
          <w:color w:val="auto"/>
        </w:rPr>
        <w:t>Your Lockheed Martn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4289425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1278255</wp:posOffset>
            </wp:positionH>
            <wp:positionV relativeFrom="paragraph">
              <wp:posOffset>239395</wp:posOffset>
            </wp:positionV>
            <wp:extent cx="4568825" cy="3257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68825" cy="3257550"/>
                    </a:xfrm>
                    <a:prstGeom prst="rect">
                      <a:avLst/>
                    </a:prstGeom>
                    <a:noFill/>
                  </pic:spPr>
                </pic:pic>
              </a:graphicData>
            </a:graphic>
          </wp:anchor>
        </w:drawing>
      </w:r>
    </w:p>
    <w:p>
      <w:pPr>
        <w:sectPr>
          <w:pgSz w:w="11900" w:h="16838" w:orient="portrait"/>
          <w:cols w:equalWidth="0" w:num="1">
            <w:col w:w="11160"/>
          </w:cols>
          <w:pgMar w:left="340" w:top="1422" w:right="399" w:bottom="1440" w:gutter="0" w:footer="0" w:header="0"/>
        </w:sectPr>
      </w:pPr>
    </w:p>
    <w:bookmarkStart w:id="5" w:name="page6"/>
    <w:bookmarkEnd w:id="5"/>
    <w:p>
      <w:pPr>
        <w:spacing w:after="0"/>
        <w:rPr>
          <w:sz w:val="20"/>
          <w:szCs w:val="20"/>
          <w:color w:val="auto"/>
        </w:rPr>
      </w:pPr>
      <w:r>
        <w:rPr>
          <w:rFonts w:ascii="Arial" w:cs="Arial" w:eastAsia="Arial" w:hAnsi="Arial"/>
          <w:sz w:val="43"/>
          <w:szCs w:val="43"/>
          <w:color w:val="003478"/>
        </w:rPr>
        <w:t>Table of Contents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3478"/>
              </w:rPr>
              <w:t>ABOUT LOCKHEED MARTIN</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1</w:t>
            </w:r>
          </w:p>
        </w:tc>
        <w:tc>
          <w:tcPr>
            <w:tcW w:w="0" w:type="dxa"/>
            <w:vAlign w:val="bottom"/>
          </w:tcPr>
          <w:p>
            <w:pPr>
              <w:spacing w:after="0"/>
              <w:rPr>
                <w:sz w:val="1"/>
                <w:szCs w:val="1"/>
                <w:color w:val="auto"/>
              </w:rPr>
            </w:pPr>
          </w:p>
        </w:tc>
      </w:tr>
      <w:tr>
        <w:trPr>
          <w:trHeight w:val="318"/>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2E6D"/>
              </w:rPr>
              <w:t>PROXY STATEMENT VOTING ROADMAP</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3</w:t>
            </w:r>
          </w:p>
        </w:tc>
        <w:tc>
          <w:tcPr>
            <w:tcW w:w="0" w:type="dxa"/>
            <w:vAlign w:val="bottom"/>
          </w:tcPr>
          <w:p>
            <w:pPr>
              <w:spacing w:after="0"/>
              <w:rPr>
                <w:sz w:val="1"/>
                <w:szCs w:val="1"/>
                <w:color w:val="auto"/>
              </w:rPr>
            </w:pPr>
          </w:p>
        </w:tc>
      </w:tr>
      <w:tr>
        <w:trPr>
          <w:trHeight w:val="393"/>
        </w:trPr>
        <w:tc>
          <w:tcPr>
            <w:tcW w:w="3120" w:type="dxa"/>
            <w:vAlign w:val="bottom"/>
          </w:tcPr>
          <w:p>
            <w:pPr>
              <w:ind w:left="20"/>
              <w:spacing w:after="0"/>
              <w:rPr>
                <w:sz w:val="20"/>
                <w:szCs w:val="20"/>
                <w:color w:val="auto"/>
              </w:rPr>
            </w:pPr>
            <w:r>
              <w:rPr>
                <w:rFonts w:ascii="Arial" w:cs="Arial" w:eastAsia="Arial" w:hAnsi="Arial"/>
                <w:sz w:val="14"/>
                <w:szCs w:val="14"/>
                <w:color w:val="002E6D"/>
              </w:rPr>
              <w:t>PROPOSAL 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2E6D"/>
              </w:rPr>
              <w:t>ELECTION OF DIRECTORS</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6</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Calibri" w:cs="Calibri" w:eastAsia="Calibri" w:hAnsi="Calibri"/>
                <w:sz w:val="14"/>
                <w:szCs w:val="14"/>
                <w:color w:val="auto"/>
              </w:rPr>
              <w:t>Board Compositon and Efectveness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7</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Commitment to Board Diversity</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7</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Board Atendance</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7</w:t>
            </w:r>
          </w:p>
        </w:tc>
        <w:tc>
          <w:tcPr>
            <w:tcW w:w="0" w:type="dxa"/>
            <w:vAlign w:val="bottom"/>
          </w:tcPr>
          <w:p>
            <w:pPr>
              <w:spacing w:after="0"/>
              <w:rPr>
                <w:sz w:val="1"/>
                <w:szCs w:val="1"/>
                <w:color w:val="auto"/>
              </w:rPr>
            </w:pPr>
          </w:p>
        </w:tc>
      </w:tr>
      <w:tr>
        <w:trPr>
          <w:trHeight w:val="181"/>
        </w:trPr>
        <w:tc>
          <w:tcPr>
            <w:tcW w:w="3120" w:type="dxa"/>
            <w:vAlign w:val="bottom"/>
          </w:tcPr>
          <w:p>
            <w:pPr>
              <w:ind w:left="20"/>
              <w:spacing w:after="0"/>
              <w:rPr>
                <w:sz w:val="20"/>
                <w:szCs w:val="20"/>
                <w:color w:val="auto"/>
              </w:rPr>
            </w:pPr>
            <w:r>
              <w:rPr>
                <w:rFonts w:ascii="Calibri" w:cs="Calibri" w:eastAsia="Calibri" w:hAnsi="Calibri"/>
                <w:sz w:val="14"/>
                <w:szCs w:val="14"/>
                <w:color w:val="auto"/>
              </w:rPr>
              <w:t>Director Nominees’ Strategic Skills, Core</w:t>
            </w:r>
          </w:p>
        </w:tc>
        <w:tc>
          <w:tcPr>
            <w:tcW w:w="380" w:type="dxa"/>
            <w:vAlign w:val="bottom"/>
            <w:vMerge w:val="restart"/>
          </w:tcPr>
          <w:p>
            <w:pPr>
              <w:jc w:val="right"/>
              <w:spacing w:after="0"/>
              <w:rPr>
                <w:sz w:val="20"/>
                <w:szCs w:val="20"/>
                <w:color w:val="auto"/>
              </w:rPr>
            </w:pPr>
            <w:r>
              <w:rPr>
                <w:rFonts w:ascii="Calibri" w:cs="Calibri" w:eastAsia="Calibri" w:hAnsi="Calibri"/>
                <w:sz w:val="14"/>
                <w:szCs w:val="14"/>
                <w:color w:val="auto"/>
              </w:rPr>
              <w:t>8</w:t>
            </w:r>
          </w:p>
        </w:tc>
        <w:tc>
          <w:tcPr>
            <w:tcW w:w="0" w:type="dxa"/>
            <w:vAlign w:val="bottom"/>
          </w:tcPr>
          <w:p>
            <w:pPr>
              <w:spacing w:after="0"/>
              <w:rPr>
                <w:sz w:val="1"/>
                <w:szCs w:val="1"/>
                <w:color w:val="auto"/>
              </w:rPr>
            </w:pPr>
          </w:p>
        </w:tc>
      </w:tr>
      <w:tr>
        <w:trPr>
          <w:trHeight w:val="170"/>
        </w:trPr>
        <w:tc>
          <w:tcPr>
            <w:tcW w:w="3120" w:type="dxa"/>
            <w:vAlign w:val="bottom"/>
          </w:tcPr>
          <w:p>
            <w:pPr>
              <w:ind w:left="20"/>
              <w:spacing w:after="0"/>
              <w:rPr>
                <w:sz w:val="20"/>
                <w:szCs w:val="20"/>
                <w:color w:val="auto"/>
              </w:rPr>
            </w:pPr>
            <w:r>
              <w:rPr>
                <w:rFonts w:ascii="Calibri" w:cs="Calibri" w:eastAsia="Calibri" w:hAnsi="Calibri"/>
                <w:sz w:val="14"/>
                <w:szCs w:val="14"/>
                <w:color w:val="auto"/>
              </w:rPr>
              <w:t>Competencies and Atributes</w:t>
            </w: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Calibri" w:cs="Calibri" w:eastAsia="Calibri" w:hAnsi="Calibri"/>
                <w:sz w:val="14"/>
                <w:szCs w:val="14"/>
                <w:color w:val="auto"/>
              </w:rPr>
              <w:t>Director Nominees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10</w:t>
            </w:r>
          </w:p>
        </w:tc>
        <w:tc>
          <w:tcPr>
            <w:tcW w:w="0" w:type="dxa"/>
            <w:vAlign w:val="bottom"/>
          </w:tcPr>
          <w:p>
            <w:pPr>
              <w:spacing w:after="0"/>
              <w:rPr>
                <w:sz w:val="1"/>
                <w:szCs w:val="1"/>
                <w:color w:val="auto"/>
              </w:rPr>
            </w:pPr>
          </w:p>
        </w:tc>
      </w:tr>
      <w:tr>
        <w:trPr>
          <w:trHeight w:val="457"/>
        </w:trPr>
        <w:tc>
          <w:tcPr>
            <w:tcW w:w="3120" w:type="dxa"/>
            <w:vAlign w:val="bottom"/>
          </w:tcPr>
          <w:p>
            <w:pPr>
              <w:ind w:left="20"/>
              <w:spacing w:after="0"/>
              <w:rPr>
                <w:sz w:val="20"/>
                <w:szCs w:val="20"/>
                <w:color w:val="auto"/>
              </w:rPr>
            </w:pPr>
            <w:r>
              <w:rPr>
                <w:rFonts w:ascii="Arial" w:cs="Arial" w:eastAsia="Arial" w:hAnsi="Arial"/>
                <w:sz w:val="14"/>
                <w:szCs w:val="14"/>
                <w:color w:val="002E6D"/>
              </w:rPr>
              <w:t>CORPORATE GOVERNANCE</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17</w:t>
            </w:r>
          </w:p>
        </w:tc>
        <w:tc>
          <w:tcPr>
            <w:tcW w:w="0" w:type="dxa"/>
            <w:vAlign w:val="bottom"/>
          </w:tcPr>
          <w:p>
            <w:pPr>
              <w:spacing w:after="0"/>
              <w:rPr>
                <w:sz w:val="1"/>
                <w:szCs w:val="1"/>
                <w:color w:val="auto"/>
              </w:rPr>
            </w:pPr>
          </w:p>
        </w:tc>
      </w:tr>
      <w:tr>
        <w:trPr>
          <w:trHeight w:val="22"/>
        </w:trPr>
        <w:tc>
          <w:tcPr>
            <w:tcW w:w="3120" w:type="dxa"/>
            <w:vAlign w:val="bottom"/>
            <w:tcBorders>
              <w:bottom w:val="single" w:sz="8" w:color="003478"/>
            </w:tcBorders>
          </w:tcPr>
          <w:p>
            <w:pPr>
              <w:spacing w:after="0" w:line="20" w:lineRule="exact"/>
              <w:rPr>
                <w:sz w:val="1"/>
                <w:szCs w:val="1"/>
                <w:color w:val="auto"/>
              </w:rPr>
            </w:pPr>
          </w:p>
        </w:tc>
        <w:tc>
          <w:tcPr>
            <w:tcW w:w="380" w:type="dxa"/>
            <w:vAlign w:val="bottom"/>
            <w:tcBorders>
              <w:bottom w:val="single" w:sz="8" w:color="00347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20" w:type="dxa"/>
            <w:vAlign w:val="bottom"/>
          </w:tcPr>
          <w:p>
            <w:pPr>
              <w:ind w:left="20"/>
              <w:spacing w:after="0" w:line="164" w:lineRule="exact"/>
              <w:rPr>
                <w:sz w:val="20"/>
                <w:szCs w:val="20"/>
                <w:color w:val="auto"/>
              </w:rPr>
            </w:pPr>
            <w:r>
              <w:rPr>
                <w:rFonts w:ascii="Calibri" w:cs="Calibri" w:eastAsia="Calibri" w:hAnsi="Calibri"/>
                <w:sz w:val="14"/>
                <w:szCs w:val="14"/>
                <w:color w:val="auto"/>
              </w:rPr>
              <w:t>Our Alignment with Governance Standards</w:t>
            </w:r>
          </w:p>
        </w:tc>
        <w:tc>
          <w:tcPr>
            <w:tcW w:w="380" w:type="dxa"/>
            <w:vAlign w:val="bottom"/>
          </w:tcPr>
          <w:p>
            <w:pPr>
              <w:jc w:val="right"/>
              <w:spacing w:after="0" w:line="164" w:lineRule="exact"/>
              <w:rPr>
                <w:sz w:val="20"/>
                <w:szCs w:val="20"/>
                <w:color w:val="auto"/>
              </w:rPr>
            </w:pPr>
            <w:r>
              <w:rPr>
                <w:rFonts w:ascii="Calibri" w:cs="Calibri" w:eastAsia="Calibri" w:hAnsi="Calibri"/>
                <w:sz w:val="14"/>
                <w:szCs w:val="14"/>
                <w:color w:val="auto"/>
              </w:rPr>
              <w:t>17</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Calibri" w:cs="Calibri" w:eastAsia="Calibri" w:hAnsi="Calibri"/>
                <w:sz w:val="14"/>
                <w:szCs w:val="14"/>
                <w:color w:val="auto"/>
              </w:rPr>
              <w:t>Board Leadership Structure</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18</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Executve Sessions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19</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Commitees of the Board of Directors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19</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Board Role and Responsibilites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22</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Board Role in Strategic Planning</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22</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Board Oversight of Risk</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22</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Enterprise Risk Management</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23</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Board Oversight of Succession Planning</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24</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Board Oversight of ESG</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24</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Calibri" w:cs="Calibri" w:eastAsia="Calibri" w:hAnsi="Calibri"/>
                <w:sz w:val="14"/>
                <w:szCs w:val="14"/>
                <w:color w:val="auto"/>
              </w:rPr>
              <w:t>Our Stockholder Engagement Program</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24</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Board Policies and Processes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26</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Corporate Governance Guidelines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26</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Oversight of Director Commitments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26</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Calibri" w:cs="Calibri" w:eastAsia="Calibri" w:hAnsi="Calibri"/>
                <w:sz w:val="14"/>
                <w:szCs w:val="14"/>
                <w:color w:val="auto"/>
              </w:rPr>
              <w:t>Board Nominaton Process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27</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Calibri" w:cs="Calibri" w:eastAsia="Calibri" w:hAnsi="Calibri"/>
                <w:sz w:val="14"/>
                <w:szCs w:val="14"/>
                <w:color w:val="auto"/>
              </w:rPr>
              <w:t>Onboarding and Contnuing Educaton</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28</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Calibri" w:cs="Calibri" w:eastAsia="Calibri" w:hAnsi="Calibri"/>
                <w:sz w:val="14"/>
                <w:szCs w:val="14"/>
                <w:color w:val="auto"/>
              </w:rPr>
              <w:t>Annual Performance Assessment</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28</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Consideraton of Director Tenure</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28</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Director Independence</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29</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Related Person Transacton Policy</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30</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Calibri" w:cs="Calibri" w:eastAsia="Calibri" w:hAnsi="Calibri"/>
                <w:sz w:val="14"/>
                <w:szCs w:val="14"/>
                <w:color w:val="auto"/>
              </w:rPr>
              <w:t>Certain Relatonships and Related Person</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rPr>
                <w:sz w:val="20"/>
                <w:szCs w:val="20"/>
                <w:color w:val="auto"/>
              </w:rPr>
            </w:pPr>
            <w:r>
              <w:rPr>
                <w:rFonts w:ascii="Calibri" w:cs="Calibri" w:eastAsia="Calibri" w:hAnsi="Calibri"/>
                <w:sz w:val="14"/>
                <w:szCs w:val="14"/>
                <w:color w:val="auto"/>
              </w:rPr>
              <w:t>Transactons of Directors, Executve Ofcers and 5</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rPr>
                <w:sz w:val="20"/>
                <w:szCs w:val="20"/>
                <w:color w:val="auto"/>
              </w:rPr>
            </w:pPr>
            <w:r>
              <w:rPr>
                <w:rFonts w:ascii="Calibri" w:cs="Calibri" w:eastAsia="Calibri" w:hAnsi="Calibri"/>
                <w:sz w:val="14"/>
                <w:szCs w:val="14"/>
                <w:color w:val="auto"/>
              </w:rPr>
              <w:t>Percent Stockholders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30</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Accountability to Stockholders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31</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Director Stock Ownership Guidelines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Calibri" w:cs="Calibri" w:eastAsia="Calibri" w:hAnsi="Calibri"/>
                <w:sz w:val="14"/>
                <w:szCs w:val="14"/>
                <w:color w:val="auto"/>
              </w:rPr>
              <w:t>Majority Votng Policy for Director Electons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31</w:t>
            </w: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Stockholder Right to Amend Bylaws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ind w:left="20"/>
              <w:spacing w:after="0"/>
              <w:rPr>
                <w:sz w:val="20"/>
                <w:szCs w:val="20"/>
                <w:color w:val="auto"/>
              </w:rPr>
            </w:pPr>
            <w:r>
              <w:rPr>
                <w:rFonts w:ascii="Calibri" w:cs="Calibri" w:eastAsia="Calibri" w:hAnsi="Calibri"/>
                <w:sz w:val="14"/>
                <w:szCs w:val="14"/>
                <w:color w:val="auto"/>
              </w:rPr>
              <w:t>Proxy Access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31</w:t>
            </w: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Stockholder Right to Call Special Meetng</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31</w:t>
            </w: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No Poison Pill</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31</w:t>
            </w:r>
          </w:p>
        </w:tc>
      </w:tr>
      <w:tr>
        <w:trPr>
          <w:trHeight w:val="348"/>
        </w:trPr>
        <w:tc>
          <w:tcPr>
            <w:tcW w:w="3120" w:type="dxa"/>
            <w:vAlign w:val="bottom"/>
          </w:tcPr>
          <w:p>
            <w:pPr>
              <w:ind w:left="20"/>
              <w:spacing w:after="0"/>
              <w:rPr>
                <w:sz w:val="20"/>
                <w:szCs w:val="20"/>
                <w:color w:val="auto"/>
              </w:rPr>
            </w:pPr>
            <w:r>
              <w:rPr>
                <w:rFonts w:ascii="Arial" w:cs="Arial" w:eastAsia="Arial" w:hAnsi="Arial"/>
                <w:sz w:val="14"/>
                <w:szCs w:val="14"/>
                <w:color w:val="003478"/>
              </w:rPr>
              <w:t>ENVIRONMENTAL, SOCIAL AND</w:t>
            </w:r>
          </w:p>
        </w:tc>
        <w:tc>
          <w:tcPr>
            <w:tcW w:w="380" w:type="dxa"/>
            <w:vAlign w:val="bottom"/>
          </w:tcPr>
          <w:p>
            <w:pPr>
              <w:spacing w:after="0"/>
              <w:rPr>
                <w:sz w:val="24"/>
                <w:szCs w:val="24"/>
                <w:color w:val="auto"/>
              </w:rPr>
            </w:pPr>
          </w:p>
        </w:tc>
      </w:tr>
      <w:tr>
        <w:trPr>
          <w:trHeight w:val="208"/>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3478"/>
              </w:rPr>
              <w:t>GOVERNANCE (ESG)</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32</w:t>
            </w:r>
          </w:p>
        </w:tc>
      </w:tr>
      <w:tr>
        <w:trPr>
          <w:trHeight w:val="167"/>
        </w:trPr>
        <w:tc>
          <w:tcPr>
            <w:tcW w:w="3120" w:type="dxa"/>
            <w:vAlign w:val="bottom"/>
          </w:tcPr>
          <w:p>
            <w:pPr>
              <w:ind w:left="20"/>
              <w:spacing w:after="0" w:line="168" w:lineRule="exact"/>
              <w:rPr>
                <w:sz w:val="20"/>
                <w:szCs w:val="20"/>
                <w:color w:val="auto"/>
              </w:rPr>
            </w:pPr>
            <w:r>
              <w:rPr>
                <w:rFonts w:ascii="Calibri" w:cs="Calibri" w:eastAsia="Calibri" w:hAnsi="Calibri"/>
                <w:sz w:val="14"/>
                <w:szCs w:val="14"/>
                <w:color w:val="auto"/>
              </w:rPr>
              <w:t>Sustainability Program</w:t>
            </w:r>
          </w:p>
        </w:tc>
        <w:tc>
          <w:tcPr>
            <w:tcW w:w="380" w:type="dxa"/>
            <w:vAlign w:val="bottom"/>
          </w:tcPr>
          <w:p>
            <w:pPr>
              <w:jc w:val="right"/>
              <w:spacing w:after="0" w:line="168" w:lineRule="exact"/>
              <w:rPr>
                <w:sz w:val="20"/>
                <w:szCs w:val="20"/>
                <w:color w:val="auto"/>
              </w:rPr>
            </w:pPr>
            <w:r>
              <w:rPr>
                <w:rFonts w:ascii="Calibri" w:cs="Calibri" w:eastAsia="Calibri" w:hAnsi="Calibri"/>
                <w:sz w:val="14"/>
                <w:szCs w:val="14"/>
                <w:color w:val="auto"/>
              </w:rPr>
              <w:t>32</w:t>
            </w:r>
          </w:p>
        </w:tc>
      </w:tr>
      <w:tr>
        <w:trPr>
          <w:trHeight w:val="188"/>
        </w:trPr>
        <w:tc>
          <w:tcPr>
            <w:tcW w:w="3120" w:type="dxa"/>
            <w:vAlign w:val="bottom"/>
          </w:tcPr>
          <w:p>
            <w:pPr>
              <w:ind w:left="20"/>
              <w:spacing w:after="0"/>
              <w:rPr>
                <w:sz w:val="20"/>
                <w:szCs w:val="20"/>
                <w:color w:val="auto"/>
              </w:rPr>
            </w:pPr>
            <w:r>
              <w:rPr>
                <w:rFonts w:ascii="Calibri" w:cs="Calibri" w:eastAsia="Calibri" w:hAnsi="Calibri"/>
                <w:sz w:val="14"/>
                <w:szCs w:val="14"/>
                <w:color w:val="auto"/>
              </w:rPr>
              <w:t>Our People Strategy</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35</w:t>
            </w: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Cybersecurity</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37</w:t>
            </w: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Politcal and Public Policy Actvites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37</w:t>
            </w:r>
          </w:p>
        </w:tc>
      </w:tr>
      <w:tr>
        <w:trPr>
          <w:trHeight w:val="203"/>
        </w:trPr>
        <w:tc>
          <w:tcPr>
            <w:tcW w:w="3120" w:type="dxa"/>
            <w:vAlign w:val="bottom"/>
          </w:tcPr>
          <w:p>
            <w:pPr>
              <w:ind w:left="20"/>
              <w:spacing w:after="0"/>
              <w:rPr>
                <w:sz w:val="20"/>
                <w:szCs w:val="20"/>
                <w:color w:val="auto"/>
              </w:rPr>
            </w:pPr>
            <w:r>
              <w:rPr>
                <w:rFonts w:ascii="Calibri" w:cs="Calibri" w:eastAsia="Calibri" w:hAnsi="Calibri"/>
                <w:sz w:val="14"/>
                <w:szCs w:val="14"/>
                <w:color w:val="auto"/>
              </w:rPr>
              <w:t>Human Rights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38</w:t>
            </w:r>
          </w:p>
        </w:tc>
      </w:tr>
      <w:tr>
        <w:trPr>
          <w:trHeight w:val="380"/>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3478"/>
              </w:rPr>
              <w:t>EXECUTIVE COMPENSATION</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39</w:t>
            </w:r>
          </w:p>
        </w:tc>
      </w:tr>
      <w:tr>
        <w:trPr>
          <w:trHeight w:val="285"/>
        </w:trPr>
        <w:tc>
          <w:tcPr>
            <w:tcW w:w="3120" w:type="dxa"/>
            <w:vAlign w:val="bottom"/>
          </w:tcPr>
          <w:p>
            <w:pPr>
              <w:ind w:left="20"/>
              <w:spacing w:after="0"/>
              <w:rPr>
                <w:sz w:val="20"/>
                <w:szCs w:val="20"/>
                <w:color w:val="auto"/>
              </w:rPr>
            </w:pPr>
            <w:r>
              <w:rPr>
                <w:rFonts w:ascii="Arial" w:cs="Arial" w:eastAsia="Arial" w:hAnsi="Arial"/>
                <w:sz w:val="14"/>
                <w:szCs w:val="14"/>
                <w:color w:val="003478"/>
              </w:rPr>
              <w:t>PROPOSAL 2:</w:t>
            </w:r>
          </w:p>
        </w:tc>
        <w:tc>
          <w:tcPr>
            <w:tcW w:w="380" w:type="dxa"/>
            <w:vAlign w:val="bottom"/>
          </w:tcPr>
          <w:p>
            <w:pPr>
              <w:spacing w:after="0"/>
              <w:rPr>
                <w:sz w:val="24"/>
                <w:szCs w:val="24"/>
                <w:color w:val="auto"/>
              </w:rPr>
            </w:pPr>
          </w:p>
        </w:tc>
      </w:tr>
      <w:tr>
        <w:trPr>
          <w:trHeight w:val="176"/>
        </w:trPr>
        <w:tc>
          <w:tcPr>
            <w:tcW w:w="3120" w:type="dxa"/>
            <w:vAlign w:val="bottom"/>
          </w:tcPr>
          <w:p>
            <w:pPr>
              <w:ind w:left="20"/>
              <w:spacing w:after="0"/>
              <w:rPr>
                <w:sz w:val="20"/>
                <w:szCs w:val="20"/>
                <w:color w:val="auto"/>
              </w:rPr>
            </w:pPr>
            <w:r>
              <w:rPr>
                <w:rFonts w:ascii="Arial" w:cs="Arial" w:eastAsia="Arial" w:hAnsi="Arial"/>
                <w:sz w:val="14"/>
                <w:szCs w:val="14"/>
                <w:color w:val="003478"/>
              </w:rPr>
              <w:t>ADVISORY VOTE TO APPROVE THE</w:t>
            </w:r>
          </w:p>
        </w:tc>
        <w:tc>
          <w:tcPr>
            <w:tcW w:w="380" w:type="dxa"/>
            <w:vAlign w:val="bottom"/>
          </w:tcPr>
          <w:p>
            <w:pPr>
              <w:spacing w:after="0"/>
              <w:rPr>
                <w:sz w:val="15"/>
                <w:szCs w:val="15"/>
                <w:color w:val="auto"/>
              </w:rPr>
            </w:pPr>
          </w:p>
        </w:tc>
      </w:tr>
      <w:tr>
        <w:trPr>
          <w:trHeight w:val="176"/>
        </w:trPr>
        <w:tc>
          <w:tcPr>
            <w:tcW w:w="3120" w:type="dxa"/>
            <w:vAlign w:val="bottom"/>
          </w:tcPr>
          <w:p>
            <w:pPr>
              <w:ind w:left="20"/>
              <w:spacing w:after="0"/>
              <w:rPr>
                <w:sz w:val="20"/>
                <w:szCs w:val="20"/>
                <w:color w:val="auto"/>
              </w:rPr>
            </w:pPr>
            <w:r>
              <w:rPr>
                <w:rFonts w:ascii="Arial" w:cs="Arial" w:eastAsia="Arial" w:hAnsi="Arial"/>
                <w:sz w:val="14"/>
                <w:szCs w:val="14"/>
                <w:color w:val="003478"/>
              </w:rPr>
              <w:t>COMPENSATION OF OUR NEOs (SAY-ON-</w:t>
            </w:r>
          </w:p>
        </w:tc>
        <w:tc>
          <w:tcPr>
            <w:tcW w:w="380" w:type="dxa"/>
            <w:vAlign w:val="bottom"/>
          </w:tcPr>
          <w:p>
            <w:pPr>
              <w:spacing w:after="0"/>
              <w:rPr>
                <w:sz w:val="15"/>
                <w:szCs w:val="15"/>
                <w:color w:val="auto"/>
              </w:rPr>
            </w:pPr>
          </w:p>
        </w:tc>
      </w:tr>
      <w:tr>
        <w:trPr>
          <w:trHeight w:val="194"/>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3478"/>
              </w:rPr>
              <w:t>PAY)</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39</w:t>
            </w:r>
          </w:p>
        </w:tc>
      </w:tr>
      <w:tr>
        <w:trPr>
          <w:trHeight w:val="167"/>
        </w:trPr>
        <w:tc>
          <w:tcPr>
            <w:tcW w:w="3120" w:type="dxa"/>
            <w:vAlign w:val="bottom"/>
          </w:tcPr>
          <w:p>
            <w:pPr>
              <w:ind w:left="20"/>
              <w:spacing w:after="0" w:line="168" w:lineRule="exact"/>
              <w:rPr>
                <w:sz w:val="20"/>
                <w:szCs w:val="20"/>
                <w:color w:val="auto"/>
              </w:rPr>
            </w:pPr>
            <w:r>
              <w:rPr>
                <w:rFonts w:ascii="Calibri" w:cs="Calibri" w:eastAsia="Calibri" w:hAnsi="Calibri"/>
                <w:sz w:val="14"/>
                <w:szCs w:val="14"/>
                <w:color w:val="auto"/>
              </w:rPr>
              <w:t>Compensaton Commitee Report</w:t>
            </w:r>
          </w:p>
        </w:tc>
        <w:tc>
          <w:tcPr>
            <w:tcW w:w="380" w:type="dxa"/>
            <w:vAlign w:val="bottom"/>
          </w:tcPr>
          <w:p>
            <w:pPr>
              <w:jc w:val="right"/>
              <w:spacing w:after="0" w:line="168" w:lineRule="exact"/>
              <w:rPr>
                <w:sz w:val="20"/>
                <w:szCs w:val="20"/>
                <w:color w:val="auto"/>
              </w:rPr>
            </w:pPr>
            <w:r>
              <w:rPr>
                <w:rFonts w:ascii="Calibri" w:cs="Calibri" w:eastAsia="Calibri" w:hAnsi="Calibri"/>
                <w:sz w:val="14"/>
                <w:szCs w:val="14"/>
                <w:color w:val="auto"/>
              </w:rPr>
              <w:t>39</w:t>
            </w:r>
          </w:p>
        </w:tc>
      </w:tr>
      <w:tr>
        <w:trPr>
          <w:trHeight w:val="334"/>
        </w:trPr>
        <w:tc>
          <w:tcPr>
            <w:tcW w:w="3120" w:type="dxa"/>
            <w:vAlign w:val="bottom"/>
          </w:tcPr>
          <w:p>
            <w:pPr>
              <w:ind w:left="20"/>
              <w:spacing w:after="0"/>
              <w:rPr>
                <w:sz w:val="20"/>
                <w:szCs w:val="20"/>
                <w:color w:val="auto"/>
              </w:rPr>
            </w:pPr>
            <w:r>
              <w:rPr>
                <w:rFonts w:ascii="Arial" w:cs="Arial" w:eastAsia="Arial" w:hAnsi="Arial"/>
                <w:sz w:val="14"/>
                <w:szCs w:val="14"/>
                <w:color w:val="002E6D"/>
              </w:rPr>
              <w:t>PROPOSAL 3:</w:t>
            </w:r>
          </w:p>
        </w:tc>
        <w:tc>
          <w:tcPr>
            <w:tcW w:w="380" w:type="dxa"/>
            <w:vAlign w:val="bottom"/>
          </w:tcPr>
          <w:p>
            <w:pPr>
              <w:spacing w:after="0"/>
              <w:rPr>
                <w:sz w:val="24"/>
                <w:szCs w:val="24"/>
                <w:color w:val="auto"/>
              </w:rPr>
            </w:pPr>
          </w:p>
        </w:tc>
      </w:tr>
      <w:tr>
        <w:trPr>
          <w:trHeight w:val="176"/>
        </w:trPr>
        <w:tc>
          <w:tcPr>
            <w:tcW w:w="3120" w:type="dxa"/>
            <w:vAlign w:val="bottom"/>
          </w:tcPr>
          <w:p>
            <w:pPr>
              <w:ind w:left="20"/>
              <w:spacing w:after="0"/>
              <w:rPr>
                <w:sz w:val="20"/>
                <w:szCs w:val="20"/>
                <w:color w:val="auto"/>
              </w:rPr>
            </w:pPr>
            <w:r>
              <w:rPr>
                <w:rFonts w:ascii="Arial" w:cs="Arial" w:eastAsia="Arial" w:hAnsi="Arial"/>
                <w:sz w:val="14"/>
                <w:szCs w:val="14"/>
                <w:color w:val="003478"/>
              </w:rPr>
              <w:t>ADVISORY VOTE ON THE FREQUENCY OF</w:t>
            </w:r>
          </w:p>
        </w:tc>
        <w:tc>
          <w:tcPr>
            <w:tcW w:w="380" w:type="dxa"/>
            <w:vAlign w:val="bottom"/>
          </w:tcPr>
          <w:p>
            <w:pPr>
              <w:spacing w:after="0"/>
              <w:rPr>
                <w:sz w:val="15"/>
                <w:szCs w:val="15"/>
                <w:color w:val="auto"/>
              </w:rPr>
            </w:pPr>
          </w:p>
        </w:tc>
      </w:tr>
      <w:tr>
        <w:trPr>
          <w:trHeight w:val="175"/>
        </w:trPr>
        <w:tc>
          <w:tcPr>
            <w:tcW w:w="3120" w:type="dxa"/>
            <w:vAlign w:val="bottom"/>
          </w:tcPr>
          <w:p>
            <w:pPr>
              <w:ind w:left="20"/>
              <w:spacing w:after="0"/>
              <w:rPr>
                <w:sz w:val="20"/>
                <w:szCs w:val="20"/>
                <w:color w:val="auto"/>
              </w:rPr>
            </w:pPr>
            <w:r>
              <w:rPr>
                <w:rFonts w:ascii="Arial" w:cs="Arial" w:eastAsia="Arial" w:hAnsi="Arial"/>
                <w:sz w:val="14"/>
                <w:szCs w:val="14"/>
                <w:color w:val="003478"/>
              </w:rPr>
              <w:t>ADVISORY VOTES TO APPROVE THE</w:t>
            </w:r>
          </w:p>
        </w:tc>
        <w:tc>
          <w:tcPr>
            <w:tcW w:w="380" w:type="dxa"/>
            <w:vAlign w:val="bottom"/>
          </w:tcPr>
          <w:p>
            <w:pPr>
              <w:spacing w:after="0"/>
              <w:rPr>
                <w:sz w:val="15"/>
                <w:szCs w:val="15"/>
                <w:color w:val="auto"/>
              </w:rPr>
            </w:pPr>
          </w:p>
        </w:tc>
      </w:tr>
      <w:tr>
        <w:trPr>
          <w:trHeight w:val="194"/>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3478"/>
              </w:rPr>
              <w:t>COMPENSATION OF OUR NEOs</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40</w:t>
            </w:r>
          </w:p>
        </w:tc>
      </w:tr>
      <w:tr>
        <w:trPr>
          <w:trHeight w:val="180"/>
        </w:trPr>
        <w:tc>
          <w:tcPr>
            <w:tcW w:w="3120" w:type="dxa"/>
            <w:vAlign w:val="bottom"/>
          </w:tcPr>
          <w:p>
            <w:pPr>
              <w:ind w:left="20"/>
              <w:spacing w:after="0"/>
              <w:rPr>
                <w:sz w:val="20"/>
                <w:szCs w:val="20"/>
                <w:color w:val="auto"/>
              </w:rPr>
            </w:pPr>
            <w:r>
              <w:rPr>
                <w:rFonts w:ascii="Calibri" w:cs="Calibri" w:eastAsia="Calibri" w:hAnsi="Calibri"/>
                <w:sz w:val="14"/>
                <w:szCs w:val="14"/>
                <w:color w:val="auto"/>
              </w:rPr>
              <w:t>Compensaton Discussion and Analysis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41</w:t>
            </w:r>
          </w:p>
        </w:tc>
      </w:tr>
      <w:tr>
        <w:trPr>
          <w:trHeight w:val="229"/>
        </w:trPr>
        <w:tc>
          <w:tcPr>
            <w:tcW w:w="3120" w:type="dxa"/>
            <w:vAlign w:val="bottom"/>
          </w:tcPr>
          <w:p>
            <w:pPr>
              <w:ind w:left="20"/>
              <w:spacing w:after="0"/>
              <w:rPr>
                <w:sz w:val="20"/>
                <w:szCs w:val="20"/>
                <w:color w:val="auto"/>
              </w:rPr>
            </w:pPr>
            <w:r>
              <w:rPr>
                <w:rFonts w:ascii="Calibri" w:cs="Calibri" w:eastAsia="Calibri" w:hAnsi="Calibri"/>
                <w:sz w:val="14"/>
                <w:szCs w:val="14"/>
                <w:color w:val="auto"/>
              </w:rPr>
              <w:t>Executve Compensaton Tables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58</w:t>
            </w:r>
          </w:p>
        </w:tc>
      </w:tr>
      <w:tr>
        <w:trPr>
          <w:trHeight w:val="230"/>
        </w:trPr>
        <w:tc>
          <w:tcPr>
            <w:tcW w:w="3120" w:type="dxa"/>
            <w:vAlign w:val="bottom"/>
          </w:tcPr>
          <w:p>
            <w:pPr>
              <w:ind w:left="20"/>
              <w:spacing w:after="0"/>
              <w:rPr>
                <w:sz w:val="20"/>
                <w:szCs w:val="20"/>
                <w:color w:val="auto"/>
              </w:rPr>
            </w:pPr>
            <w:r>
              <w:rPr>
                <w:rFonts w:ascii="Calibri" w:cs="Calibri" w:eastAsia="Calibri" w:hAnsi="Calibri"/>
                <w:sz w:val="14"/>
                <w:szCs w:val="14"/>
                <w:color w:val="auto"/>
              </w:rPr>
              <w:t>CEO Pay Rato</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72</w:t>
            </w:r>
          </w:p>
        </w:tc>
      </w:tr>
      <w:tr>
        <w:trPr>
          <w:trHeight w:val="230"/>
        </w:trPr>
        <w:tc>
          <w:tcPr>
            <w:tcW w:w="3120" w:type="dxa"/>
            <w:vAlign w:val="bottom"/>
          </w:tcPr>
          <w:p>
            <w:pPr>
              <w:ind w:left="20"/>
              <w:spacing w:after="0"/>
              <w:rPr>
                <w:sz w:val="20"/>
                <w:szCs w:val="20"/>
                <w:color w:val="auto"/>
              </w:rPr>
            </w:pPr>
            <w:r>
              <w:rPr>
                <w:rFonts w:ascii="Calibri" w:cs="Calibri" w:eastAsia="Calibri" w:hAnsi="Calibri"/>
                <w:sz w:val="14"/>
                <w:szCs w:val="14"/>
                <w:color w:val="auto"/>
              </w:rPr>
              <w:t>Pay Versus Performance</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72</w:t>
            </w:r>
          </w:p>
        </w:tc>
      </w:tr>
      <w:tr>
        <w:trPr>
          <w:trHeight w:val="380"/>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3478"/>
              </w:rPr>
              <w:t>DIRECTOR COMPENSATION</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75</w:t>
            </w:r>
          </w:p>
        </w:tc>
      </w:tr>
      <w:tr>
        <w:trPr>
          <w:trHeight w:val="285"/>
        </w:trPr>
        <w:tc>
          <w:tcPr>
            <w:tcW w:w="3120" w:type="dxa"/>
            <w:vAlign w:val="bottom"/>
          </w:tcPr>
          <w:p>
            <w:pPr>
              <w:ind w:left="20"/>
              <w:spacing w:after="0"/>
              <w:rPr>
                <w:sz w:val="20"/>
                <w:szCs w:val="20"/>
                <w:color w:val="auto"/>
              </w:rPr>
            </w:pPr>
            <w:r>
              <w:rPr>
                <w:rFonts w:ascii="Arial" w:cs="Arial" w:eastAsia="Arial" w:hAnsi="Arial"/>
                <w:sz w:val="14"/>
                <w:szCs w:val="14"/>
                <w:color w:val="002E6D"/>
              </w:rPr>
              <w:t>SECURITY OWNERSHIP OF MANAGEMENT</w:t>
            </w:r>
          </w:p>
        </w:tc>
        <w:tc>
          <w:tcPr>
            <w:tcW w:w="380" w:type="dxa"/>
            <w:vAlign w:val="bottom"/>
          </w:tcPr>
          <w:p>
            <w:pPr>
              <w:spacing w:after="0"/>
              <w:rPr>
                <w:sz w:val="24"/>
                <w:szCs w:val="24"/>
                <w:color w:val="auto"/>
              </w:rPr>
            </w:pPr>
          </w:p>
        </w:tc>
      </w:tr>
      <w:tr>
        <w:trPr>
          <w:trHeight w:val="208"/>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2E6D"/>
              </w:rPr>
              <w:t>AND CERTAIN BENEFICIAL OWNERS</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77</w:t>
            </w:r>
          </w:p>
        </w:tc>
      </w:tr>
      <w:tr>
        <w:trPr>
          <w:trHeight w:val="285"/>
        </w:trPr>
        <w:tc>
          <w:tcPr>
            <w:tcW w:w="3120" w:type="dxa"/>
            <w:vAlign w:val="bottom"/>
          </w:tcPr>
          <w:p>
            <w:pPr>
              <w:ind w:left="20"/>
              <w:spacing w:after="0"/>
              <w:rPr>
                <w:sz w:val="20"/>
                <w:szCs w:val="20"/>
                <w:color w:val="auto"/>
              </w:rPr>
            </w:pPr>
            <w:r>
              <w:rPr>
                <w:rFonts w:ascii="Arial" w:cs="Arial" w:eastAsia="Arial" w:hAnsi="Arial"/>
                <w:sz w:val="14"/>
                <w:szCs w:val="14"/>
                <w:color w:val="002E6D"/>
              </w:rPr>
              <w:t>PROPOSAL 4:</w:t>
            </w:r>
          </w:p>
        </w:tc>
        <w:tc>
          <w:tcPr>
            <w:tcW w:w="380" w:type="dxa"/>
            <w:vAlign w:val="bottom"/>
          </w:tcPr>
          <w:p>
            <w:pPr>
              <w:spacing w:after="0"/>
              <w:rPr>
                <w:sz w:val="24"/>
                <w:szCs w:val="24"/>
                <w:color w:val="auto"/>
              </w:rPr>
            </w:pPr>
          </w:p>
        </w:tc>
      </w:tr>
      <w:tr>
        <w:trPr>
          <w:trHeight w:val="175"/>
        </w:trPr>
        <w:tc>
          <w:tcPr>
            <w:tcW w:w="3120" w:type="dxa"/>
            <w:vAlign w:val="bottom"/>
          </w:tcPr>
          <w:p>
            <w:pPr>
              <w:ind w:left="20"/>
              <w:spacing w:after="0"/>
              <w:rPr>
                <w:sz w:val="20"/>
                <w:szCs w:val="20"/>
                <w:color w:val="auto"/>
              </w:rPr>
            </w:pPr>
            <w:r>
              <w:rPr>
                <w:rFonts w:ascii="Arial" w:cs="Arial" w:eastAsia="Arial" w:hAnsi="Arial"/>
                <w:sz w:val="14"/>
                <w:szCs w:val="14"/>
                <w:color w:val="002E6D"/>
              </w:rPr>
              <w:t>RATIFICATION OF APPOINTMENT OF</w:t>
            </w:r>
          </w:p>
        </w:tc>
        <w:tc>
          <w:tcPr>
            <w:tcW w:w="380" w:type="dxa"/>
            <w:vAlign w:val="bottom"/>
          </w:tcPr>
          <w:p>
            <w:pPr>
              <w:spacing w:after="0"/>
              <w:rPr>
                <w:sz w:val="15"/>
                <w:szCs w:val="15"/>
                <w:color w:val="auto"/>
              </w:rPr>
            </w:pPr>
          </w:p>
        </w:tc>
      </w:tr>
      <w:tr>
        <w:trPr>
          <w:trHeight w:val="194"/>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2E6D"/>
              </w:rPr>
              <w:t>INDEPENDENT AUDITORS</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79</w:t>
            </w:r>
          </w:p>
        </w:tc>
      </w:tr>
      <w:tr>
        <w:trPr>
          <w:trHeight w:val="180"/>
        </w:trPr>
        <w:tc>
          <w:tcPr>
            <w:tcW w:w="3120" w:type="dxa"/>
            <w:vAlign w:val="bottom"/>
          </w:tcPr>
          <w:p>
            <w:pPr>
              <w:ind w:left="20"/>
              <w:spacing w:after="0"/>
              <w:rPr>
                <w:sz w:val="20"/>
                <w:szCs w:val="20"/>
                <w:color w:val="auto"/>
              </w:rPr>
            </w:pPr>
            <w:r>
              <w:rPr>
                <w:rFonts w:ascii="Calibri" w:cs="Calibri" w:eastAsia="Calibri" w:hAnsi="Calibri"/>
                <w:sz w:val="14"/>
                <w:szCs w:val="14"/>
                <w:color w:val="auto"/>
              </w:rPr>
              <w:t>Audit Commitee Report</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81</w:t>
            </w:r>
          </w:p>
        </w:tc>
      </w:tr>
      <w:tr>
        <w:trPr>
          <w:trHeight w:val="380"/>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2E6D"/>
              </w:rPr>
              <w:t>STOCKHOLDER PROPOSALS 5-7</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82</w:t>
            </w:r>
          </w:p>
        </w:tc>
      </w:tr>
      <w:tr>
        <w:trPr>
          <w:trHeight w:val="318"/>
        </w:trPr>
        <w:tc>
          <w:tcPr>
            <w:tcW w:w="3120" w:type="dxa"/>
            <w:vAlign w:val="bottom"/>
            <w:tcBorders>
              <w:bottom w:val="single" w:sz="8" w:color="003478"/>
            </w:tcBorders>
          </w:tcPr>
          <w:p>
            <w:pPr>
              <w:ind w:left="20"/>
              <w:spacing w:after="0"/>
              <w:rPr>
                <w:sz w:val="20"/>
                <w:szCs w:val="20"/>
                <w:color w:val="auto"/>
              </w:rPr>
            </w:pPr>
            <w:r>
              <w:rPr>
                <w:rFonts w:ascii="Arial" w:cs="Arial" w:eastAsia="Arial" w:hAnsi="Arial"/>
                <w:sz w:val="14"/>
                <w:szCs w:val="14"/>
                <w:color w:val="003478"/>
              </w:rPr>
              <w:t>FREQUENTLY ASKED QUESTIONS (FAQs)</w:t>
            </w:r>
          </w:p>
        </w:tc>
        <w:tc>
          <w:tcPr>
            <w:tcW w:w="380" w:type="dxa"/>
            <w:vAlign w:val="bottom"/>
            <w:tcBorders>
              <w:bottom w:val="single" w:sz="8" w:color="003478"/>
            </w:tcBorders>
          </w:tcPr>
          <w:p>
            <w:pPr>
              <w:jc w:val="right"/>
              <w:spacing w:after="0"/>
              <w:rPr>
                <w:sz w:val="20"/>
                <w:szCs w:val="20"/>
                <w:color w:val="auto"/>
              </w:rPr>
            </w:pPr>
            <w:r>
              <w:rPr>
                <w:rFonts w:ascii="Arial" w:cs="Arial" w:eastAsia="Arial" w:hAnsi="Arial"/>
                <w:sz w:val="14"/>
                <w:szCs w:val="14"/>
                <w:color w:val="003478"/>
              </w:rPr>
              <w:t>91</w:t>
            </w:r>
          </w:p>
        </w:tc>
      </w:tr>
      <w:tr>
        <w:trPr>
          <w:trHeight w:val="167"/>
        </w:trPr>
        <w:tc>
          <w:tcPr>
            <w:tcW w:w="3120" w:type="dxa"/>
            <w:vAlign w:val="bottom"/>
          </w:tcPr>
          <w:p>
            <w:pPr>
              <w:ind w:left="20"/>
              <w:spacing w:after="0" w:line="168" w:lineRule="exact"/>
              <w:rPr>
                <w:sz w:val="20"/>
                <w:szCs w:val="20"/>
                <w:color w:val="auto"/>
              </w:rPr>
            </w:pPr>
            <w:r>
              <w:rPr>
                <w:rFonts w:ascii="Calibri" w:cs="Calibri" w:eastAsia="Calibri" w:hAnsi="Calibri"/>
                <w:sz w:val="14"/>
                <w:szCs w:val="14"/>
                <w:color w:val="auto"/>
              </w:rPr>
              <w:t>Appendix A: Defniton of Non-GAAP Measures</w:t>
            </w:r>
          </w:p>
        </w:tc>
        <w:tc>
          <w:tcPr>
            <w:tcW w:w="380" w:type="dxa"/>
            <w:vAlign w:val="bottom"/>
          </w:tcPr>
          <w:p>
            <w:pPr>
              <w:jc w:val="right"/>
              <w:spacing w:after="0" w:line="168" w:lineRule="exact"/>
              <w:rPr>
                <w:sz w:val="20"/>
                <w:szCs w:val="20"/>
                <w:color w:val="auto"/>
              </w:rPr>
            </w:pPr>
            <w:r>
              <w:rPr>
                <w:rFonts w:ascii="Calibri" w:cs="Calibri" w:eastAsia="Calibri" w:hAnsi="Calibri"/>
                <w:sz w:val="14"/>
                <w:szCs w:val="14"/>
                <w:color w:val="auto"/>
              </w:rPr>
              <w:t>98</w:t>
            </w:r>
          </w:p>
        </w:tc>
      </w:tr>
      <w:tr>
        <w:trPr>
          <w:trHeight w:val="188"/>
        </w:trPr>
        <w:tc>
          <w:tcPr>
            <w:tcW w:w="3120" w:type="dxa"/>
            <w:vAlign w:val="bottom"/>
          </w:tcPr>
          <w:p>
            <w:pPr>
              <w:ind w:left="20"/>
              <w:spacing w:after="0"/>
              <w:rPr>
                <w:sz w:val="20"/>
                <w:szCs w:val="20"/>
                <w:color w:val="auto"/>
              </w:rPr>
            </w:pPr>
            <w:r>
              <w:rPr>
                <w:rFonts w:ascii="Calibri" w:cs="Calibri" w:eastAsia="Calibri" w:hAnsi="Calibri"/>
                <w:sz w:val="14"/>
                <w:szCs w:val="14"/>
                <w:color w:val="auto"/>
              </w:rPr>
              <w:t>Disclosure Regarding Forward-Looking Statements</w:t>
            </w:r>
          </w:p>
        </w:tc>
        <w:tc>
          <w:tcPr>
            <w:tcW w:w="380" w:type="dxa"/>
            <w:vAlign w:val="bottom"/>
          </w:tcPr>
          <w:p>
            <w:pPr>
              <w:jc w:val="right"/>
              <w:spacing w:after="0"/>
              <w:rPr>
                <w:sz w:val="20"/>
                <w:szCs w:val="20"/>
                <w:color w:val="auto"/>
              </w:rPr>
            </w:pPr>
            <w:r>
              <w:rPr>
                <w:rFonts w:ascii="Calibri" w:cs="Calibri" w:eastAsia="Calibri" w:hAnsi="Calibri"/>
                <w:sz w:val="14"/>
                <w:szCs w:val="14"/>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899795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3478"/>
        </w:rPr>
        <w:t>Frequently Requested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-222885</wp:posOffset>
            </wp:positionV>
            <wp:extent cx="2211705" cy="3780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11705" cy="37801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Board Attendance</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7</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Board Leadership Structure</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18</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Board Oversight of Risk</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22</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Board Performance Assessment</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28</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Climate &amp; Environmental Stewardship</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33</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Compensation Discussion and Analysis</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41</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Cybersecurity</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37</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Director Compensation</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75</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Director Nominees’ Strategic Skills, Core</w:t>
            </w:r>
          </w:p>
        </w:tc>
        <w:tc>
          <w:tcPr>
            <w:tcW w:w="38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003478"/>
              </w:rPr>
              <w:t>8</w:t>
            </w:r>
          </w:p>
        </w:tc>
        <w:tc>
          <w:tcPr>
            <w:tcW w:w="180" w:type="dxa"/>
            <w:vAlign w:val="bottom"/>
            <w:shd w:val="clear" w:color="auto" w:fill="E4E6E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Competencies and Attributes Matrix</w:t>
            </w:r>
          </w:p>
        </w:tc>
        <w:tc>
          <w:tcPr>
            <w:tcW w:w="380" w:type="dxa"/>
            <w:vAlign w:val="bottom"/>
            <w:vMerge w:val="continue"/>
            <w:shd w:val="clear" w:color="auto" w:fill="E4E6EF"/>
          </w:tcPr>
          <w:p>
            <w:pPr>
              <w:spacing w:after="0"/>
              <w:rPr>
                <w:sz w:val="16"/>
                <w:szCs w:val="16"/>
                <w:color w:val="auto"/>
              </w:rPr>
            </w:pPr>
          </w:p>
        </w:tc>
        <w:tc>
          <w:tcPr>
            <w:tcW w:w="180" w:type="dxa"/>
            <w:vAlign w:val="bottom"/>
            <w:shd w:val="clear" w:color="auto" w:fill="E4E6E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Director Nominee Biographies</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10</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Diversity &amp; Inclusion</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35</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Environmental, Social and Governance</w:t>
            </w:r>
          </w:p>
        </w:tc>
        <w:tc>
          <w:tcPr>
            <w:tcW w:w="38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003478"/>
              </w:rPr>
              <w:t>32</w:t>
            </w:r>
          </w:p>
        </w:tc>
        <w:tc>
          <w:tcPr>
            <w:tcW w:w="180" w:type="dxa"/>
            <w:vAlign w:val="bottom"/>
            <w:shd w:val="clear" w:color="auto" w:fill="E4E6E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(ESG)</w:t>
            </w:r>
          </w:p>
        </w:tc>
        <w:tc>
          <w:tcPr>
            <w:tcW w:w="380" w:type="dxa"/>
            <w:vAlign w:val="bottom"/>
            <w:vMerge w:val="continue"/>
            <w:shd w:val="clear" w:color="auto" w:fill="E4E6EF"/>
          </w:tcPr>
          <w:p>
            <w:pPr>
              <w:spacing w:after="0"/>
              <w:rPr>
                <w:sz w:val="16"/>
                <w:szCs w:val="16"/>
                <w:color w:val="auto"/>
              </w:rPr>
            </w:pPr>
          </w:p>
        </w:tc>
        <w:tc>
          <w:tcPr>
            <w:tcW w:w="180" w:type="dxa"/>
            <w:vAlign w:val="bottom"/>
            <w:shd w:val="clear" w:color="auto" w:fill="E4E6E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Human Rights</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38</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Oversight of Director Commitments</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26</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Political and Public Policy Activities</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37</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760" w:type="dxa"/>
            <w:vAlign w:val="bottom"/>
            <w:shd w:val="clear" w:color="auto" w:fill="E4E6EF"/>
          </w:tcPr>
          <w:p>
            <w:pPr>
              <w:ind w:left="20"/>
              <w:spacing w:after="0"/>
              <w:rPr>
                <w:sz w:val="20"/>
                <w:szCs w:val="20"/>
                <w:color w:val="auto"/>
              </w:rPr>
            </w:pPr>
            <w:r>
              <w:rPr>
                <w:rFonts w:ascii="Arial" w:cs="Arial" w:eastAsia="Arial" w:hAnsi="Arial"/>
                <w:sz w:val="14"/>
                <w:szCs w:val="14"/>
                <w:color w:val="003478"/>
              </w:rPr>
              <w:t>Stockholder Engagement Program</w:t>
            </w:r>
          </w:p>
        </w:tc>
        <w:tc>
          <w:tcPr>
            <w:tcW w:w="380" w:type="dxa"/>
            <w:vAlign w:val="bottom"/>
            <w:shd w:val="clear" w:color="auto" w:fill="E4E6EF"/>
          </w:tcPr>
          <w:p>
            <w:pPr>
              <w:jc w:val="right"/>
              <w:spacing w:after="0"/>
              <w:rPr>
                <w:sz w:val="20"/>
                <w:szCs w:val="20"/>
                <w:color w:val="auto"/>
              </w:rPr>
            </w:pPr>
            <w:r>
              <w:rPr>
                <w:rFonts w:ascii="Arial" w:cs="Arial" w:eastAsia="Arial" w:hAnsi="Arial"/>
                <w:sz w:val="14"/>
                <w:szCs w:val="14"/>
                <w:color w:val="003478"/>
              </w:rPr>
              <w:t>24</w:t>
            </w:r>
          </w:p>
        </w:tc>
        <w:tc>
          <w:tcPr>
            <w:tcW w:w="18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760" w:type="dxa"/>
            <w:vAlign w:val="bottom"/>
            <w:shd w:val="clear" w:color="auto" w:fill="E4E6EF"/>
          </w:tcPr>
          <w:p>
            <w:pPr>
              <w:spacing w:after="0"/>
              <w:rPr>
                <w:sz w:val="10"/>
                <w:szCs w:val="10"/>
                <w:color w:val="auto"/>
              </w:rPr>
            </w:pPr>
          </w:p>
        </w:tc>
        <w:tc>
          <w:tcPr>
            <w:tcW w:w="380" w:type="dxa"/>
            <w:vAlign w:val="bottom"/>
            <w:shd w:val="clear" w:color="auto" w:fill="E4E6EF"/>
          </w:tcPr>
          <w:p>
            <w:pPr>
              <w:spacing w:after="0"/>
              <w:rPr>
                <w:sz w:val="10"/>
                <w:szCs w:val="10"/>
                <w:color w:val="auto"/>
              </w:rPr>
            </w:pPr>
          </w:p>
        </w:tc>
        <w:tc>
          <w:tcPr>
            <w:tcW w:w="180" w:type="dxa"/>
            <w:vAlign w:val="bottom"/>
            <w:shd w:val="clear" w:color="auto" w:fill="E4E6EF"/>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3">
            <w:col w:w="3500" w:space="320"/>
            <w:col w:w="3500" w:space="480"/>
            <w:col w:w="3320"/>
          </w:cols>
          <w:pgMar w:left="320" w:top="1300" w:right="459" w:bottom="1440" w:gutter="0" w:footer="0" w:header="0"/>
        </w:sectPr>
      </w:pPr>
    </w:p>
    <w:bookmarkStart w:id="6" w:name="page7"/>
    <w:bookmarkEnd w:id="6"/>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3"/>
          <w:szCs w:val="43"/>
          <w:color w:val="003478"/>
        </w:rPr>
        <w:t>About Lockheed Martin</w:t>
      </w:r>
    </w:p>
    <w:p>
      <w:pPr>
        <w:spacing w:after="0" w:line="249" w:lineRule="exact"/>
        <w:rPr>
          <w:sz w:val="20"/>
          <w:szCs w:val="20"/>
          <w:color w:val="auto"/>
        </w:rPr>
      </w:pPr>
    </w:p>
    <w:p>
      <w:pPr>
        <w:ind w:right="160"/>
        <w:spacing w:after="0" w:line="257" w:lineRule="auto"/>
        <w:rPr>
          <w:sz w:val="20"/>
          <w:szCs w:val="20"/>
          <w:color w:val="auto"/>
        </w:rPr>
      </w:pPr>
      <w:r>
        <w:rPr>
          <w:rFonts w:ascii="Calibri" w:cs="Calibri" w:eastAsia="Calibri" w:hAnsi="Calibri"/>
          <w:sz w:val="17"/>
          <w:szCs w:val="17"/>
          <w:color w:val="auto"/>
        </w:rPr>
        <w:t>Lockheed Martn Corporaton (Lockheed Martn, the Company, us or we) (NYSE: LMT) is a global security and aerospace company principally engaged in the research, design, development, manufacture, integraton and sustainment of advanced technology systems, products and services. We also provide a broad range of management, engineering, technical, scientfc, logistcs, system integraton and cybersecurity services. We serve both U.S. and internatonal customers with products and services that have defense, civil and commercial applicatons, with our principal customers being agencies of the U.S.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447040</wp:posOffset>
            </wp:positionV>
            <wp:extent cx="8255" cy="3797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379730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9"/>
          <w:szCs w:val="29"/>
          <w:color w:val="003478"/>
        </w:rPr>
        <w:t>Financial Strength: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2768600" cy="1345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68600" cy="134556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1891665</wp:posOffset>
            </wp:positionV>
            <wp:extent cx="385445" cy="386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54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60"/>
        <w:spacing w:after="0"/>
        <w:rPr>
          <w:sz w:val="20"/>
          <w:szCs w:val="20"/>
          <w:color w:val="auto"/>
        </w:rPr>
      </w:pPr>
      <w:r>
        <w:rPr>
          <w:rFonts w:ascii="Arial" w:cs="Arial" w:eastAsia="Arial" w:hAnsi="Arial"/>
          <w:sz w:val="29"/>
          <w:szCs w:val="29"/>
          <w:color w:val="002E6D"/>
        </w:rPr>
        <w:t>73%</w:t>
      </w:r>
    </w:p>
    <w:p>
      <w:pPr>
        <w:spacing w:after="0" w:line="6"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5-year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255905</wp:posOffset>
            </wp:positionV>
            <wp:extent cx="385445" cy="386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5445" cy="38608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160"/>
        <w:spacing w:after="0"/>
        <w:rPr>
          <w:sz w:val="20"/>
          <w:szCs w:val="20"/>
          <w:color w:val="auto"/>
        </w:rPr>
      </w:pPr>
      <w:r>
        <w:rPr>
          <w:rFonts w:ascii="Arial" w:cs="Arial" w:eastAsia="Arial" w:hAnsi="Arial"/>
          <w:sz w:val="29"/>
          <w:szCs w:val="29"/>
          <w:color w:val="002E6D"/>
        </w:rPr>
        <w:t>7%</w:t>
      </w:r>
    </w:p>
    <w:p>
      <w:pPr>
        <w:spacing w:after="0" w:line="6" w:lineRule="exact"/>
        <w:rPr>
          <w:sz w:val="20"/>
          <w:szCs w:val="20"/>
          <w:color w:val="auto"/>
        </w:rPr>
      </w:pPr>
    </w:p>
    <w:p>
      <w:pPr>
        <w:ind w:left="1160"/>
        <w:spacing w:after="0"/>
        <w:rPr>
          <w:sz w:val="20"/>
          <w:szCs w:val="20"/>
          <w:color w:val="auto"/>
        </w:rPr>
      </w:pPr>
      <w:r>
        <w:rPr>
          <w:rFonts w:ascii="Calibri" w:cs="Calibri" w:eastAsia="Calibri" w:hAnsi="Calibri"/>
          <w:sz w:val="17"/>
          <w:szCs w:val="17"/>
          <w:color w:val="auto"/>
        </w:rPr>
        <w:t>Increase to Annual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230505</wp:posOffset>
            </wp:positionV>
            <wp:extent cx="394335"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4335" cy="342900"/>
                    </a:xfrm>
                    <a:prstGeom prst="rect">
                      <a:avLst/>
                    </a:prstGeom>
                    <a:noFill/>
                  </pic:spPr>
                </pic:pic>
              </a:graphicData>
            </a:graphic>
          </wp:anchor>
        </w:drawing>
      </w:r>
    </w:p>
    <w:p>
      <w:pPr>
        <w:spacing w:after="0" w:line="365" w:lineRule="exact"/>
        <w:rPr>
          <w:sz w:val="20"/>
          <w:szCs w:val="20"/>
          <w:color w:val="auto"/>
        </w:rPr>
      </w:pPr>
    </w:p>
    <w:p>
      <w:pPr>
        <w:ind w:left="1160"/>
        <w:spacing w:after="0"/>
        <w:rPr>
          <w:sz w:val="20"/>
          <w:szCs w:val="20"/>
          <w:color w:val="auto"/>
        </w:rPr>
      </w:pPr>
      <w:r>
        <w:rPr>
          <w:rFonts w:ascii="Arial" w:cs="Arial" w:eastAsia="Arial" w:hAnsi="Arial"/>
          <w:sz w:val="29"/>
          <w:szCs w:val="29"/>
          <w:color w:val="003478"/>
        </w:rPr>
        <w:t>$5.7B</w:t>
      </w:r>
    </w:p>
    <w:p>
      <w:pPr>
        <w:ind w:left="1160"/>
        <w:spacing w:after="0" w:line="199" w:lineRule="auto"/>
        <w:rPr>
          <w:sz w:val="20"/>
          <w:szCs w:val="20"/>
          <w:color w:val="auto"/>
        </w:rPr>
      </w:pPr>
      <w:r>
        <w:rPr>
          <w:rFonts w:ascii="Calibri" w:cs="Calibri" w:eastAsia="Calibri" w:hAnsi="Calibri"/>
          <w:sz w:val="17"/>
          <w:szCs w:val="17"/>
          <w:color w:val="auto"/>
        </w:rPr>
        <w:t>Net Earnings</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9"/>
          <w:szCs w:val="29"/>
          <w:color w:val="003478"/>
        </w:rPr>
        <w:t>Countries with 250+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108585</wp:posOffset>
            </wp:positionV>
            <wp:extent cx="368300" cy="261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8300" cy="261620"/>
                    </a:xfrm>
                    <a:prstGeom prst="rect">
                      <a:avLst/>
                    </a:prstGeom>
                    <a:noFill/>
                  </pic:spPr>
                </pic:pic>
              </a:graphicData>
            </a:graphic>
          </wp:anchor>
        </w:drawing>
      </w:r>
    </w:p>
    <w:p>
      <w:pPr>
        <w:spacing w:after="0" w:line="90" w:lineRule="exact"/>
        <w:rPr>
          <w:sz w:val="20"/>
          <w:szCs w:val="20"/>
          <w:color w:val="auto"/>
        </w:rPr>
      </w:pPr>
    </w:p>
    <w:p>
      <w:pPr>
        <w:ind w:left="1160"/>
        <w:spacing w:after="0"/>
        <w:tabs>
          <w:tab w:leader="none" w:pos="3322" w:val="left"/>
        </w:tabs>
        <w:rPr>
          <w:sz w:val="20"/>
          <w:szCs w:val="20"/>
          <w:color w:val="auto"/>
        </w:rPr>
      </w:pPr>
      <w:r>
        <w:rPr>
          <w:rFonts w:ascii="Arial" w:cs="Arial" w:eastAsia="Arial" w:hAnsi="Arial"/>
          <w:sz w:val="29"/>
          <w:szCs w:val="29"/>
          <w:color w:val="002E6D"/>
        </w:rPr>
        <w:t>100,000+</w:t>
      </w:r>
      <w:r>
        <w:rPr>
          <w:sz w:val="20"/>
          <w:szCs w:val="20"/>
          <w:color w:val="auto"/>
        </w:rPr>
        <w:tab/>
      </w:r>
      <w:r>
        <w:rPr>
          <w:sz w:val="1"/>
          <w:szCs w:val="1"/>
          <w:color w:val="auto"/>
        </w:rPr>
        <w:drawing>
          <wp:inline distT="0" distB="0" distL="0" distR="0">
            <wp:extent cx="368300" cy="2616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8300" cy="261620"/>
                    </a:xfrm>
                    <a:prstGeom prst="rect">
                      <a:avLst/>
                    </a:prstGeom>
                    <a:noFill/>
                    <a:ln>
                      <a:noFill/>
                    </a:ln>
                  </pic:spPr>
                </pic:pic>
              </a:graphicData>
            </a:graphic>
          </wp:inline>
        </w:drawing>
      </w:r>
      <w:r>
        <w:rPr>
          <w:rFonts w:ascii="Arial" w:cs="Arial" w:eastAsia="Arial" w:hAnsi="Arial"/>
          <w:sz w:val="29"/>
          <w:szCs w:val="29"/>
          <w:color w:val="002E6D"/>
        </w:rPr>
        <w:t xml:space="preserve">    1,500+</w:t>
      </w:r>
    </w:p>
    <w:p>
      <w:pPr>
        <w:jc w:val="right"/>
        <w:ind w:right="460"/>
        <w:spacing w:after="0" w:line="196" w:lineRule="auto"/>
        <w:tabs>
          <w:tab w:leader="none" w:pos="1580" w:val="left"/>
        </w:tabs>
        <w:rPr>
          <w:sz w:val="20"/>
          <w:szCs w:val="20"/>
          <w:color w:val="auto"/>
        </w:rPr>
      </w:pPr>
      <w:r>
        <w:rPr>
          <w:rFonts w:ascii="Calibri" w:cs="Calibri" w:eastAsia="Calibri" w:hAnsi="Calibri"/>
          <w:sz w:val="17"/>
          <w:szCs w:val="17"/>
          <w:color w:val="auto"/>
        </w:rPr>
        <w:t>United States</w:t>
      </w:r>
      <w:r>
        <w:rPr>
          <w:sz w:val="20"/>
          <w:szCs w:val="20"/>
          <w:color w:val="auto"/>
        </w:rPr>
        <w:tab/>
      </w:r>
      <w:r>
        <w:rPr>
          <w:rFonts w:ascii="Calibri" w:cs="Calibri" w:eastAsia="Calibri" w:hAnsi="Calibri"/>
          <w:sz w:val="17"/>
          <w:szCs w:val="17"/>
          <w:color w:val="auto"/>
        </w:rPr>
        <w:t>United Kingdom</w:t>
      </w:r>
    </w:p>
    <w:p>
      <w:pPr>
        <w:spacing w:after="0" w:line="154" w:lineRule="exact"/>
        <w:rPr>
          <w:sz w:val="20"/>
          <w:szCs w:val="20"/>
          <w:color w:val="auto"/>
        </w:rPr>
      </w:pPr>
    </w:p>
    <w:p>
      <w:pPr>
        <w:ind w:left="1160"/>
        <w:spacing w:after="0"/>
        <w:tabs>
          <w:tab w:leader="none" w:pos="3322" w:val="left"/>
        </w:tabs>
        <w:rPr>
          <w:sz w:val="20"/>
          <w:szCs w:val="20"/>
          <w:color w:val="auto"/>
        </w:rPr>
      </w:pPr>
      <w:r>
        <w:rPr>
          <w:rFonts w:ascii="Arial" w:cs="Arial" w:eastAsia="Arial" w:hAnsi="Arial"/>
          <w:sz w:val="29"/>
          <w:szCs w:val="29"/>
          <w:color w:val="002E6D"/>
        </w:rPr>
        <w:t>1,500+</w:t>
      </w:r>
      <w:r>
        <w:rPr>
          <w:sz w:val="20"/>
          <w:szCs w:val="20"/>
          <w:color w:val="auto"/>
        </w:rPr>
        <w:tab/>
      </w:r>
      <w:r>
        <w:rPr>
          <w:sz w:val="1"/>
          <w:szCs w:val="1"/>
          <w:color w:val="auto"/>
        </w:rPr>
        <w:drawing>
          <wp:inline distT="0" distB="0" distL="0" distR="0">
            <wp:extent cx="368300" cy="2616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8300" cy="261620"/>
                    </a:xfrm>
                    <a:prstGeom prst="rect">
                      <a:avLst/>
                    </a:prstGeom>
                    <a:noFill/>
                    <a:ln>
                      <a:noFill/>
                    </a:ln>
                  </pic:spPr>
                </pic:pic>
              </a:graphicData>
            </a:graphic>
          </wp:inline>
        </w:drawing>
      </w:r>
      <w:r>
        <w:rPr>
          <w:rFonts w:ascii="Arial" w:cs="Arial" w:eastAsia="Arial" w:hAnsi="Arial"/>
          <w:sz w:val="29"/>
          <w:szCs w:val="29"/>
          <w:color w:val="002E6D"/>
        </w:rPr>
        <w:t xml:space="preserve">    1,250+</w:t>
      </w:r>
    </w:p>
    <w:p>
      <w:pPr>
        <w:ind w:left="1160"/>
        <w:spacing w:after="0" w:line="196" w:lineRule="auto"/>
        <w:tabs>
          <w:tab w:leader="none" w:pos="4480" w:val="left"/>
        </w:tabs>
        <w:rPr>
          <w:sz w:val="20"/>
          <w:szCs w:val="20"/>
          <w:color w:val="auto"/>
        </w:rPr>
      </w:pPr>
      <w:r>
        <w:rPr>
          <w:rFonts w:ascii="Calibri" w:cs="Calibri" w:eastAsia="Calibri" w:hAnsi="Calibri"/>
          <w:sz w:val="17"/>
          <w:szCs w:val="17"/>
          <w:color w:val="auto"/>
        </w:rPr>
        <w:t>Poland</w:t>
      </w:r>
      <w:r>
        <w:rPr>
          <w:sz w:val="20"/>
          <w:szCs w:val="20"/>
          <w:color w:val="auto"/>
        </w:rPr>
        <w:tab/>
      </w:r>
      <w:r>
        <w:rPr>
          <w:rFonts w:ascii="Calibri" w:cs="Calibri" w:eastAsia="Calibri" w:hAnsi="Calibri"/>
          <w:sz w:val="17"/>
          <w:szCs w:val="17"/>
          <w:color w:val="auto"/>
        </w:rPr>
        <w:t>Canada</w:t>
      </w:r>
    </w:p>
    <w:p>
      <w:pPr>
        <w:spacing w:after="0" w:line="194" w:lineRule="exact"/>
        <w:rPr>
          <w:sz w:val="20"/>
          <w:szCs w:val="20"/>
          <w:color w:val="auto"/>
        </w:rPr>
      </w:pPr>
    </w:p>
    <w:p>
      <w:pPr>
        <w:ind w:left="1160"/>
        <w:spacing w:after="0"/>
        <w:tabs>
          <w:tab w:leader="none" w:pos="3322" w:val="left"/>
        </w:tabs>
        <w:rPr>
          <w:sz w:val="20"/>
          <w:szCs w:val="20"/>
          <w:color w:val="auto"/>
        </w:rPr>
      </w:pPr>
      <w:r>
        <w:rPr>
          <w:rFonts w:ascii="Arial" w:cs="Arial" w:eastAsia="Arial" w:hAnsi="Arial"/>
          <w:sz w:val="29"/>
          <w:szCs w:val="29"/>
          <w:color w:val="002E6D"/>
        </w:rPr>
        <w:t>1,000+</w:t>
      </w:r>
      <w:r>
        <w:rPr>
          <w:sz w:val="20"/>
          <w:szCs w:val="20"/>
          <w:color w:val="auto"/>
        </w:rPr>
        <w:tab/>
      </w:r>
      <w:r>
        <w:rPr>
          <w:sz w:val="1"/>
          <w:szCs w:val="1"/>
          <w:color w:val="auto"/>
        </w:rPr>
        <w:drawing>
          <wp:inline distT="0" distB="0" distL="0" distR="0">
            <wp:extent cx="368300" cy="2184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8300" cy="218440"/>
                    </a:xfrm>
                    <a:prstGeom prst="rect">
                      <a:avLst/>
                    </a:prstGeom>
                    <a:noFill/>
                    <a:ln>
                      <a:noFill/>
                    </a:ln>
                  </pic:spPr>
                </pic:pic>
              </a:graphicData>
            </a:graphic>
          </wp:inline>
        </w:drawing>
      </w:r>
      <w:r>
        <w:rPr>
          <w:rFonts w:ascii="Arial" w:cs="Arial" w:eastAsia="Arial" w:hAnsi="Arial"/>
          <w:sz w:val="29"/>
          <w:szCs w:val="29"/>
          <w:color w:val="002E6D"/>
        </w:rPr>
        <w:t xml:space="preserve">    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368300" cy="218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8300" cy="218440"/>
                    </a:xfrm>
                    <a:prstGeom prst="rect">
                      <a:avLst/>
                    </a:prstGeom>
                    <a:noFill/>
                  </pic:spPr>
                </pic:pic>
              </a:graphicData>
            </a:graphic>
          </wp:anchor>
        </w:drawing>
      </w:r>
    </w:p>
    <w:p>
      <w:pPr>
        <w:ind w:left="1160"/>
        <w:spacing w:after="0" w:line="196" w:lineRule="auto"/>
        <w:tabs>
          <w:tab w:leader="none" w:pos="4480" w:val="left"/>
        </w:tabs>
        <w:rPr>
          <w:sz w:val="20"/>
          <w:szCs w:val="20"/>
          <w:color w:val="auto"/>
        </w:rPr>
      </w:pPr>
      <w:r>
        <w:rPr>
          <w:rFonts w:ascii="Calibri" w:cs="Calibri" w:eastAsia="Calibri" w:hAnsi="Calibri"/>
          <w:sz w:val="17"/>
          <w:szCs w:val="17"/>
          <w:color w:val="auto"/>
        </w:rPr>
        <w:t>Australia</w:t>
      </w:r>
      <w:r>
        <w:rPr>
          <w:sz w:val="20"/>
          <w:szCs w:val="20"/>
          <w:color w:val="auto"/>
        </w:rPr>
        <w:tab/>
      </w:r>
      <w:r>
        <w:rPr>
          <w:rFonts w:ascii="Calibri" w:cs="Calibri" w:eastAsia="Calibri" w:hAnsi="Calibri"/>
          <w:sz w:val="17"/>
          <w:szCs w:val="17"/>
          <w:color w:val="auto"/>
        </w:rPr>
        <w:t>New Zealand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29"/>
          <w:szCs w:val="29"/>
          <w:color w:val="003478"/>
        </w:rPr>
        <w:t>Industry-Leading Portfolio</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(2022 Sales)</w:t>
      </w:r>
    </w:p>
    <w:p>
      <w:pPr>
        <w:spacing w:after="0" w:line="378" w:lineRule="exact"/>
        <w:rPr>
          <w:sz w:val="20"/>
          <w:szCs w:val="20"/>
          <w:color w:val="auto"/>
        </w:rPr>
      </w:pPr>
    </w:p>
    <w:p>
      <w:pPr>
        <w:ind w:left="1340"/>
        <w:spacing w:after="0"/>
        <w:rPr>
          <w:sz w:val="20"/>
          <w:szCs w:val="20"/>
          <w:color w:val="auto"/>
        </w:rPr>
      </w:pPr>
      <w:r>
        <w:rPr>
          <w:rFonts w:ascii="Arial" w:cs="Arial" w:eastAsia="Arial" w:hAnsi="Arial"/>
          <w:sz w:val="29"/>
          <w:szCs w:val="29"/>
          <w:b w:val="1"/>
          <w:bCs w:val="1"/>
          <w:color w:val="003478"/>
        </w:rPr>
        <w:t>$27.0B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-158115</wp:posOffset>
            </wp:positionV>
            <wp:extent cx="436880" cy="428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6880" cy="4286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7"/>
          <w:szCs w:val="17"/>
          <w:color w:val="003478"/>
        </w:rPr>
        <w:t>AERONAUTICS</w:t>
      </w:r>
    </w:p>
    <w:p>
      <w:pPr>
        <w:spacing w:after="0" w:line="200" w:lineRule="exact"/>
        <w:rPr>
          <w:sz w:val="20"/>
          <w:szCs w:val="20"/>
          <w:color w:val="auto"/>
        </w:rPr>
      </w:pPr>
    </w:p>
    <w:p>
      <w:pPr>
        <w:spacing w:after="0" w:line="378" w:lineRule="exact"/>
        <w:rPr>
          <w:sz w:val="20"/>
          <w:szCs w:val="20"/>
          <w:color w:val="auto"/>
        </w:rPr>
      </w:pPr>
    </w:p>
    <w:p>
      <w:pPr>
        <w:ind w:left="1340"/>
        <w:spacing w:after="0"/>
        <w:rPr>
          <w:sz w:val="20"/>
          <w:szCs w:val="20"/>
          <w:color w:val="auto"/>
        </w:rPr>
      </w:pPr>
      <w:r>
        <w:rPr>
          <w:rFonts w:ascii="Arial" w:cs="Arial" w:eastAsia="Arial" w:hAnsi="Arial"/>
          <w:sz w:val="29"/>
          <w:szCs w:val="29"/>
          <w:b w:val="1"/>
          <w:bCs w:val="1"/>
          <w:color w:val="003478"/>
        </w:rPr>
        <w:t>$11.3B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-167005</wp:posOffset>
            </wp:positionV>
            <wp:extent cx="436880" cy="43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6880" cy="437515"/>
                    </a:xfrm>
                    <a:prstGeom prst="rect">
                      <a:avLst/>
                    </a:prstGeom>
                    <a:noFill/>
                  </pic:spPr>
                </pic:pic>
              </a:graphicData>
            </a:graphic>
          </wp:anchor>
        </w:drawing>
      </w:r>
    </w:p>
    <w:p>
      <w:pPr>
        <w:ind w:left="1340"/>
        <w:spacing w:after="0" w:line="215" w:lineRule="auto"/>
        <w:rPr>
          <w:sz w:val="20"/>
          <w:szCs w:val="20"/>
          <w:color w:val="auto"/>
        </w:rPr>
      </w:pPr>
      <w:r>
        <w:rPr>
          <w:rFonts w:ascii="Arial" w:cs="Arial" w:eastAsia="Arial" w:hAnsi="Arial"/>
          <w:sz w:val="17"/>
          <w:szCs w:val="17"/>
          <w:color w:val="003478"/>
        </w:rPr>
        <w:t>MISSILES AND</w:t>
      </w:r>
    </w:p>
    <w:p>
      <w:pPr>
        <w:ind w:left="1340"/>
        <w:spacing w:after="0"/>
        <w:rPr>
          <w:sz w:val="20"/>
          <w:szCs w:val="20"/>
          <w:color w:val="auto"/>
        </w:rPr>
      </w:pPr>
      <w:r>
        <w:rPr>
          <w:rFonts w:ascii="Arial" w:cs="Arial" w:eastAsia="Arial" w:hAnsi="Arial"/>
          <w:sz w:val="17"/>
          <w:szCs w:val="17"/>
          <w:color w:val="003478"/>
        </w:rPr>
        <w:t>FIRE CONTROL</w:t>
      </w:r>
    </w:p>
    <w:p>
      <w:pPr>
        <w:spacing w:after="0" w:line="389" w:lineRule="exact"/>
        <w:rPr>
          <w:sz w:val="20"/>
          <w:szCs w:val="20"/>
          <w:color w:val="auto"/>
        </w:rPr>
      </w:pPr>
    </w:p>
    <w:p>
      <w:pPr>
        <w:ind w:left="1340"/>
        <w:spacing w:after="0"/>
        <w:rPr>
          <w:sz w:val="20"/>
          <w:szCs w:val="20"/>
          <w:color w:val="auto"/>
        </w:rPr>
      </w:pPr>
      <w:r>
        <w:rPr>
          <w:rFonts w:ascii="Arial" w:cs="Arial" w:eastAsia="Arial" w:hAnsi="Arial"/>
          <w:sz w:val="29"/>
          <w:szCs w:val="29"/>
          <w:b w:val="1"/>
          <w:bCs w:val="1"/>
          <w:color w:val="003478"/>
        </w:rPr>
        <w:t>$16.2B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-184150</wp:posOffset>
            </wp:positionV>
            <wp:extent cx="436880" cy="436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6880" cy="436880"/>
                    </a:xfrm>
                    <a:prstGeom prst="rect">
                      <a:avLst/>
                    </a:prstGeom>
                    <a:noFill/>
                  </pic:spPr>
                </pic:pic>
              </a:graphicData>
            </a:graphic>
          </wp:anchor>
        </w:drawing>
      </w:r>
    </w:p>
    <w:p>
      <w:pPr>
        <w:ind w:left="1340"/>
        <w:spacing w:after="0" w:line="215" w:lineRule="auto"/>
        <w:rPr>
          <w:sz w:val="20"/>
          <w:szCs w:val="20"/>
          <w:color w:val="auto"/>
        </w:rPr>
      </w:pPr>
      <w:r>
        <w:rPr>
          <w:rFonts w:ascii="Arial" w:cs="Arial" w:eastAsia="Arial" w:hAnsi="Arial"/>
          <w:sz w:val="17"/>
          <w:szCs w:val="17"/>
          <w:color w:val="003478"/>
        </w:rPr>
        <w:t>ROTARY AND</w:t>
      </w:r>
    </w:p>
    <w:p>
      <w:pPr>
        <w:ind w:left="1340"/>
        <w:spacing w:after="0"/>
        <w:rPr>
          <w:sz w:val="20"/>
          <w:szCs w:val="20"/>
          <w:color w:val="auto"/>
        </w:rPr>
      </w:pPr>
      <w:r>
        <w:rPr>
          <w:rFonts w:ascii="Arial" w:cs="Arial" w:eastAsia="Arial" w:hAnsi="Arial"/>
          <w:sz w:val="17"/>
          <w:szCs w:val="17"/>
          <w:color w:val="003478"/>
        </w:rPr>
        <w:t>MISSION SYSTEMS</w:t>
      </w:r>
    </w:p>
    <w:p>
      <w:pPr>
        <w:spacing w:after="0" w:line="322" w:lineRule="exact"/>
        <w:rPr>
          <w:sz w:val="20"/>
          <w:szCs w:val="20"/>
          <w:color w:val="auto"/>
        </w:rPr>
      </w:pPr>
    </w:p>
    <w:p>
      <w:pPr>
        <w:ind w:left="1340"/>
        <w:spacing w:after="0"/>
        <w:rPr>
          <w:sz w:val="20"/>
          <w:szCs w:val="20"/>
          <w:color w:val="auto"/>
        </w:rPr>
      </w:pPr>
      <w:r>
        <w:rPr>
          <w:rFonts w:ascii="Arial" w:cs="Arial" w:eastAsia="Arial" w:hAnsi="Arial"/>
          <w:sz w:val="29"/>
          <w:szCs w:val="29"/>
          <w:b w:val="1"/>
          <w:bCs w:val="1"/>
          <w:color w:val="003478"/>
        </w:rPr>
        <w:t>$11.5</w:t>
      </w:r>
      <w:r>
        <w:rPr>
          <w:rFonts w:ascii="Arial" w:cs="Arial" w:eastAsia="Arial" w:hAnsi="Arial"/>
          <w:sz w:val="29"/>
          <w:szCs w:val="29"/>
          <w:b w:val="1"/>
          <w:bCs w:val="1"/>
          <w:color w:val="002E6D"/>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436880" cy="454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6880" cy="4540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7"/>
          <w:szCs w:val="17"/>
          <w:color w:val="003478"/>
        </w:rPr>
        <w:t>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003478"/>
        </w:rPr>
        <w:t>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-207645</wp:posOffset>
            </wp:positionV>
            <wp:extent cx="8890" cy="1903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903095"/>
                    </a:xfrm>
                    <a:prstGeom prst="rect">
                      <a:avLst/>
                    </a:prstGeom>
                    <a:noFill/>
                  </pic:spPr>
                </pic:pic>
              </a:graphicData>
            </a:graphic>
          </wp:anchor>
        </w:drawing>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9"/>
          <w:szCs w:val="29"/>
          <w:color w:val="002E6D"/>
        </w:rPr>
        <w:t>116,000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325755"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7"/>
          <w:szCs w:val="17"/>
          <w:color w:val="auto"/>
        </w:rPr>
        <w:t>Total Employees</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9"/>
          <w:szCs w:val="29"/>
          <w:color w:val="002E6D"/>
        </w:rPr>
        <w:t>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325755"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7"/>
          <w:szCs w:val="17"/>
          <w:color w:val="auto"/>
        </w:rPr>
        <w:t>Engineers, Scientsts and</w:t>
      </w:r>
    </w:p>
    <w:p>
      <w:pPr>
        <w:ind w:left="1300"/>
        <w:spacing w:after="0" w:line="234" w:lineRule="auto"/>
        <w:rPr>
          <w:sz w:val="20"/>
          <w:szCs w:val="20"/>
          <w:color w:val="auto"/>
        </w:rPr>
      </w:pPr>
      <w:r>
        <w:rPr>
          <w:rFonts w:ascii="Calibri" w:cs="Calibri" w:eastAsia="Calibri" w:hAnsi="Calibri"/>
          <w:sz w:val="17"/>
          <w:szCs w:val="17"/>
          <w:color w:val="auto"/>
        </w:rPr>
        <w:t>IT Professionals</w:t>
      </w:r>
    </w:p>
    <w:p>
      <w:pPr>
        <w:spacing w:after="0" w:line="103" w:lineRule="exact"/>
        <w:rPr>
          <w:sz w:val="20"/>
          <w:szCs w:val="20"/>
          <w:color w:val="auto"/>
        </w:rPr>
      </w:pPr>
    </w:p>
    <w:p>
      <w:pPr>
        <w:ind w:left="1300"/>
        <w:spacing w:after="0"/>
        <w:rPr>
          <w:sz w:val="20"/>
          <w:szCs w:val="20"/>
          <w:color w:val="auto"/>
        </w:rPr>
      </w:pPr>
      <w:r>
        <w:rPr>
          <w:rFonts w:ascii="Calibri" w:cs="Calibri" w:eastAsia="Calibri" w:hAnsi="Calibri"/>
          <w:sz w:val="17"/>
          <w:szCs w:val="17"/>
          <w:color w:val="auto"/>
        </w:rPr>
        <w:t>More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325755"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8"/>
          <w:szCs w:val="28"/>
          <w:color w:val="002E6D"/>
        </w:rPr>
        <w:t xml:space="preserve">one in five </w:t>
      </w:r>
      <w:r>
        <w:rPr>
          <w:rFonts w:ascii="Calibri" w:cs="Calibri" w:eastAsia="Calibri" w:hAnsi="Calibri"/>
          <w:sz w:val="17"/>
          <w:szCs w:val="17"/>
          <w:color w:val="000000"/>
        </w:rPr>
        <w:t>employees</w:t>
      </w:r>
    </w:p>
    <w:p>
      <w:pPr>
        <w:spacing w:after="0" w:line="17" w:lineRule="exact"/>
        <w:rPr>
          <w:sz w:val="20"/>
          <w:szCs w:val="20"/>
          <w:color w:val="auto"/>
        </w:rPr>
      </w:pPr>
    </w:p>
    <w:p>
      <w:pPr>
        <w:ind w:left="1300"/>
        <w:spacing w:after="0"/>
        <w:rPr>
          <w:sz w:val="20"/>
          <w:szCs w:val="20"/>
          <w:color w:val="auto"/>
        </w:rPr>
      </w:pPr>
      <w:r>
        <w:rPr>
          <w:rFonts w:ascii="Calibri" w:cs="Calibri" w:eastAsia="Calibri" w:hAnsi="Calibri"/>
          <w:sz w:val="17"/>
          <w:szCs w:val="17"/>
          <w:color w:val="auto"/>
        </w:rPr>
        <w:t>is a veteran</w:t>
      </w:r>
    </w:p>
    <w:p>
      <w:pPr>
        <w:spacing w:after="0" w:line="200" w:lineRule="exact"/>
        <w:rPr>
          <w:sz w:val="20"/>
          <w:szCs w:val="20"/>
          <w:color w:val="auto"/>
        </w:rPr>
      </w:pPr>
    </w:p>
    <w:p>
      <w:pPr>
        <w:sectPr>
          <w:pgSz w:w="11900" w:h="16838" w:orient="portrait"/>
          <w:cols w:equalWidth="0" w:num="2">
            <w:col w:w="6100" w:space="720"/>
            <w:col w:w="4400"/>
          </w:cols>
          <w:pgMar w:left="320" w:top="230" w:right="35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Calibri" w:cs="Calibri" w:eastAsia="Calibri" w:hAnsi="Calibri"/>
          <w:sz w:val="14"/>
          <w:szCs w:val="14"/>
          <w:color w:val="auto"/>
        </w:rPr>
        <w:t>Employee data as of December 31, 2022</w:t>
      </w:r>
    </w:p>
    <w:p>
      <w:pPr>
        <w:sectPr>
          <w:pgSz w:w="11900" w:h="16838" w:orient="portrait"/>
          <w:cols w:equalWidth="0" w:num="1">
            <w:col w:w="11220"/>
          </w:cols>
          <w:pgMar w:left="320" w:top="230" w:right="35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9340" w:val="left"/>
          <w:tab w:leader="none" w:pos="1112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Calibri" w:cs="Calibri" w:eastAsia="Calibri" w:hAnsi="Calibri"/>
          <w:sz w:val="15"/>
          <w:szCs w:val="15"/>
          <w:color w:val="003478"/>
        </w:rPr>
        <w:t>About Lockheed Martn</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color w:val="003478"/>
        </w:rPr>
        <w:t>Strategic Objectives</w:t>
      </w:r>
    </w:p>
    <w:p>
      <w:pPr>
        <w:spacing w:after="0" w:line="144" w:lineRule="exact"/>
        <w:rPr>
          <w:sz w:val="20"/>
          <w:szCs w:val="20"/>
          <w:color w:val="auto"/>
        </w:rPr>
      </w:pPr>
    </w:p>
    <w:p>
      <w:pPr>
        <w:ind w:right="120"/>
        <w:spacing w:after="0" w:line="245" w:lineRule="auto"/>
        <w:rPr>
          <w:sz w:val="20"/>
          <w:szCs w:val="20"/>
          <w:color w:val="auto"/>
        </w:rPr>
      </w:pPr>
      <w:r>
        <w:rPr>
          <w:rFonts w:ascii="Calibri" w:cs="Calibri" w:eastAsia="Calibri" w:hAnsi="Calibri"/>
          <w:sz w:val="17"/>
          <w:szCs w:val="17"/>
          <w:b w:val="1"/>
          <w:bCs w:val="1"/>
          <w:color w:val="auto"/>
        </w:rPr>
        <w:t xml:space="preserve">Our Mission: </w:t>
      </w:r>
      <w:r>
        <w:rPr>
          <w:rFonts w:ascii="Calibri" w:cs="Calibri" w:eastAsia="Calibri" w:hAnsi="Calibri"/>
          <w:sz w:val="17"/>
          <w:szCs w:val="17"/>
          <w:color w:val="auto"/>
        </w:rPr>
        <w:t>Enhance defense, security and scientfc discovery by delivering reliable, innovatve and afordable solutons for our customers’ most dauntng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23430" cy="1903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3430" cy="1903095"/>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left="380"/>
        <w:spacing w:after="0"/>
        <w:rPr>
          <w:sz w:val="20"/>
          <w:szCs w:val="20"/>
          <w:color w:val="auto"/>
        </w:rPr>
      </w:pPr>
      <w:r>
        <w:rPr>
          <w:rFonts w:ascii="Arial" w:cs="Arial" w:eastAsia="Arial" w:hAnsi="Arial"/>
          <w:sz w:val="22"/>
          <w:szCs w:val="22"/>
          <w:color w:val="002E6D"/>
        </w:rPr>
        <w:t>Lead</w:t>
      </w:r>
    </w:p>
    <w:p>
      <w:pPr>
        <w:spacing w:after="0" w:line="97" w:lineRule="exact"/>
        <w:rPr>
          <w:sz w:val="20"/>
          <w:szCs w:val="20"/>
          <w:color w:val="auto"/>
        </w:rPr>
      </w:pPr>
    </w:p>
    <w:p>
      <w:pPr>
        <w:ind w:left="220"/>
        <w:spacing w:after="0" w:line="247" w:lineRule="auto"/>
        <w:rPr>
          <w:sz w:val="20"/>
          <w:szCs w:val="20"/>
          <w:color w:val="auto"/>
        </w:rPr>
      </w:pPr>
      <w:r>
        <w:rPr>
          <w:rFonts w:ascii="Calibri" w:cs="Calibri" w:eastAsia="Calibri" w:hAnsi="Calibri"/>
          <w:sz w:val="17"/>
          <w:szCs w:val="17"/>
          <w:color w:val="auto"/>
        </w:rPr>
        <w:t>our industry with our customers to deliver superior 21st Century Security capability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Arial" w:cs="Arial" w:eastAsia="Arial" w:hAnsi="Arial"/>
          <w:sz w:val="22"/>
          <w:szCs w:val="22"/>
          <w:color w:val="002E6D"/>
        </w:rPr>
        <w:t>Innovate</w:t>
      </w:r>
    </w:p>
    <w:p>
      <w:pPr>
        <w:spacing w:after="0" w:line="205" w:lineRule="exact"/>
        <w:rPr>
          <w:sz w:val="20"/>
          <w:szCs w:val="20"/>
          <w:color w:val="auto"/>
        </w:rPr>
      </w:pPr>
    </w:p>
    <w:p>
      <w:pPr>
        <w:spacing w:after="0" w:line="253" w:lineRule="auto"/>
        <w:rPr>
          <w:sz w:val="20"/>
          <w:szCs w:val="20"/>
          <w:color w:val="auto"/>
        </w:rPr>
      </w:pPr>
      <w:r>
        <w:rPr>
          <w:rFonts w:ascii="Calibri" w:cs="Calibri" w:eastAsia="Calibri" w:hAnsi="Calibri"/>
          <w:sz w:val="17"/>
          <w:szCs w:val="17"/>
          <w:color w:val="auto"/>
        </w:rPr>
        <w:t>to rapidly deliver capability through technology development, commercial technology applicaton and new business models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left="-99"/>
        <w:spacing w:after="0"/>
        <w:rPr>
          <w:sz w:val="20"/>
          <w:szCs w:val="20"/>
          <w:color w:val="auto"/>
        </w:rPr>
      </w:pPr>
      <w:r>
        <w:rPr>
          <w:rFonts w:ascii="Arial" w:cs="Arial" w:eastAsia="Arial" w:hAnsi="Arial"/>
          <w:sz w:val="22"/>
          <w:szCs w:val="22"/>
          <w:color w:val="002E6D"/>
        </w:rPr>
        <w:t>Drive</w:t>
      </w:r>
    </w:p>
    <w:p>
      <w:pPr>
        <w:spacing w:after="0" w:line="97" w:lineRule="exact"/>
        <w:rPr>
          <w:sz w:val="20"/>
          <w:szCs w:val="20"/>
          <w:color w:val="auto"/>
        </w:rPr>
      </w:pPr>
    </w:p>
    <w:p>
      <w:pPr>
        <w:spacing w:after="0" w:line="247" w:lineRule="auto"/>
        <w:rPr>
          <w:sz w:val="20"/>
          <w:szCs w:val="20"/>
          <w:color w:val="auto"/>
        </w:rPr>
      </w:pPr>
      <w:r>
        <w:rPr>
          <w:rFonts w:ascii="Calibri" w:cs="Calibri" w:eastAsia="Calibri" w:hAnsi="Calibri"/>
          <w:sz w:val="17"/>
          <w:szCs w:val="17"/>
          <w:color w:val="auto"/>
        </w:rPr>
        <w:t>operatonal excellence throughout the Company and efciency throughout the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940"/>
        <w:spacing w:after="0"/>
        <w:rPr>
          <w:sz w:val="20"/>
          <w:szCs w:val="20"/>
          <w:color w:val="auto"/>
        </w:rPr>
      </w:pPr>
      <w:r>
        <w:rPr>
          <w:rFonts w:ascii="Arial" w:cs="Arial" w:eastAsia="Arial" w:hAnsi="Arial"/>
          <w:sz w:val="22"/>
          <w:szCs w:val="22"/>
          <w:color w:val="002E6D"/>
        </w:rPr>
        <w:t>Grow</w:t>
      </w:r>
    </w:p>
    <w:p>
      <w:pPr>
        <w:spacing w:after="0" w:line="97" w:lineRule="exact"/>
        <w:rPr>
          <w:sz w:val="20"/>
          <w:szCs w:val="20"/>
          <w:color w:val="auto"/>
        </w:rPr>
      </w:pPr>
    </w:p>
    <w:p>
      <w:pPr>
        <w:ind w:right="140"/>
        <w:spacing w:after="0" w:line="252" w:lineRule="auto"/>
        <w:rPr>
          <w:sz w:val="20"/>
          <w:szCs w:val="20"/>
          <w:color w:val="auto"/>
        </w:rPr>
      </w:pPr>
      <w:r>
        <w:rPr>
          <w:rFonts w:ascii="Calibri" w:cs="Calibri" w:eastAsia="Calibri" w:hAnsi="Calibri"/>
          <w:sz w:val="17"/>
          <w:szCs w:val="17"/>
          <w:color w:val="auto"/>
        </w:rPr>
        <w:t>organically through franchise program captures, internatonal expansion and through capital and acquisiton investments that support our strategic goals</w:t>
      </w:r>
    </w:p>
    <w:p>
      <w:pPr>
        <w:spacing w:after="0" w:line="153" w:lineRule="exact"/>
        <w:rPr>
          <w:sz w:val="20"/>
          <w:szCs w:val="20"/>
          <w:color w:val="auto"/>
        </w:rPr>
      </w:pPr>
    </w:p>
    <w:p>
      <w:pPr>
        <w:sectPr>
          <w:pgSz w:w="11900" w:h="16838" w:orient="portrait"/>
          <w:cols w:equalWidth="0" w:num="4">
            <w:col w:w="2700" w:space="360"/>
            <w:col w:w="2540" w:space="220"/>
            <w:col w:w="2440" w:space="320"/>
            <w:col w:w="2580"/>
          </w:cols>
          <w:pgMar w:left="320" w:top="230" w:right="419" w:bottom="1440" w:gutter="0" w:footer="0" w:header="0"/>
          <w:type w:val="continuous"/>
        </w:sectPr>
      </w:pPr>
    </w:p>
    <w:p>
      <w:pPr>
        <w:jc w:val="center"/>
        <w:ind w:right="-59"/>
        <w:spacing w:after="0"/>
        <w:rPr>
          <w:sz w:val="20"/>
          <w:szCs w:val="20"/>
          <w:color w:val="auto"/>
        </w:rPr>
      </w:pPr>
      <w:r>
        <w:rPr>
          <w:rFonts w:ascii="Arial" w:cs="Arial" w:eastAsia="Arial" w:hAnsi="Arial"/>
          <w:sz w:val="22"/>
          <w:szCs w:val="22"/>
          <w:color w:val="002E6D"/>
        </w:rPr>
        <w:t>KEY ENABLERS</w:t>
      </w:r>
    </w:p>
    <w:p>
      <w:pPr>
        <w:spacing w:after="0" w:line="102" w:lineRule="exact"/>
        <w:rPr>
          <w:sz w:val="20"/>
          <w:szCs w:val="20"/>
          <w:color w:val="auto"/>
        </w:rPr>
      </w:pPr>
    </w:p>
    <w:tbl>
      <w:tblPr>
        <w:tblLayout w:type="fixed"/>
        <w:tblInd w:w="960" w:type="dxa"/>
        <w:tblCellMar>
          <w:top w:w="0" w:type="dxa"/>
          <w:left w:w="0" w:type="dxa"/>
          <w:bottom w:w="0" w:type="dxa"/>
          <w:right w:w="0" w:type="dxa"/>
        </w:tblCellMar>
      </w:tblPr>
      <w:tr>
        <w:trPr>
          <w:trHeight w:val="198"/>
        </w:trPr>
        <w:tc>
          <w:tcPr>
            <w:tcW w:w="2180" w:type="dxa"/>
            <w:vAlign w:val="bottom"/>
          </w:tcPr>
          <w:p>
            <w:pPr>
              <w:ind w:left="100"/>
              <w:spacing w:after="0"/>
              <w:rPr>
                <w:sz w:val="20"/>
                <w:szCs w:val="20"/>
                <w:color w:val="auto"/>
              </w:rPr>
            </w:pPr>
            <w:r>
              <w:rPr>
                <w:rFonts w:ascii="Arial" w:cs="Arial" w:eastAsia="Arial" w:hAnsi="Arial"/>
                <w:sz w:val="17"/>
                <w:szCs w:val="17"/>
                <w:color w:val="002E6D"/>
              </w:rPr>
              <w:t>DISCRIMINATING</w:t>
            </w:r>
          </w:p>
        </w:tc>
        <w:tc>
          <w:tcPr>
            <w:tcW w:w="2840" w:type="dxa"/>
            <w:vAlign w:val="bottom"/>
          </w:tcPr>
          <w:p>
            <w:pPr>
              <w:ind w:left="660"/>
              <w:spacing w:after="0"/>
              <w:rPr>
                <w:sz w:val="20"/>
                <w:szCs w:val="20"/>
                <w:color w:val="auto"/>
              </w:rPr>
            </w:pPr>
            <w:r>
              <w:rPr>
                <w:rFonts w:ascii="Arial" w:cs="Arial" w:eastAsia="Arial" w:hAnsi="Arial"/>
                <w:sz w:val="17"/>
                <w:szCs w:val="17"/>
                <w:color w:val="002E6D"/>
              </w:rPr>
              <w:t>DIGITAL</w:t>
            </w:r>
          </w:p>
        </w:tc>
        <w:tc>
          <w:tcPr>
            <w:tcW w:w="2620" w:type="dxa"/>
            <w:vAlign w:val="bottom"/>
          </w:tcPr>
          <w:p>
            <w:pPr>
              <w:ind w:left="580"/>
              <w:spacing w:after="0"/>
              <w:rPr>
                <w:sz w:val="20"/>
                <w:szCs w:val="20"/>
                <w:color w:val="auto"/>
              </w:rPr>
            </w:pPr>
            <w:r>
              <w:rPr>
                <w:rFonts w:ascii="Arial" w:cs="Arial" w:eastAsia="Arial" w:hAnsi="Arial"/>
                <w:sz w:val="17"/>
                <w:szCs w:val="17"/>
                <w:color w:val="002E6D"/>
              </w:rPr>
              <w:t>STRATEGIC</w:t>
            </w:r>
          </w:p>
        </w:tc>
        <w:tc>
          <w:tcPr>
            <w:tcW w:w="2500" w:type="dxa"/>
            <w:vAlign w:val="bottom"/>
          </w:tcPr>
          <w:p>
            <w:pPr>
              <w:ind w:left="720"/>
              <w:spacing w:after="0"/>
              <w:rPr>
                <w:sz w:val="20"/>
                <w:szCs w:val="20"/>
                <w:color w:val="auto"/>
              </w:rPr>
            </w:pPr>
            <w:r>
              <w:rPr>
                <w:rFonts w:ascii="Arial" w:cs="Arial" w:eastAsia="Arial" w:hAnsi="Arial"/>
                <w:sz w:val="17"/>
                <w:szCs w:val="17"/>
                <w:color w:val="002E6D"/>
              </w:rPr>
              <w:t>FISCAL</w:t>
            </w:r>
          </w:p>
        </w:tc>
      </w:tr>
      <w:tr>
        <w:trPr>
          <w:trHeight w:val="229"/>
        </w:trPr>
        <w:tc>
          <w:tcPr>
            <w:tcW w:w="2180" w:type="dxa"/>
            <w:vAlign w:val="bottom"/>
          </w:tcPr>
          <w:p>
            <w:pPr>
              <w:ind w:left="100"/>
              <w:spacing w:after="0"/>
              <w:rPr>
                <w:sz w:val="20"/>
                <w:szCs w:val="20"/>
                <w:color w:val="auto"/>
              </w:rPr>
            </w:pPr>
            <w:r>
              <w:rPr>
                <w:rFonts w:ascii="Arial" w:cs="Arial" w:eastAsia="Arial" w:hAnsi="Arial"/>
                <w:sz w:val="17"/>
                <w:szCs w:val="17"/>
                <w:color w:val="002E6D"/>
              </w:rPr>
              <w:t>TECHNOLOGY</w:t>
            </w:r>
          </w:p>
        </w:tc>
        <w:tc>
          <w:tcPr>
            <w:tcW w:w="2840" w:type="dxa"/>
            <w:vAlign w:val="bottom"/>
          </w:tcPr>
          <w:p>
            <w:pPr>
              <w:ind w:left="660"/>
              <w:spacing w:after="0"/>
              <w:rPr>
                <w:sz w:val="20"/>
                <w:szCs w:val="20"/>
                <w:color w:val="auto"/>
              </w:rPr>
            </w:pPr>
            <w:r>
              <w:rPr>
                <w:rFonts w:ascii="Arial" w:cs="Arial" w:eastAsia="Arial" w:hAnsi="Arial"/>
                <w:sz w:val="17"/>
                <w:szCs w:val="17"/>
                <w:color w:val="002E6D"/>
              </w:rPr>
              <w:t>TRANSFORMATION</w:t>
            </w:r>
          </w:p>
        </w:tc>
        <w:tc>
          <w:tcPr>
            <w:tcW w:w="2620" w:type="dxa"/>
            <w:vAlign w:val="bottom"/>
          </w:tcPr>
          <w:p>
            <w:pPr>
              <w:ind w:left="580"/>
              <w:spacing w:after="0"/>
              <w:rPr>
                <w:sz w:val="20"/>
                <w:szCs w:val="20"/>
                <w:color w:val="auto"/>
              </w:rPr>
            </w:pPr>
            <w:r>
              <w:rPr>
                <w:rFonts w:ascii="Arial" w:cs="Arial" w:eastAsia="Arial" w:hAnsi="Arial"/>
                <w:sz w:val="17"/>
                <w:szCs w:val="17"/>
                <w:color w:val="002E6D"/>
              </w:rPr>
              <w:t>PARTNERSHIPS</w:t>
            </w:r>
          </w:p>
        </w:tc>
        <w:tc>
          <w:tcPr>
            <w:tcW w:w="2500" w:type="dxa"/>
            <w:vAlign w:val="bottom"/>
          </w:tcPr>
          <w:p>
            <w:pPr>
              <w:ind w:left="720"/>
              <w:spacing w:after="0"/>
              <w:rPr>
                <w:sz w:val="20"/>
                <w:szCs w:val="20"/>
                <w:color w:val="auto"/>
              </w:rPr>
            </w:pPr>
            <w:r>
              <w:rPr>
                <w:rFonts w:ascii="Arial" w:cs="Arial" w:eastAsia="Arial" w:hAnsi="Arial"/>
                <w:sz w:val="17"/>
                <w:szCs w:val="17"/>
                <w:color w:val="002E6D"/>
              </w:rPr>
              <w:t>DISCIPLINE</w:t>
            </w:r>
          </w:p>
        </w:tc>
      </w:tr>
      <w:tr>
        <w:trPr>
          <w:trHeight w:val="108"/>
        </w:trPr>
        <w:tc>
          <w:tcPr>
            <w:tcW w:w="21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500" w:type="dxa"/>
            <w:vAlign w:val="bottom"/>
          </w:tcPr>
          <w:p>
            <w:pPr>
              <w:spacing w:after="0"/>
              <w:rPr>
                <w:sz w:val="9"/>
                <w:szCs w:val="9"/>
                <w:color w:val="auto"/>
              </w:rPr>
            </w:pPr>
          </w:p>
        </w:tc>
      </w:tr>
      <w:tr>
        <w:trPr>
          <w:trHeight w:val="94"/>
        </w:trPr>
        <w:tc>
          <w:tcPr>
            <w:tcW w:w="2180" w:type="dxa"/>
            <w:vAlign w:val="bottom"/>
            <w:shd w:val="clear" w:color="auto" w:fill="E5EAF0"/>
          </w:tcPr>
          <w:p>
            <w:pPr>
              <w:spacing w:after="0"/>
              <w:rPr>
                <w:sz w:val="8"/>
                <w:szCs w:val="8"/>
                <w:color w:val="auto"/>
              </w:rPr>
            </w:pPr>
          </w:p>
        </w:tc>
        <w:tc>
          <w:tcPr>
            <w:tcW w:w="2840" w:type="dxa"/>
            <w:vAlign w:val="bottom"/>
            <w:shd w:val="clear" w:color="auto" w:fill="E5EAF0"/>
          </w:tcPr>
          <w:p>
            <w:pPr>
              <w:spacing w:after="0"/>
              <w:rPr>
                <w:sz w:val="8"/>
                <w:szCs w:val="8"/>
                <w:color w:val="auto"/>
              </w:rPr>
            </w:pPr>
          </w:p>
        </w:tc>
        <w:tc>
          <w:tcPr>
            <w:tcW w:w="2620" w:type="dxa"/>
            <w:vAlign w:val="bottom"/>
            <w:shd w:val="clear" w:color="auto" w:fill="E5EAF0"/>
          </w:tcPr>
          <w:p>
            <w:pPr>
              <w:spacing w:after="0"/>
              <w:rPr>
                <w:sz w:val="8"/>
                <w:szCs w:val="8"/>
                <w:color w:val="auto"/>
              </w:rPr>
            </w:pPr>
          </w:p>
        </w:tc>
        <w:tc>
          <w:tcPr>
            <w:tcW w:w="2500" w:type="dxa"/>
            <w:vAlign w:val="bottom"/>
            <w:shd w:val="clear" w:color="auto" w:fill="E5EAF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23430" cy="3600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3430" cy="360045"/>
                    </a:xfrm>
                    <a:prstGeom prst="rect">
                      <a:avLst/>
                    </a:prstGeom>
                    <a:noFill/>
                  </pic:spPr>
                </pic:pic>
              </a:graphicData>
            </a:graphic>
          </wp:anchor>
        </w:drawing>
      </w:r>
    </w:p>
    <w:p>
      <w:pPr>
        <w:spacing w:after="0" w:line="295" w:lineRule="exact"/>
        <w:rPr>
          <w:sz w:val="20"/>
          <w:szCs w:val="20"/>
          <w:color w:val="auto"/>
        </w:rPr>
      </w:pPr>
    </w:p>
    <w:p>
      <w:pPr>
        <w:ind w:left="4800"/>
        <w:spacing w:after="0"/>
        <w:rPr>
          <w:sz w:val="20"/>
          <w:szCs w:val="20"/>
          <w:color w:val="auto"/>
        </w:rPr>
      </w:pPr>
      <w:r>
        <w:rPr>
          <w:rFonts w:ascii="Arial" w:cs="Arial" w:eastAsia="Arial" w:hAnsi="Arial"/>
          <w:sz w:val="17"/>
          <w:szCs w:val="17"/>
          <w:color w:val="FFFFFF"/>
        </w:rPr>
        <w:t>TALENT &amp; CULTURE</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003478"/>
        </w:rPr>
        <w:t>21st Century Security</w:t>
      </w:r>
    </w:p>
    <w:p>
      <w:pPr>
        <w:spacing w:after="0" w:line="144" w:lineRule="exact"/>
        <w:rPr>
          <w:sz w:val="20"/>
          <w:szCs w:val="20"/>
          <w:color w:val="auto"/>
        </w:rPr>
      </w:pPr>
    </w:p>
    <w:p>
      <w:pPr>
        <w:spacing w:after="0" w:line="253" w:lineRule="auto"/>
        <w:rPr>
          <w:sz w:val="20"/>
          <w:szCs w:val="20"/>
          <w:color w:val="auto"/>
        </w:rPr>
      </w:pPr>
      <w:r>
        <w:rPr>
          <w:rFonts w:ascii="Calibri" w:cs="Calibri" w:eastAsia="Calibri" w:hAnsi="Calibri"/>
          <w:sz w:val="17"/>
          <w:szCs w:val="17"/>
          <w:color w:val="auto"/>
        </w:rPr>
        <w:t>Lockheed Martn’s vision for 21st Century Security is to accelerate the adopton of advanced networking and leading-edge technologies into our natonal defense enterprise, while enhancing the performance and value of our platorms and products for our customers. The aim of 21st Century Security is to integrate new and existng systems across all domains with advanced, open-architecture networking and operatonal technologies to make forces more agile, adaptve and unpredictable. A few of the key enabling technologies that we are prioritzing to make 21st Century Security a reality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164465</wp:posOffset>
            </wp:positionV>
            <wp:extent cx="325755" cy="325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164465</wp:posOffset>
            </wp:positionV>
            <wp:extent cx="325755" cy="325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164465</wp:posOffset>
            </wp:positionV>
            <wp:extent cx="325755" cy="325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164465</wp:posOffset>
            </wp:positionV>
            <wp:extent cx="325755" cy="325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164465</wp:posOffset>
            </wp:positionV>
            <wp:extent cx="325755"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tabs>
          <w:tab w:leader="none" w:pos="2720" w:val="left"/>
          <w:tab w:leader="none" w:pos="5160" w:val="left"/>
          <w:tab w:leader="none" w:pos="7580" w:val="left"/>
          <w:tab w:leader="none" w:pos="9600" w:val="left"/>
        </w:tabs>
        <w:rPr>
          <w:sz w:val="20"/>
          <w:szCs w:val="20"/>
          <w:color w:val="auto"/>
        </w:rPr>
      </w:pPr>
      <w:r>
        <w:rPr>
          <w:rFonts w:ascii="Arial" w:cs="Arial" w:eastAsia="Arial" w:hAnsi="Arial"/>
          <w:sz w:val="17"/>
          <w:szCs w:val="17"/>
          <w:color w:val="002E6D"/>
        </w:rPr>
        <w:t>ARTIFICIAL</w:t>
      </w:r>
      <w:r>
        <w:rPr>
          <w:sz w:val="20"/>
          <w:szCs w:val="20"/>
          <w:color w:val="auto"/>
        </w:rPr>
        <w:tab/>
      </w:r>
      <w:r>
        <w:rPr>
          <w:rFonts w:ascii="Arial" w:cs="Arial" w:eastAsia="Arial" w:hAnsi="Arial"/>
          <w:sz w:val="17"/>
          <w:szCs w:val="17"/>
          <w:color w:val="002E6D"/>
        </w:rPr>
        <w:t>HYPERSONICS</w:t>
      </w:r>
      <w:r>
        <w:rPr>
          <w:sz w:val="20"/>
          <w:szCs w:val="20"/>
          <w:color w:val="auto"/>
        </w:rPr>
        <w:tab/>
      </w:r>
      <w:r>
        <w:rPr>
          <w:rFonts w:ascii="Arial" w:cs="Arial" w:eastAsia="Arial" w:hAnsi="Arial"/>
          <w:sz w:val="17"/>
          <w:szCs w:val="17"/>
          <w:color w:val="002E6D"/>
        </w:rPr>
        <w:t>DIRECTED</w:t>
      </w:r>
      <w:r>
        <w:rPr>
          <w:sz w:val="20"/>
          <w:szCs w:val="20"/>
          <w:color w:val="auto"/>
        </w:rPr>
        <w:tab/>
      </w:r>
      <w:r>
        <w:rPr>
          <w:rFonts w:ascii="Arial" w:cs="Arial" w:eastAsia="Arial" w:hAnsi="Arial"/>
          <w:sz w:val="17"/>
          <w:szCs w:val="17"/>
          <w:color w:val="002E6D"/>
        </w:rPr>
        <w:t>EDGE</w:t>
      </w:r>
      <w:r>
        <w:rPr>
          <w:sz w:val="20"/>
          <w:szCs w:val="20"/>
          <w:color w:val="auto"/>
        </w:rPr>
        <w:tab/>
      </w:r>
      <w:r>
        <w:rPr>
          <w:rFonts w:ascii="Arial" w:cs="Arial" w:eastAsia="Arial" w:hAnsi="Arial"/>
          <w:sz w:val="17"/>
          <w:szCs w:val="17"/>
          <w:color w:val="002E6D"/>
        </w:rPr>
        <w:t>SPECTRUM</w:t>
      </w:r>
    </w:p>
    <w:p>
      <w:pPr>
        <w:ind w:left="300"/>
        <w:spacing w:after="0" w:line="215" w:lineRule="auto"/>
        <w:tabs>
          <w:tab w:leader="none" w:pos="5220" w:val="left"/>
          <w:tab w:leader="none" w:pos="7300" w:val="left"/>
          <w:tab w:leader="none" w:pos="9560" w:val="left"/>
        </w:tabs>
        <w:rPr>
          <w:sz w:val="20"/>
          <w:szCs w:val="20"/>
          <w:color w:val="auto"/>
        </w:rPr>
      </w:pPr>
      <w:r>
        <w:rPr>
          <w:rFonts w:ascii="Arial" w:cs="Arial" w:eastAsia="Arial" w:hAnsi="Arial"/>
          <w:sz w:val="17"/>
          <w:szCs w:val="17"/>
          <w:color w:val="002E6D"/>
        </w:rPr>
        <w:t>INTELLIGENCE AND</w:t>
      </w:r>
      <w:r>
        <w:rPr>
          <w:sz w:val="20"/>
          <w:szCs w:val="20"/>
          <w:color w:val="auto"/>
        </w:rPr>
        <w:tab/>
      </w:r>
      <w:r>
        <w:rPr>
          <w:rFonts w:ascii="Arial" w:cs="Arial" w:eastAsia="Arial" w:hAnsi="Arial"/>
          <w:sz w:val="17"/>
          <w:szCs w:val="17"/>
          <w:color w:val="002E6D"/>
        </w:rPr>
        <w:t>ENERGY</w:t>
      </w:r>
      <w:r>
        <w:rPr>
          <w:sz w:val="20"/>
          <w:szCs w:val="20"/>
          <w:color w:val="auto"/>
        </w:rPr>
        <w:tab/>
      </w:r>
      <w:r>
        <w:rPr>
          <w:rFonts w:ascii="Arial" w:cs="Arial" w:eastAsia="Arial" w:hAnsi="Arial"/>
          <w:sz w:val="17"/>
          <w:szCs w:val="17"/>
          <w:color w:val="002E6D"/>
        </w:rPr>
        <w:t>COMPUTING</w:t>
      </w:r>
      <w:r>
        <w:rPr>
          <w:sz w:val="20"/>
          <w:szCs w:val="20"/>
          <w:color w:val="auto"/>
        </w:rPr>
        <w:tab/>
      </w:r>
      <w:r>
        <w:rPr>
          <w:rFonts w:ascii="Arial" w:cs="Arial" w:eastAsia="Arial" w:hAnsi="Arial"/>
          <w:sz w:val="17"/>
          <w:szCs w:val="17"/>
          <w:color w:val="002E6D"/>
        </w:rPr>
        <w:t>DOMINANCE</w:t>
      </w:r>
    </w:p>
    <w:p>
      <w:pPr>
        <w:ind w:left="640"/>
        <w:spacing w:after="0"/>
        <w:rPr>
          <w:sz w:val="20"/>
          <w:szCs w:val="20"/>
          <w:color w:val="auto"/>
        </w:rPr>
      </w:pPr>
      <w:r>
        <w:rPr>
          <w:rFonts w:ascii="Arial" w:cs="Arial" w:eastAsia="Arial" w:hAnsi="Arial"/>
          <w:sz w:val="17"/>
          <w:szCs w:val="17"/>
          <w:color w:val="002E6D"/>
        </w:rPr>
        <w:t>AUTONOMY</w:t>
      </w:r>
    </w:p>
    <w:p>
      <w:pPr>
        <w:spacing w:after="0" w:line="184" w:lineRule="exact"/>
        <w:rPr>
          <w:sz w:val="20"/>
          <w:szCs w:val="20"/>
          <w:color w:val="auto"/>
        </w:rPr>
      </w:pPr>
    </w:p>
    <w:p>
      <w:pPr>
        <w:spacing w:after="0"/>
        <w:rPr>
          <w:sz w:val="20"/>
          <w:szCs w:val="20"/>
          <w:color w:val="auto"/>
        </w:rPr>
      </w:pPr>
      <w:r>
        <w:rPr>
          <w:rFonts w:ascii="Arial" w:cs="Arial" w:eastAsia="Arial" w:hAnsi="Arial"/>
          <w:sz w:val="29"/>
          <w:szCs w:val="29"/>
          <w:color w:val="003478"/>
        </w:rPr>
        <w:t>Sustainability</w:t>
      </w:r>
    </w:p>
    <w:p>
      <w:pPr>
        <w:spacing w:after="0" w:line="144" w:lineRule="exact"/>
        <w:rPr>
          <w:sz w:val="20"/>
          <w:szCs w:val="20"/>
          <w:color w:val="auto"/>
        </w:rPr>
      </w:pPr>
    </w:p>
    <w:p>
      <w:pPr>
        <w:ind w:right="120"/>
        <w:spacing w:after="0" w:line="253" w:lineRule="auto"/>
        <w:rPr>
          <w:sz w:val="20"/>
          <w:szCs w:val="20"/>
          <w:color w:val="auto"/>
        </w:rPr>
      </w:pPr>
      <w:r>
        <w:rPr>
          <w:rFonts w:ascii="Calibri" w:cs="Calibri" w:eastAsia="Calibri" w:hAnsi="Calibri"/>
          <w:sz w:val="17"/>
          <w:szCs w:val="17"/>
          <w:color w:val="auto"/>
        </w:rPr>
        <w:t>At Lockheed Martn, we foster innovaton, integrity and security to protect the environment, strengthen communites and propel responsible growth. We integrate environmental, social and governance practces throughout our business and our employees actvely strengthen the quality of life where we live and work. In 2022 we updated the two carbon-related goals shown below, which will accelerate our carbon reducton and renewable energy strategies. See the Environmental, Social and Governance secton startng on page 32 for more informaton on our Sustainability eforts.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147320</wp:posOffset>
            </wp:positionV>
            <wp:extent cx="5306060" cy="9512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06060" cy="951230"/>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left="2140"/>
        <w:spacing w:after="0"/>
        <w:rPr>
          <w:sz w:val="20"/>
          <w:szCs w:val="20"/>
          <w:color w:val="auto"/>
        </w:rPr>
      </w:pPr>
      <w:r>
        <w:rPr>
          <w:rFonts w:ascii="Arial" w:cs="Arial" w:eastAsia="Arial" w:hAnsi="Arial"/>
          <w:sz w:val="16"/>
          <w:szCs w:val="16"/>
          <w:color w:val="003478"/>
        </w:rPr>
        <w:t>Carbon Reduction</w:t>
      </w:r>
    </w:p>
    <w:p>
      <w:pPr>
        <w:spacing w:after="0" w:line="324" w:lineRule="exact"/>
        <w:rPr>
          <w:sz w:val="20"/>
          <w:szCs w:val="20"/>
          <w:color w:val="auto"/>
        </w:rPr>
      </w:pPr>
    </w:p>
    <w:p>
      <w:pPr>
        <w:ind w:left="1380" w:right="20"/>
        <w:spacing w:after="0" w:line="299" w:lineRule="auto"/>
        <w:rPr>
          <w:sz w:val="20"/>
          <w:szCs w:val="20"/>
          <w:color w:val="auto"/>
        </w:rPr>
      </w:pPr>
      <w:r>
        <w:rPr>
          <w:rFonts w:ascii="Arial" w:cs="Arial" w:eastAsia="Arial" w:hAnsi="Arial"/>
          <w:sz w:val="17"/>
          <w:szCs w:val="17"/>
          <w:color w:val="003478"/>
        </w:rPr>
        <w:t xml:space="preserve">By </w:t>
      </w:r>
      <w:r>
        <w:rPr>
          <w:rFonts w:ascii="Arial" w:cs="Arial" w:eastAsia="Arial" w:hAnsi="Arial"/>
          <w:sz w:val="17"/>
          <w:szCs w:val="17"/>
          <w:b w:val="1"/>
          <w:bCs w:val="1"/>
          <w:color w:val="003478"/>
        </w:rPr>
        <w:t>2030</w:t>
      </w:r>
      <w:r>
        <w:rPr>
          <w:rFonts w:ascii="Arial" w:cs="Arial" w:eastAsia="Arial" w:hAnsi="Arial"/>
          <w:sz w:val="17"/>
          <w:szCs w:val="17"/>
          <w:color w:val="003478"/>
        </w:rPr>
        <w:t xml:space="preserve">, reduce Scope 1 and 2 absolute carbon emissions by </w:t>
      </w:r>
      <w:r>
        <w:rPr>
          <w:rFonts w:ascii="Arial" w:cs="Arial" w:eastAsia="Arial" w:hAnsi="Arial"/>
          <w:sz w:val="28"/>
          <w:szCs w:val="28"/>
          <w:b w:val="1"/>
          <w:bCs w:val="1"/>
          <w:color w:val="003478"/>
        </w:rPr>
        <w:t>36%</w:t>
      </w:r>
      <w:r>
        <w:rPr>
          <w:rFonts w:ascii="Arial" w:cs="Arial" w:eastAsia="Arial" w:hAnsi="Arial"/>
          <w:sz w:val="17"/>
          <w:szCs w:val="17"/>
          <w:color w:val="003478"/>
        </w:rPr>
        <w:t xml:space="preserve"> from a </w:t>
      </w:r>
      <w:r>
        <w:rPr>
          <w:rFonts w:ascii="Arial" w:cs="Arial" w:eastAsia="Arial" w:hAnsi="Arial"/>
          <w:sz w:val="17"/>
          <w:szCs w:val="17"/>
          <w:b w:val="1"/>
          <w:bCs w:val="1"/>
          <w:color w:val="003478"/>
        </w:rPr>
        <w:t>2020</w:t>
      </w:r>
      <w:r>
        <w:rPr>
          <w:rFonts w:ascii="Arial" w:cs="Arial" w:eastAsia="Arial" w:hAnsi="Arial"/>
          <w:sz w:val="17"/>
          <w:szCs w:val="17"/>
          <w:color w:val="003478"/>
        </w:rPr>
        <w:t xml:space="preserve">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391160</wp:posOffset>
            </wp:positionV>
            <wp:extent cx="107188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left="740"/>
        <w:spacing w:after="0"/>
        <w:rPr>
          <w:sz w:val="20"/>
          <w:szCs w:val="20"/>
          <w:color w:val="auto"/>
        </w:rPr>
      </w:pPr>
      <w:r>
        <w:rPr>
          <w:rFonts w:ascii="Arial" w:cs="Arial" w:eastAsia="Arial" w:hAnsi="Arial"/>
          <w:sz w:val="16"/>
          <w:szCs w:val="16"/>
          <w:color w:val="003478"/>
        </w:rPr>
        <w:t>Renewable Energy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003478"/>
        </w:rPr>
        <w:t xml:space="preserve">By </w:t>
      </w:r>
      <w:r>
        <w:rPr>
          <w:rFonts w:ascii="Arial" w:cs="Arial" w:eastAsia="Arial" w:hAnsi="Arial"/>
          <w:sz w:val="17"/>
          <w:szCs w:val="17"/>
          <w:b w:val="1"/>
          <w:bCs w:val="1"/>
          <w:color w:val="003478"/>
        </w:rPr>
        <w:t>2030</w:t>
      </w:r>
      <w:r>
        <w:rPr>
          <w:rFonts w:ascii="Arial" w:cs="Arial" w:eastAsia="Arial" w:hAnsi="Arial"/>
          <w:sz w:val="17"/>
          <w:szCs w:val="17"/>
          <w:color w:val="003478"/>
        </w:rPr>
        <w:t xml:space="preserve">, match </w:t>
      </w:r>
      <w:r>
        <w:rPr>
          <w:rFonts w:ascii="Arial" w:cs="Arial" w:eastAsia="Arial" w:hAnsi="Arial"/>
          <w:sz w:val="28"/>
          <w:szCs w:val="28"/>
          <w:b w:val="1"/>
          <w:bCs w:val="1"/>
          <w:color w:val="003478"/>
        </w:rPr>
        <w:t>40%</w:t>
      </w:r>
      <w:r>
        <w:rPr>
          <w:rFonts w:ascii="Arial" w:cs="Arial" w:eastAsia="Arial" w:hAnsi="Arial"/>
          <w:sz w:val="17"/>
          <w:szCs w:val="17"/>
          <w:color w:val="003478"/>
        </w:rPr>
        <w:t xml:space="preserve"> of electricity used across</w:t>
      </w:r>
    </w:p>
    <w:p>
      <w:pPr>
        <w:spacing w:after="0" w:line="57" w:lineRule="exact"/>
        <w:rPr>
          <w:sz w:val="20"/>
          <w:szCs w:val="20"/>
          <w:color w:val="auto"/>
        </w:rPr>
      </w:pPr>
    </w:p>
    <w:p>
      <w:pPr>
        <w:ind w:right="1640"/>
        <w:spacing w:after="0" w:line="264" w:lineRule="auto"/>
        <w:rPr>
          <w:sz w:val="20"/>
          <w:szCs w:val="20"/>
          <w:color w:val="auto"/>
        </w:rPr>
      </w:pPr>
      <w:r>
        <w:rPr>
          <w:rFonts w:ascii="Arial" w:cs="Arial" w:eastAsia="Arial" w:hAnsi="Arial"/>
          <w:sz w:val="17"/>
          <w:szCs w:val="17"/>
          <w:color w:val="003478"/>
        </w:rPr>
        <w:t>Lockheed Martin global operations with electricity produced from renewable sources.</w:t>
      </w:r>
    </w:p>
    <w:p>
      <w:pPr>
        <w:spacing w:after="0" w:line="200" w:lineRule="exact"/>
        <w:rPr>
          <w:sz w:val="20"/>
          <w:szCs w:val="20"/>
          <w:color w:val="auto"/>
        </w:rPr>
      </w:pPr>
    </w:p>
    <w:p>
      <w:pPr>
        <w:sectPr>
          <w:pgSz w:w="11900" w:h="16838" w:orient="portrait"/>
          <w:cols w:equalWidth="0" w:num="2">
            <w:col w:w="5080" w:space="720"/>
            <w:col w:w="5360"/>
          </w:cols>
          <w:pgMar w:left="320" w:top="230" w:right="41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3"/>
          <w:szCs w:val="43"/>
          <w:color w:val="003478"/>
        </w:rPr>
        <w:t>Proxy Statement Voting Roadmap</w:t>
      </w:r>
    </w:p>
    <w:p>
      <w:pPr>
        <w:spacing w:after="0" w:line="181" w:lineRule="exact"/>
        <w:rPr>
          <w:sz w:val="20"/>
          <w:szCs w:val="20"/>
          <w:color w:val="auto"/>
        </w:rPr>
      </w:pPr>
    </w:p>
    <w:p>
      <w:pPr>
        <w:ind w:right="40"/>
        <w:spacing w:after="0" w:line="261" w:lineRule="auto"/>
        <w:rPr>
          <w:sz w:val="20"/>
          <w:szCs w:val="20"/>
          <w:color w:val="auto"/>
        </w:rPr>
      </w:pPr>
      <w:r>
        <w:rPr>
          <w:rFonts w:ascii="Calibri" w:cs="Calibri" w:eastAsia="Calibri" w:hAnsi="Calibri"/>
          <w:sz w:val="17"/>
          <w:szCs w:val="17"/>
          <w:color w:val="auto"/>
        </w:rPr>
        <w:t>This votng roadmap highlights selected informaton on each of the proposals and does not contain all of the informaton that you should consider in deciding how to vote your shares. Refer to the full descriptons of each proposal prior to votng.</w:t>
      </w:r>
    </w:p>
    <w:p>
      <w:pPr>
        <w:spacing w:after="0" w:line="46" w:lineRule="exact"/>
        <w:rPr>
          <w:sz w:val="20"/>
          <w:szCs w:val="20"/>
          <w:color w:val="auto"/>
        </w:rPr>
      </w:pPr>
    </w:p>
    <w:p>
      <w:pPr>
        <w:spacing w:after="0"/>
        <w:rPr>
          <w:sz w:val="20"/>
          <w:szCs w:val="20"/>
          <w:color w:val="auto"/>
        </w:rPr>
      </w:pPr>
      <w:r>
        <w:rPr>
          <w:sz w:val="1"/>
          <w:szCs w:val="1"/>
          <w:color w:val="auto"/>
        </w:rPr>
        <w:drawing>
          <wp:inline distT="0" distB="0" distL="0" distR="0">
            <wp:extent cx="51435" cy="1714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171450"/>
                    </a:xfrm>
                    <a:prstGeom prst="rect">
                      <a:avLst/>
                    </a:prstGeom>
                    <a:noFill/>
                    <a:ln>
                      <a:noFill/>
                    </a:ln>
                  </pic:spPr>
                </pic:pic>
              </a:graphicData>
            </a:graphic>
          </wp:inline>
        </w:drawing>
      </w:r>
      <w:r>
        <w:rPr>
          <w:rFonts w:ascii="Arial" w:cs="Arial" w:eastAsia="Arial" w:hAnsi="Arial"/>
          <w:sz w:val="20"/>
          <w:szCs w:val="20"/>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40575" cy="1757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1757045"/>
                    </a:xfrm>
                    <a:prstGeom prst="rect">
                      <a:avLst/>
                    </a:prstGeom>
                    <a:noFill/>
                  </pic:spPr>
                </pic:pic>
              </a:graphicData>
            </a:graphic>
          </wp:anchor>
        </w:drawing>
      </w:r>
    </w:p>
    <w:p>
      <w:pPr>
        <w:spacing w:after="0" w:line="91" w:lineRule="exact"/>
        <w:rPr>
          <w:sz w:val="20"/>
          <w:szCs w:val="20"/>
          <w:color w:val="auto"/>
        </w:rPr>
      </w:pPr>
    </w:p>
    <w:p>
      <w:pPr>
        <w:ind w:left="140"/>
        <w:spacing w:after="0"/>
        <w:rPr>
          <w:sz w:val="20"/>
          <w:szCs w:val="20"/>
          <w:color w:val="auto"/>
        </w:rPr>
      </w:pPr>
      <w:r>
        <w:rPr>
          <w:rFonts w:ascii="Arial" w:cs="Arial" w:eastAsia="Arial" w:hAnsi="Arial"/>
          <w:sz w:val="25"/>
          <w:szCs w:val="25"/>
          <w:b w:val="1"/>
          <w:bCs w:val="1"/>
          <w:color w:val="003478"/>
        </w:rPr>
        <w:t>Election of Directors</w:t>
      </w:r>
    </w:p>
    <w:p>
      <w:pPr>
        <w:spacing w:after="0" w:line="98" w:lineRule="exact"/>
        <w:rPr>
          <w:sz w:val="20"/>
          <w:szCs w:val="20"/>
          <w:color w:val="auto"/>
        </w:rPr>
      </w:pPr>
    </w:p>
    <w:p>
      <w:pPr>
        <w:ind w:left="140"/>
        <w:spacing w:after="0"/>
        <w:rPr>
          <w:sz w:val="20"/>
          <w:szCs w:val="20"/>
          <w:color w:val="auto"/>
        </w:rPr>
      </w:pPr>
      <w:r>
        <w:rPr>
          <w:rFonts w:ascii="Calibri" w:cs="Calibri" w:eastAsia="Calibri" w:hAnsi="Calibri"/>
          <w:sz w:val="17"/>
          <w:szCs w:val="17"/>
          <w:color w:val="auto"/>
        </w:rPr>
        <w:t>The Board has nominated the following 13 directors for electon to the Board: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 w:type="dxa"/>
            <w:vAlign w:val="bottom"/>
          </w:tcPr>
          <w:p>
            <w:pPr>
              <w:spacing w:after="0"/>
              <w:rPr>
                <w:sz w:val="22"/>
                <w:szCs w:val="22"/>
                <w:color w:val="auto"/>
              </w:rPr>
            </w:pPr>
          </w:p>
        </w:tc>
        <w:tc>
          <w:tcPr>
            <w:tcW w:w="1980" w:type="dxa"/>
            <w:vAlign w:val="bottom"/>
            <w:shd w:val="clear" w:color="auto" w:fill="E5E6EF"/>
          </w:tcPr>
          <w:p>
            <w:pPr>
              <w:ind w:left="60"/>
              <w:spacing w:after="0"/>
              <w:rPr>
                <w:sz w:val="20"/>
                <w:szCs w:val="20"/>
                <w:color w:val="auto"/>
              </w:rPr>
            </w:pPr>
            <w:r>
              <w:rPr>
                <w:rFonts w:ascii="Calibri" w:cs="Calibri" w:eastAsia="Calibri" w:hAnsi="Calibri"/>
                <w:sz w:val="17"/>
                <w:szCs w:val="17"/>
                <w:color w:val="auto"/>
              </w:rPr>
              <w:t>Daniel F. Akerson</w:t>
            </w:r>
          </w:p>
        </w:tc>
        <w:tc>
          <w:tcPr>
            <w:tcW w:w="1800" w:type="dxa"/>
            <w:vAlign w:val="bottom"/>
            <w:shd w:val="clear" w:color="auto" w:fill="E5E6EF"/>
          </w:tcPr>
          <w:p>
            <w:pPr>
              <w:ind w:left="20"/>
              <w:spacing w:after="0"/>
              <w:rPr>
                <w:sz w:val="20"/>
                <w:szCs w:val="20"/>
                <w:color w:val="auto"/>
              </w:rPr>
            </w:pPr>
            <w:r>
              <w:rPr>
                <w:rFonts w:ascii="Calibri" w:cs="Calibri" w:eastAsia="Calibri" w:hAnsi="Calibri"/>
                <w:sz w:val="17"/>
                <w:szCs w:val="17"/>
                <w:color w:val="auto"/>
              </w:rPr>
              <w:t>David B. Burrit</w:t>
            </w:r>
          </w:p>
        </w:tc>
        <w:tc>
          <w:tcPr>
            <w:tcW w:w="1700" w:type="dxa"/>
            <w:vAlign w:val="bottom"/>
            <w:shd w:val="clear" w:color="auto" w:fill="E5E6EF"/>
          </w:tcPr>
          <w:p>
            <w:pPr>
              <w:ind w:left="20"/>
              <w:spacing w:after="0"/>
              <w:rPr>
                <w:sz w:val="20"/>
                <w:szCs w:val="20"/>
                <w:color w:val="auto"/>
              </w:rPr>
            </w:pPr>
            <w:r>
              <w:rPr>
                <w:rFonts w:ascii="Calibri" w:cs="Calibri" w:eastAsia="Calibri" w:hAnsi="Calibri"/>
                <w:sz w:val="17"/>
                <w:szCs w:val="17"/>
                <w:color w:val="auto"/>
              </w:rPr>
              <w:t>Bruce A. Carlson</w:t>
            </w:r>
          </w:p>
        </w:tc>
        <w:tc>
          <w:tcPr>
            <w:tcW w:w="2060" w:type="dxa"/>
            <w:vAlign w:val="bottom"/>
            <w:tcBorders>
              <w:right w:val="single" w:sz="8" w:color="E5E6EF"/>
            </w:tcBorders>
            <w:shd w:val="clear" w:color="auto" w:fill="E5E6EF"/>
          </w:tcPr>
          <w:p>
            <w:pPr>
              <w:ind w:left="200"/>
              <w:spacing w:after="0"/>
              <w:rPr>
                <w:sz w:val="20"/>
                <w:szCs w:val="20"/>
                <w:color w:val="auto"/>
              </w:rPr>
            </w:pPr>
            <w:r>
              <w:rPr>
                <w:rFonts w:ascii="Calibri" w:cs="Calibri" w:eastAsia="Calibri" w:hAnsi="Calibri"/>
                <w:sz w:val="17"/>
                <w:szCs w:val="17"/>
                <w:color w:val="auto"/>
              </w:rPr>
              <w:t>John M. Donovan</w:t>
            </w:r>
          </w:p>
        </w:tc>
        <w:tc>
          <w:tcPr>
            <w:tcW w:w="3280" w:type="dxa"/>
            <w:vAlign w:val="bottom"/>
            <w:vMerge w:val="restart"/>
          </w:tcPr>
          <w:p>
            <w:pPr>
              <w:ind w:left="920"/>
              <w:spacing w:after="0"/>
              <w:rPr>
                <w:sz w:val="20"/>
                <w:szCs w:val="20"/>
                <w:color w:val="auto"/>
              </w:rPr>
            </w:pPr>
            <w:r>
              <w:rPr>
                <w:rFonts w:ascii="Arial" w:cs="Arial" w:eastAsia="Arial" w:hAnsi="Arial"/>
                <w:sz w:val="17"/>
                <w:szCs w:val="17"/>
                <w:color w:val="FFFFFF"/>
              </w:rPr>
              <w:t>The Board recommends a vote</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7"/>
                <w:szCs w:val="7"/>
                <w:color w:val="auto"/>
              </w:rPr>
            </w:pPr>
          </w:p>
        </w:tc>
        <w:tc>
          <w:tcPr>
            <w:tcW w:w="1980" w:type="dxa"/>
            <w:vAlign w:val="bottom"/>
            <w:vMerge w:val="restart"/>
            <w:shd w:val="clear" w:color="auto" w:fill="E5E6EF"/>
          </w:tcPr>
          <w:p>
            <w:pPr>
              <w:ind w:left="60"/>
              <w:spacing w:after="0"/>
              <w:rPr>
                <w:sz w:val="20"/>
                <w:szCs w:val="20"/>
                <w:color w:val="auto"/>
              </w:rPr>
            </w:pPr>
            <w:r>
              <w:rPr>
                <w:rFonts w:ascii="Calibri" w:cs="Calibri" w:eastAsia="Calibri" w:hAnsi="Calibri"/>
                <w:sz w:val="17"/>
                <w:szCs w:val="17"/>
                <w:color w:val="auto"/>
              </w:rPr>
              <w:t>Joseph F. Dunford, Jr.</w:t>
            </w:r>
          </w:p>
        </w:tc>
        <w:tc>
          <w:tcPr>
            <w:tcW w:w="1800" w:type="dxa"/>
            <w:vAlign w:val="bottom"/>
            <w:vMerge w:val="restart"/>
            <w:shd w:val="clear" w:color="auto" w:fill="E5E6EF"/>
          </w:tcPr>
          <w:p>
            <w:pPr>
              <w:ind w:left="20"/>
              <w:spacing w:after="0"/>
              <w:rPr>
                <w:sz w:val="20"/>
                <w:szCs w:val="20"/>
                <w:color w:val="auto"/>
              </w:rPr>
            </w:pPr>
            <w:r>
              <w:rPr>
                <w:rFonts w:ascii="Calibri" w:cs="Calibri" w:eastAsia="Calibri" w:hAnsi="Calibri"/>
                <w:sz w:val="17"/>
                <w:szCs w:val="17"/>
                <w:color w:val="auto"/>
              </w:rPr>
              <w:t>James O. Ellis, Jr.</w:t>
            </w:r>
          </w:p>
        </w:tc>
        <w:tc>
          <w:tcPr>
            <w:tcW w:w="1700" w:type="dxa"/>
            <w:vAlign w:val="bottom"/>
            <w:vMerge w:val="restart"/>
            <w:shd w:val="clear" w:color="auto" w:fill="E5E6EF"/>
          </w:tcPr>
          <w:p>
            <w:pPr>
              <w:ind w:left="20"/>
              <w:spacing w:after="0"/>
              <w:rPr>
                <w:sz w:val="20"/>
                <w:szCs w:val="20"/>
                <w:color w:val="auto"/>
              </w:rPr>
            </w:pPr>
            <w:r>
              <w:rPr>
                <w:rFonts w:ascii="Calibri" w:cs="Calibri" w:eastAsia="Calibri" w:hAnsi="Calibri"/>
                <w:sz w:val="17"/>
                <w:szCs w:val="17"/>
                <w:color w:val="auto"/>
              </w:rPr>
              <w:t>Thomas J. Falk</w:t>
            </w:r>
          </w:p>
        </w:tc>
        <w:tc>
          <w:tcPr>
            <w:tcW w:w="2060" w:type="dxa"/>
            <w:vAlign w:val="bottom"/>
            <w:tcBorders>
              <w:right w:val="single" w:sz="8" w:color="E5E6EF"/>
            </w:tcBorders>
            <w:vMerge w:val="restart"/>
            <w:shd w:val="clear" w:color="auto" w:fill="E5E6EF"/>
          </w:tcPr>
          <w:p>
            <w:pPr>
              <w:ind w:left="200"/>
              <w:spacing w:after="0"/>
              <w:rPr>
                <w:sz w:val="20"/>
                <w:szCs w:val="20"/>
                <w:color w:val="auto"/>
              </w:rPr>
            </w:pPr>
            <w:r>
              <w:rPr>
                <w:rFonts w:ascii="Calibri" w:cs="Calibri" w:eastAsia="Calibri" w:hAnsi="Calibri"/>
                <w:sz w:val="17"/>
                <w:szCs w:val="17"/>
                <w:color w:val="auto"/>
              </w:rPr>
              <w:t>Ilene S. Gordon</w:t>
            </w: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1980" w:type="dxa"/>
            <w:vAlign w:val="bottom"/>
            <w:vMerge w:val="continue"/>
            <w:shd w:val="clear" w:color="auto" w:fill="E5E6EF"/>
          </w:tcPr>
          <w:p>
            <w:pPr>
              <w:spacing w:after="0"/>
              <w:rPr>
                <w:sz w:val="14"/>
                <w:szCs w:val="14"/>
                <w:color w:val="auto"/>
              </w:rPr>
            </w:pPr>
          </w:p>
        </w:tc>
        <w:tc>
          <w:tcPr>
            <w:tcW w:w="1800" w:type="dxa"/>
            <w:vAlign w:val="bottom"/>
            <w:vMerge w:val="continue"/>
            <w:shd w:val="clear" w:color="auto" w:fill="E5E6EF"/>
          </w:tcPr>
          <w:p>
            <w:pPr>
              <w:spacing w:after="0"/>
              <w:rPr>
                <w:sz w:val="14"/>
                <w:szCs w:val="14"/>
                <w:color w:val="auto"/>
              </w:rPr>
            </w:pPr>
          </w:p>
        </w:tc>
        <w:tc>
          <w:tcPr>
            <w:tcW w:w="1700" w:type="dxa"/>
            <w:vAlign w:val="bottom"/>
            <w:vMerge w:val="continue"/>
            <w:shd w:val="clear" w:color="auto" w:fill="E5E6EF"/>
          </w:tcPr>
          <w:p>
            <w:pPr>
              <w:spacing w:after="0"/>
              <w:rPr>
                <w:sz w:val="14"/>
                <w:szCs w:val="14"/>
                <w:color w:val="auto"/>
              </w:rPr>
            </w:pPr>
          </w:p>
        </w:tc>
        <w:tc>
          <w:tcPr>
            <w:tcW w:w="2060" w:type="dxa"/>
            <w:vAlign w:val="bottom"/>
            <w:tcBorders>
              <w:right w:val="single" w:sz="8" w:color="E5E6EF"/>
            </w:tcBorders>
            <w:vMerge w:val="continue"/>
            <w:shd w:val="clear" w:color="auto" w:fill="E5E6EF"/>
          </w:tcPr>
          <w:p>
            <w:pPr>
              <w:spacing w:after="0"/>
              <w:rPr>
                <w:sz w:val="14"/>
                <w:szCs w:val="14"/>
                <w:color w:val="auto"/>
              </w:rPr>
            </w:pPr>
          </w:p>
        </w:tc>
        <w:tc>
          <w:tcPr>
            <w:tcW w:w="3280" w:type="dxa"/>
            <w:vAlign w:val="bottom"/>
            <w:vMerge w:val="restart"/>
          </w:tcPr>
          <w:p>
            <w:pPr>
              <w:ind w:left="920"/>
              <w:spacing w:after="0"/>
              <w:rPr>
                <w:sz w:val="20"/>
                <w:szCs w:val="20"/>
                <w:color w:val="auto"/>
              </w:rPr>
            </w:pPr>
            <w:r>
              <w:rPr>
                <w:rFonts w:ascii="Arial" w:cs="Arial" w:eastAsia="Arial" w:hAnsi="Arial"/>
                <w:sz w:val="22"/>
                <w:szCs w:val="22"/>
                <w:b w:val="1"/>
                <w:bCs w:val="1"/>
                <w:color w:val="FFFFFF"/>
              </w:rPr>
              <w:t xml:space="preserve">FOR </w:t>
            </w:r>
            <w:r>
              <w:rPr>
                <w:rFonts w:ascii="Arial" w:cs="Arial" w:eastAsia="Arial" w:hAnsi="Arial"/>
                <w:sz w:val="17"/>
                <w:szCs w:val="17"/>
                <w:color w:val="FFFFFF"/>
              </w:rPr>
              <w:t>each director nominee</w:t>
            </w: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1980" w:type="dxa"/>
            <w:vAlign w:val="bottom"/>
            <w:vMerge w:val="restart"/>
            <w:shd w:val="clear" w:color="auto" w:fill="E5E6EF"/>
          </w:tcPr>
          <w:p>
            <w:pPr>
              <w:ind w:left="60"/>
              <w:spacing w:after="0"/>
              <w:rPr>
                <w:sz w:val="20"/>
                <w:szCs w:val="20"/>
                <w:color w:val="auto"/>
              </w:rPr>
            </w:pPr>
            <w:r>
              <w:rPr>
                <w:rFonts w:ascii="Calibri" w:cs="Calibri" w:eastAsia="Calibri" w:hAnsi="Calibri"/>
                <w:sz w:val="17"/>
                <w:szCs w:val="17"/>
                <w:color w:val="auto"/>
              </w:rPr>
              <w:t>Vicki A. Hollub</w:t>
            </w:r>
          </w:p>
        </w:tc>
        <w:tc>
          <w:tcPr>
            <w:tcW w:w="1800" w:type="dxa"/>
            <w:vAlign w:val="bottom"/>
            <w:vMerge w:val="restart"/>
            <w:shd w:val="clear" w:color="auto" w:fill="E5E6EF"/>
          </w:tcPr>
          <w:p>
            <w:pPr>
              <w:ind w:left="20"/>
              <w:spacing w:after="0"/>
              <w:rPr>
                <w:sz w:val="20"/>
                <w:szCs w:val="20"/>
                <w:color w:val="auto"/>
              </w:rPr>
            </w:pPr>
            <w:r>
              <w:rPr>
                <w:rFonts w:ascii="Calibri" w:cs="Calibri" w:eastAsia="Calibri" w:hAnsi="Calibri"/>
                <w:sz w:val="17"/>
                <w:szCs w:val="17"/>
                <w:color w:val="auto"/>
              </w:rPr>
              <w:t>Jeh C. Johnson</w:t>
            </w:r>
          </w:p>
        </w:tc>
        <w:tc>
          <w:tcPr>
            <w:tcW w:w="1700" w:type="dxa"/>
            <w:vAlign w:val="bottom"/>
            <w:vMerge w:val="restart"/>
            <w:shd w:val="clear" w:color="auto" w:fill="E5E6EF"/>
          </w:tcPr>
          <w:p>
            <w:pPr>
              <w:ind w:left="20"/>
              <w:spacing w:after="0"/>
              <w:rPr>
                <w:sz w:val="20"/>
                <w:szCs w:val="20"/>
                <w:color w:val="auto"/>
              </w:rPr>
            </w:pPr>
            <w:r>
              <w:rPr>
                <w:rFonts w:ascii="Calibri" w:cs="Calibri" w:eastAsia="Calibri" w:hAnsi="Calibri"/>
                <w:sz w:val="17"/>
                <w:szCs w:val="17"/>
                <w:color w:val="auto"/>
              </w:rPr>
              <w:t>Debra L. Reed-Klages</w:t>
            </w:r>
          </w:p>
        </w:tc>
        <w:tc>
          <w:tcPr>
            <w:tcW w:w="2060" w:type="dxa"/>
            <w:vAlign w:val="bottom"/>
            <w:tcBorders>
              <w:right w:val="single" w:sz="8" w:color="E5E6EF"/>
            </w:tcBorders>
            <w:vMerge w:val="restart"/>
            <w:shd w:val="clear" w:color="auto" w:fill="E5E6EF"/>
          </w:tcPr>
          <w:p>
            <w:pPr>
              <w:ind w:left="200"/>
              <w:spacing w:after="0"/>
              <w:rPr>
                <w:sz w:val="20"/>
                <w:szCs w:val="20"/>
                <w:color w:val="auto"/>
              </w:rPr>
            </w:pPr>
            <w:r>
              <w:rPr>
                <w:rFonts w:ascii="Calibri" w:cs="Calibri" w:eastAsia="Calibri" w:hAnsi="Calibri"/>
                <w:sz w:val="17"/>
                <w:szCs w:val="17"/>
                <w:color w:val="auto"/>
              </w:rPr>
              <w:t>James D. Taiclet</w:t>
            </w:r>
          </w:p>
        </w:tc>
        <w:tc>
          <w:tcPr>
            <w:tcW w:w="3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980" w:type="dxa"/>
            <w:vAlign w:val="bottom"/>
            <w:vMerge w:val="continue"/>
            <w:shd w:val="clear" w:color="auto" w:fill="E5E6EF"/>
          </w:tcPr>
          <w:p>
            <w:pPr>
              <w:spacing w:after="0"/>
              <w:rPr>
                <w:sz w:val="10"/>
                <w:szCs w:val="10"/>
                <w:color w:val="auto"/>
              </w:rPr>
            </w:pPr>
          </w:p>
        </w:tc>
        <w:tc>
          <w:tcPr>
            <w:tcW w:w="1800" w:type="dxa"/>
            <w:vAlign w:val="bottom"/>
            <w:vMerge w:val="continue"/>
            <w:shd w:val="clear" w:color="auto" w:fill="E5E6EF"/>
          </w:tcPr>
          <w:p>
            <w:pPr>
              <w:spacing w:after="0"/>
              <w:rPr>
                <w:sz w:val="10"/>
                <w:szCs w:val="10"/>
                <w:color w:val="auto"/>
              </w:rPr>
            </w:pPr>
          </w:p>
        </w:tc>
        <w:tc>
          <w:tcPr>
            <w:tcW w:w="1700" w:type="dxa"/>
            <w:vAlign w:val="bottom"/>
            <w:vMerge w:val="continue"/>
            <w:shd w:val="clear" w:color="auto" w:fill="E5E6EF"/>
          </w:tcPr>
          <w:p>
            <w:pPr>
              <w:spacing w:after="0"/>
              <w:rPr>
                <w:sz w:val="10"/>
                <w:szCs w:val="10"/>
                <w:color w:val="auto"/>
              </w:rPr>
            </w:pPr>
          </w:p>
        </w:tc>
        <w:tc>
          <w:tcPr>
            <w:tcW w:w="2060" w:type="dxa"/>
            <w:vAlign w:val="bottom"/>
            <w:tcBorders>
              <w:right w:val="single" w:sz="8" w:color="E5E6EF"/>
            </w:tcBorders>
            <w:vMerge w:val="continue"/>
            <w:shd w:val="clear" w:color="auto" w:fill="E5E6EF"/>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1980" w:type="dxa"/>
            <w:vAlign w:val="bottom"/>
            <w:shd w:val="clear" w:color="auto" w:fill="E5E6EF"/>
          </w:tcPr>
          <w:p>
            <w:pPr>
              <w:ind w:left="60"/>
              <w:spacing w:after="0"/>
              <w:rPr>
                <w:sz w:val="20"/>
                <w:szCs w:val="20"/>
                <w:color w:val="auto"/>
              </w:rPr>
            </w:pPr>
            <w:r>
              <w:rPr>
                <w:rFonts w:ascii="Calibri" w:cs="Calibri" w:eastAsia="Calibri" w:hAnsi="Calibri"/>
                <w:sz w:val="17"/>
                <w:szCs w:val="17"/>
                <w:color w:val="auto"/>
              </w:rPr>
              <w:t>Patricia E. Yarrington</w:t>
            </w:r>
          </w:p>
        </w:tc>
        <w:tc>
          <w:tcPr>
            <w:tcW w:w="1800" w:type="dxa"/>
            <w:vAlign w:val="bottom"/>
            <w:shd w:val="clear" w:color="auto" w:fill="E5E6EF"/>
          </w:tcPr>
          <w:p>
            <w:pPr>
              <w:spacing w:after="0"/>
              <w:rPr>
                <w:sz w:val="22"/>
                <w:szCs w:val="22"/>
                <w:color w:val="auto"/>
              </w:rPr>
            </w:pPr>
          </w:p>
        </w:tc>
        <w:tc>
          <w:tcPr>
            <w:tcW w:w="1700" w:type="dxa"/>
            <w:vAlign w:val="bottom"/>
            <w:shd w:val="clear" w:color="auto" w:fill="E5E6EF"/>
          </w:tcPr>
          <w:p>
            <w:pPr>
              <w:spacing w:after="0"/>
              <w:rPr>
                <w:sz w:val="22"/>
                <w:szCs w:val="22"/>
                <w:color w:val="auto"/>
              </w:rPr>
            </w:pPr>
          </w:p>
        </w:tc>
        <w:tc>
          <w:tcPr>
            <w:tcW w:w="2060" w:type="dxa"/>
            <w:vAlign w:val="bottom"/>
            <w:tcBorders>
              <w:right w:val="single" w:sz="8" w:color="E5E6EF"/>
            </w:tcBorders>
            <w:shd w:val="clear" w:color="auto" w:fill="E5E6EF"/>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1"/>
        </w:trPr>
        <w:tc>
          <w:tcPr>
            <w:tcW w:w="80" w:type="dxa"/>
            <w:vAlign w:val="bottom"/>
          </w:tcPr>
          <w:p>
            <w:pPr>
              <w:spacing w:after="0"/>
              <w:rPr>
                <w:sz w:val="24"/>
                <w:szCs w:val="24"/>
                <w:color w:val="auto"/>
              </w:rPr>
            </w:pPr>
          </w:p>
        </w:tc>
        <w:tc>
          <w:tcPr>
            <w:tcW w:w="1980" w:type="dxa"/>
            <w:vAlign w:val="bottom"/>
            <w:shd w:val="clear" w:color="auto" w:fill="E5E6EF"/>
          </w:tcPr>
          <w:p>
            <w:pPr>
              <w:ind w:left="20"/>
              <w:spacing w:after="0"/>
              <w:rPr>
                <w:sz w:val="20"/>
                <w:szCs w:val="20"/>
                <w:color w:val="auto"/>
              </w:rPr>
            </w:pPr>
            <w:r>
              <w:rPr>
                <w:rFonts w:ascii="Arial" w:cs="Arial" w:eastAsia="Arial" w:hAnsi="Arial"/>
                <w:sz w:val="20"/>
                <w:szCs w:val="20"/>
                <w:color w:val="003478"/>
              </w:rPr>
              <w:t>See page 6</w:t>
            </w:r>
          </w:p>
        </w:tc>
        <w:tc>
          <w:tcPr>
            <w:tcW w:w="1800" w:type="dxa"/>
            <w:vAlign w:val="bottom"/>
            <w:shd w:val="clear" w:color="auto" w:fill="E5E6EF"/>
          </w:tcPr>
          <w:p>
            <w:pPr>
              <w:spacing w:after="0"/>
              <w:rPr>
                <w:sz w:val="24"/>
                <w:szCs w:val="24"/>
                <w:color w:val="auto"/>
              </w:rPr>
            </w:pPr>
          </w:p>
        </w:tc>
        <w:tc>
          <w:tcPr>
            <w:tcW w:w="1700" w:type="dxa"/>
            <w:vAlign w:val="bottom"/>
            <w:shd w:val="clear" w:color="auto" w:fill="E5E6EF"/>
          </w:tcPr>
          <w:p>
            <w:pPr>
              <w:spacing w:after="0"/>
              <w:rPr>
                <w:sz w:val="24"/>
                <w:szCs w:val="24"/>
                <w:color w:val="auto"/>
              </w:rPr>
            </w:pPr>
          </w:p>
        </w:tc>
        <w:tc>
          <w:tcPr>
            <w:tcW w:w="2060" w:type="dxa"/>
            <w:vAlign w:val="bottom"/>
            <w:tcBorders>
              <w:right w:val="single" w:sz="8" w:color="E5E6EF"/>
            </w:tcBorders>
            <w:shd w:val="clear" w:color="auto" w:fill="E5E6EF"/>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003478"/>
            </w:tcBorders>
          </w:tcPr>
          <w:p>
            <w:pPr>
              <w:spacing w:after="0"/>
              <w:rPr>
                <w:sz w:val="15"/>
                <w:szCs w:val="15"/>
                <w:color w:val="auto"/>
              </w:rPr>
            </w:pPr>
          </w:p>
        </w:tc>
        <w:tc>
          <w:tcPr>
            <w:tcW w:w="1980" w:type="dxa"/>
            <w:vAlign w:val="bottom"/>
            <w:tcBorders>
              <w:bottom w:val="single" w:sz="8" w:color="003478"/>
            </w:tcBorders>
            <w:shd w:val="clear" w:color="auto" w:fill="E5E6EF"/>
          </w:tcPr>
          <w:p>
            <w:pPr>
              <w:spacing w:after="0"/>
              <w:rPr>
                <w:sz w:val="15"/>
                <w:szCs w:val="15"/>
                <w:color w:val="auto"/>
              </w:rPr>
            </w:pPr>
          </w:p>
        </w:tc>
        <w:tc>
          <w:tcPr>
            <w:tcW w:w="1800" w:type="dxa"/>
            <w:vAlign w:val="bottom"/>
            <w:tcBorders>
              <w:bottom w:val="single" w:sz="8" w:color="003478"/>
            </w:tcBorders>
            <w:shd w:val="clear" w:color="auto" w:fill="E5E6EF"/>
          </w:tcPr>
          <w:p>
            <w:pPr>
              <w:spacing w:after="0"/>
              <w:rPr>
                <w:sz w:val="15"/>
                <w:szCs w:val="15"/>
                <w:color w:val="auto"/>
              </w:rPr>
            </w:pPr>
          </w:p>
        </w:tc>
        <w:tc>
          <w:tcPr>
            <w:tcW w:w="1700" w:type="dxa"/>
            <w:vAlign w:val="bottom"/>
            <w:tcBorders>
              <w:bottom w:val="single" w:sz="8" w:color="003478"/>
            </w:tcBorders>
            <w:shd w:val="clear" w:color="auto" w:fill="E5E6EF"/>
          </w:tcPr>
          <w:p>
            <w:pPr>
              <w:spacing w:after="0"/>
              <w:rPr>
                <w:sz w:val="15"/>
                <w:szCs w:val="15"/>
                <w:color w:val="auto"/>
              </w:rPr>
            </w:pPr>
          </w:p>
        </w:tc>
        <w:tc>
          <w:tcPr>
            <w:tcW w:w="2060" w:type="dxa"/>
            <w:vAlign w:val="bottom"/>
            <w:tcBorders>
              <w:bottom w:val="single" w:sz="8" w:color="003478"/>
              <w:right w:val="single" w:sz="8" w:color="E5E6EF"/>
            </w:tcBorders>
            <w:shd w:val="clear" w:color="auto" w:fill="E5E6EF"/>
          </w:tcPr>
          <w:p>
            <w:pPr>
              <w:spacing w:after="0"/>
              <w:rPr>
                <w:sz w:val="15"/>
                <w:szCs w:val="15"/>
                <w:color w:val="auto"/>
              </w:rPr>
            </w:pP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003478"/>
        </w:rPr>
        <w:t>Director Nominee Qualifications and Attributes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60" w:type="dxa"/>
            <w:vAlign w:val="bottom"/>
            <w:tcBorders>
              <w:top w:val="single" w:sz="8" w:color="003478"/>
            </w:tcBorders>
          </w:tcPr>
          <w:p>
            <w:pPr>
              <w:ind w:left="20"/>
              <w:spacing w:after="0"/>
              <w:rPr>
                <w:sz w:val="20"/>
                <w:szCs w:val="20"/>
                <w:color w:val="auto"/>
              </w:rPr>
            </w:pPr>
            <w:r>
              <w:rPr>
                <w:rFonts w:ascii="Arial" w:cs="Arial" w:eastAsia="Arial" w:hAnsi="Arial"/>
                <w:sz w:val="17"/>
                <w:szCs w:val="17"/>
                <w:b w:val="1"/>
                <w:bCs w:val="1"/>
                <w:color w:val="003B71"/>
              </w:rPr>
              <w:t>BOARD DIVERSITY</w:t>
            </w:r>
          </w:p>
        </w:tc>
        <w:tc>
          <w:tcPr>
            <w:tcW w:w="1960" w:type="dxa"/>
            <w:vAlign w:val="bottom"/>
            <w:tcBorders>
              <w:top w:val="single" w:sz="8" w:color="003478"/>
            </w:tcBorders>
          </w:tcPr>
          <w:p>
            <w:pPr>
              <w:spacing w:after="0"/>
              <w:rPr>
                <w:sz w:val="18"/>
                <w:szCs w:val="18"/>
                <w:color w:val="auto"/>
              </w:rPr>
            </w:pPr>
          </w:p>
        </w:tc>
        <w:tc>
          <w:tcPr>
            <w:tcW w:w="3220" w:type="dxa"/>
            <w:vAlign w:val="bottom"/>
            <w:tcBorders>
              <w:top w:val="single" w:sz="8" w:color="003478"/>
            </w:tcBorders>
          </w:tcPr>
          <w:p>
            <w:pPr>
              <w:ind w:left="240"/>
              <w:spacing w:after="0"/>
              <w:rPr>
                <w:sz w:val="20"/>
                <w:szCs w:val="20"/>
                <w:color w:val="auto"/>
              </w:rPr>
            </w:pPr>
            <w:r>
              <w:rPr>
                <w:rFonts w:ascii="Arial" w:cs="Arial" w:eastAsia="Arial" w:hAnsi="Arial"/>
                <w:sz w:val="16"/>
                <w:szCs w:val="16"/>
                <w:b w:val="1"/>
                <w:bCs w:val="1"/>
                <w:color w:val="003B71"/>
              </w:rPr>
              <w:t>BOARD REFRESHMENT</w:t>
            </w:r>
          </w:p>
        </w:tc>
        <w:tc>
          <w:tcPr>
            <w:tcW w:w="3800" w:type="dxa"/>
            <w:vAlign w:val="bottom"/>
            <w:tcBorders>
              <w:top w:val="single" w:sz="8" w:color="003478"/>
            </w:tcBorders>
          </w:tcPr>
          <w:p>
            <w:pPr>
              <w:ind w:left="1060"/>
              <w:spacing w:after="0"/>
              <w:rPr>
                <w:sz w:val="20"/>
                <w:szCs w:val="20"/>
                <w:color w:val="auto"/>
              </w:rPr>
            </w:pPr>
            <w:r>
              <w:rPr>
                <w:rFonts w:ascii="Arial" w:cs="Arial" w:eastAsia="Arial" w:hAnsi="Arial"/>
                <w:sz w:val="17"/>
                <w:szCs w:val="17"/>
                <w:b w:val="1"/>
                <w:bCs w:val="1"/>
                <w:color w:val="003B71"/>
              </w:rPr>
              <w:t>BOARD INDEPENDENCE</w:t>
            </w:r>
          </w:p>
        </w:tc>
        <w:tc>
          <w:tcPr>
            <w:tcW w:w="0" w:type="dxa"/>
            <w:vAlign w:val="bottom"/>
          </w:tcPr>
          <w:p>
            <w:pPr>
              <w:spacing w:after="0"/>
              <w:rPr>
                <w:sz w:val="1"/>
                <w:szCs w:val="1"/>
                <w:color w:val="auto"/>
              </w:rPr>
            </w:pPr>
          </w:p>
        </w:tc>
      </w:tr>
      <w:tr>
        <w:trPr>
          <w:trHeight w:val="302"/>
        </w:trPr>
        <w:tc>
          <w:tcPr>
            <w:tcW w:w="2260" w:type="dxa"/>
            <w:vAlign w:val="bottom"/>
          </w:tcPr>
          <w:p>
            <w:pPr>
              <w:ind w:left="20"/>
              <w:spacing w:after="0" w:line="302" w:lineRule="exact"/>
              <w:rPr>
                <w:sz w:val="20"/>
                <w:szCs w:val="20"/>
                <w:color w:val="auto"/>
              </w:rPr>
            </w:pPr>
            <w:r>
              <w:rPr>
                <w:rFonts w:ascii="Arial" w:cs="Arial" w:eastAsia="Arial" w:hAnsi="Arial"/>
                <w:sz w:val="29"/>
                <w:szCs w:val="29"/>
                <w:color w:val="003B71"/>
              </w:rPr>
              <w:t>38%</w:t>
            </w:r>
          </w:p>
        </w:tc>
        <w:tc>
          <w:tcPr>
            <w:tcW w:w="1960" w:type="dxa"/>
            <w:vAlign w:val="bottom"/>
          </w:tcPr>
          <w:p>
            <w:pPr>
              <w:ind w:left="200"/>
              <w:spacing w:after="0" w:line="302" w:lineRule="exact"/>
              <w:rPr>
                <w:sz w:val="20"/>
                <w:szCs w:val="20"/>
                <w:color w:val="auto"/>
              </w:rPr>
            </w:pPr>
            <w:r>
              <w:rPr>
                <w:rFonts w:ascii="Arial" w:cs="Arial" w:eastAsia="Arial" w:hAnsi="Arial"/>
                <w:sz w:val="29"/>
                <w:szCs w:val="29"/>
                <w:color w:val="003B71"/>
              </w:rPr>
              <w:t>7</w:t>
            </w:r>
          </w:p>
        </w:tc>
        <w:tc>
          <w:tcPr>
            <w:tcW w:w="3220" w:type="dxa"/>
            <w:vAlign w:val="bottom"/>
          </w:tcPr>
          <w:p>
            <w:pPr>
              <w:ind w:left="1280"/>
              <w:spacing w:after="0" w:line="302" w:lineRule="exact"/>
              <w:rPr>
                <w:sz w:val="20"/>
                <w:szCs w:val="20"/>
                <w:color w:val="auto"/>
              </w:rPr>
            </w:pPr>
            <w:r>
              <w:rPr>
                <w:rFonts w:ascii="Arial" w:cs="Arial" w:eastAsia="Arial" w:hAnsi="Arial"/>
                <w:sz w:val="29"/>
                <w:szCs w:val="29"/>
                <w:color w:val="003B71"/>
              </w:rPr>
              <w:t>67</w:t>
            </w:r>
          </w:p>
        </w:tc>
        <w:tc>
          <w:tcPr>
            <w:tcW w:w="3800" w:type="dxa"/>
            <w:vAlign w:val="bottom"/>
          </w:tcPr>
          <w:p>
            <w:pPr>
              <w:ind w:left="1060"/>
              <w:spacing w:after="0" w:line="302" w:lineRule="exact"/>
              <w:rPr>
                <w:sz w:val="20"/>
                <w:szCs w:val="20"/>
                <w:color w:val="auto"/>
              </w:rPr>
            </w:pPr>
            <w:r>
              <w:rPr>
                <w:rFonts w:ascii="Arial" w:cs="Arial" w:eastAsia="Arial" w:hAnsi="Arial"/>
                <w:sz w:val="29"/>
                <w:szCs w:val="29"/>
                <w:color w:val="003B71"/>
              </w:rPr>
              <w:t>12</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Calibri" w:cs="Calibri" w:eastAsia="Calibri" w:hAnsi="Calibri"/>
                <w:sz w:val="17"/>
                <w:szCs w:val="17"/>
                <w:b w:val="1"/>
                <w:bCs w:val="1"/>
                <w:color w:val="003B71"/>
              </w:rPr>
              <w:t>Gender and Ethnic Diversity</w:t>
            </w:r>
          </w:p>
        </w:tc>
        <w:tc>
          <w:tcPr>
            <w:tcW w:w="1960" w:type="dxa"/>
            <w:vAlign w:val="bottom"/>
          </w:tcPr>
          <w:p>
            <w:pPr>
              <w:ind w:left="200"/>
              <w:spacing w:after="0" w:line="175" w:lineRule="exact"/>
              <w:rPr>
                <w:sz w:val="20"/>
                <w:szCs w:val="20"/>
                <w:color w:val="auto"/>
              </w:rPr>
            </w:pPr>
            <w:r>
              <w:rPr>
                <w:rFonts w:ascii="Calibri" w:cs="Calibri" w:eastAsia="Calibri" w:hAnsi="Calibri"/>
                <w:sz w:val="17"/>
                <w:szCs w:val="17"/>
                <w:b w:val="1"/>
                <w:bCs w:val="1"/>
                <w:color w:val="003B71"/>
              </w:rPr>
              <w:t>New Directors in</w:t>
            </w:r>
          </w:p>
        </w:tc>
        <w:tc>
          <w:tcPr>
            <w:tcW w:w="3220" w:type="dxa"/>
            <w:vAlign w:val="bottom"/>
          </w:tcPr>
          <w:p>
            <w:pPr>
              <w:ind w:left="1280"/>
              <w:spacing w:after="0" w:line="175" w:lineRule="exact"/>
              <w:rPr>
                <w:sz w:val="20"/>
                <w:szCs w:val="20"/>
                <w:color w:val="auto"/>
              </w:rPr>
            </w:pPr>
            <w:r>
              <w:rPr>
                <w:rFonts w:ascii="Calibri" w:cs="Calibri" w:eastAsia="Calibri" w:hAnsi="Calibri"/>
                <w:sz w:val="17"/>
                <w:szCs w:val="17"/>
                <w:b w:val="1"/>
                <w:bCs w:val="1"/>
                <w:color w:val="003B71"/>
              </w:rPr>
              <w:t>Average Age</w:t>
            </w:r>
          </w:p>
        </w:tc>
        <w:tc>
          <w:tcPr>
            <w:tcW w:w="3800" w:type="dxa"/>
            <w:vAlign w:val="bottom"/>
          </w:tcPr>
          <w:p>
            <w:pPr>
              <w:ind w:left="1060"/>
              <w:spacing w:after="0" w:line="175" w:lineRule="exact"/>
              <w:rPr>
                <w:sz w:val="20"/>
                <w:szCs w:val="20"/>
                <w:color w:val="auto"/>
              </w:rPr>
            </w:pPr>
            <w:r>
              <w:rPr>
                <w:rFonts w:ascii="Calibri" w:cs="Calibri" w:eastAsia="Calibri" w:hAnsi="Calibri"/>
                <w:sz w:val="17"/>
                <w:szCs w:val="17"/>
                <w:b w:val="1"/>
                <w:bCs w:val="1"/>
                <w:color w:val="003B71"/>
              </w:rPr>
              <w:t>Independent</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1960" w:type="dxa"/>
            <w:vAlign w:val="bottom"/>
          </w:tcPr>
          <w:p>
            <w:pPr>
              <w:ind w:left="200"/>
              <w:spacing w:after="0" w:line="205" w:lineRule="exact"/>
              <w:rPr>
                <w:sz w:val="20"/>
                <w:szCs w:val="20"/>
                <w:color w:val="auto"/>
              </w:rPr>
            </w:pPr>
            <w:r>
              <w:rPr>
                <w:rFonts w:ascii="Calibri" w:cs="Calibri" w:eastAsia="Calibri" w:hAnsi="Calibri"/>
                <w:sz w:val="17"/>
                <w:szCs w:val="17"/>
                <w:b w:val="1"/>
                <w:bCs w:val="1"/>
                <w:color w:val="003B71"/>
              </w:rPr>
              <w:t>Past 5 Years</w:t>
            </w:r>
          </w:p>
        </w:tc>
        <w:tc>
          <w:tcPr>
            <w:tcW w:w="3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260" w:type="dxa"/>
            <w:vAlign w:val="bottom"/>
          </w:tcPr>
          <w:p>
            <w:pPr>
              <w:ind w:left="20"/>
              <w:spacing w:after="0"/>
              <w:rPr>
                <w:sz w:val="20"/>
                <w:szCs w:val="20"/>
                <w:color w:val="auto"/>
              </w:rPr>
            </w:pPr>
            <w:r>
              <w:rPr>
                <w:rFonts w:ascii="Calibri" w:cs="Calibri" w:eastAsia="Calibri" w:hAnsi="Calibri"/>
                <w:sz w:val="17"/>
                <w:szCs w:val="17"/>
                <w:color w:val="auto"/>
              </w:rPr>
              <w:t>Female</w:t>
            </w:r>
          </w:p>
        </w:tc>
        <w:tc>
          <w:tcPr>
            <w:tcW w:w="1960" w:type="dxa"/>
            <w:vAlign w:val="bottom"/>
          </w:tcPr>
          <w:p>
            <w:pPr>
              <w:ind w:left="200"/>
              <w:spacing w:after="0"/>
              <w:rPr>
                <w:sz w:val="20"/>
                <w:szCs w:val="20"/>
                <w:color w:val="auto"/>
              </w:rPr>
            </w:pPr>
            <w:r>
              <w:rPr>
                <w:rFonts w:ascii="Calibri" w:cs="Calibri" w:eastAsia="Calibri" w:hAnsi="Calibri"/>
                <w:sz w:val="17"/>
                <w:szCs w:val="17"/>
                <w:color w:val="auto"/>
              </w:rPr>
              <w:t>0-5 years</w:t>
            </w:r>
          </w:p>
        </w:tc>
        <w:tc>
          <w:tcPr>
            <w:tcW w:w="3220" w:type="dxa"/>
            <w:vAlign w:val="bottom"/>
          </w:tcPr>
          <w:p>
            <w:pPr>
              <w:ind w:left="1280"/>
              <w:spacing w:after="0"/>
              <w:rPr>
                <w:sz w:val="20"/>
                <w:szCs w:val="20"/>
                <w:color w:val="auto"/>
              </w:rPr>
            </w:pPr>
            <w:r>
              <w:rPr>
                <w:rFonts w:ascii="Calibri" w:cs="Calibri" w:eastAsia="Calibri" w:hAnsi="Calibri"/>
                <w:sz w:val="17"/>
                <w:szCs w:val="17"/>
                <w:color w:val="auto"/>
              </w:rPr>
              <w:t>60 – 65</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260" w:type="dxa"/>
            <w:vAlign w:val="bottom"/>
          </w:tcPr>
          <w:p>
            <w:pPr>
              <w:ind w:left="20"/>
              <w:spacing w:after="0"/>
              <w:rPr>
                <w:sz w:val="20"/>
                <w:szCs w:val="20"/>
                <w:color w:val="auto"/>
              </w:rPr>
            </w:pPr>
            <w:r>
              <w:rPr>
                <w:rFonts w:ascii="Calibri" w:cs="Calibri" w:eastAsia="Calibri" w:hAnsi="Calibri"/>
                <w:sz w:val="17"/>
                <w:szCs w:val="17"/>
                <w:color w:val="auto"/>
              </w:rPr>
              <w:t>African-</w:t>
            </w:r>
          </w:p>
        </w:tc>
        <w:tc>
          <w:tcPr>
            <w:tcW w:w="1960" w:type="dxa"/>
            <w:vAlign w:val="bottom"/>
            <w:vMerge w:val="restart"/>
          </w:tcPr>
          <w:p>
            <w:pPr>
              <w:ind w:left="200"/>
              <w:spacing w:after="0"/>
              <w:rPr>
                <w:sz w:val="20"/>
                <w:szCs w:val="20"/>
                <w:color w:val="auto"/>
              </w:rPr>
            </w:pPr>
            <w:r>
              <w:rPr>
                <w:rFonts w:ascii="Calibri" w:cs="Calibri" w:eastAsia="Calibri" w:hAnsi="Calibri"/>
                <w:sz w:val="17"/>
                <w:szCs w:val="17"/>
                <w:color w:val="auto"/>
              </w:rPr>
              <w:t>6-10 years</w:t>
            </w:r>
          </w:p>
        </w:tc>
        <w:tc>
          <w:tcPr>
            <w:tcW w:w="3220" w:type="dxa"/>
            <w:vAlign w:val="bottom"/>
            <w:vMerge w:val="restart"/>
          </w:tcPr>
          <w:p>
            <w:pPr>
              <w:ind w:left="1280"/>
              <w:spacing w:after="0"/>
              <w:rPr>
                <w:sz w:val="20"/>
                <w:szCs w:val="20"/>
                <w:color w:val="auto"/>
              </w:rPr>
            </w:pPr>
            <w:r>
              <w:rPr>
                <w:rFonts w:ascii="Calibri" w:cs="Calibri" w:eastAsia="Calibri" w:hAnsi="Calibri"/>
                <w:sz w:val="17"/>
                <w:szCs w:val="17"/>
                <w:color w:val="auto"/>
              </w:rPr>
              <w:t>66 – 70</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260" w:type="dxa"/>
            <w:vAlign w:val="bottom"/>
            <w:vMerge w:val="restart"/>
          </w:tcPr>
          <w:p>
            <w:pPr>
              <w:ind w:left="20"/>
              <w:spacing w:after="0" w:line="205" w:lineRule="exact"/>
              <w:rPr>
                <w:sz w:val="20"/>
                <w:szCs w:val="20"/>
                <w:color w:val="auto"/>
              </w:rPr>
            </w:pPr>
            <w:r>
              <w:rPr>
                <w:rFonts w:ascii="Calibri" w:cs="Calibri" w:eastAsia="Calibri" w:hAnsi="Calibri"/>
                <w:sz w:val="17"/>
                <w:szCs w:val="17"/>
                <w:color w:val="auto"/>
              </w:rPr>
              <w:t>American</w:t>
            </w:r>
          </w:p>
        </w:tc>
        <w:tc>
          <w:tcPr>
            <w:tcW w:w="196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2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260" w:type="dxa"/>
            <w:vAlign w:val="bottom"/>
          </w:tcPr>
          <w:p>
            <w:pPr>
              <w:ind w:left="20"/>
              <w:spacing w:after="0"/>
              <w:rPr>
                <w:sz w:val="20"/>
                <w:szCs w:val="20"/>
                <w:color w:val="auto"/>
              </w:rPr>
            </w:pPr>
            <w:r>
              <w:rPr>
                <w:rFonts w:ascii="Calibri" w:cs="Calibri" w:eastAsia="Calibri" w:hAnsi="Calibri"/>
                <w:sz w:val="17"/>
                <w:szCs w:val="17"/>
                <w:color w:val="auto"/>
              </w:rPr>
              <w:t>Veteran</w:t>
            </w:r>
          </w:p>
        </w:tc>
        <w:tc>
          <w:tcPr>
            <w:tcW w:w="1960" w:type="dxa"/>
            <w:vAlign w:val="bottom"/>
          </w:tcPr>
          <w:p>
            <w:pPr>
              <w:ind w:left="200"/>
              <w:spacing w:after="0"/>
              <w:rPr>
                <w:sz w:val="20"/>
                <w:szCs w:val="20"/>
                <w:color w:val="auto"/>
              </w:rPr>
            </w:pPr>
            <w:r>
              <w:rPr>
                <w:rFonts w:ascii="Calibri" w:cs="Calibri" w:eastAsia="Calibri" w:hAnsi="Calibri"/>
                <w:sz w:val="17"/>
                <w:szCs w:val="17"/>
                <w:color w:val="auto"/>
              </w:rPr>
              <w:t>11+ years</w:t>
            </w:r>
          </w:p>
        </w:tc>
        <w:tc>
          <w:tcPr>
            <w:tcW w:w="3220" w:type="dxa"/>
            <w:vAlign w:val="bottom"/>
          </w:tcPr>
          <w:p>
            <w:pPr>
              <w:ind w:left="1280"/>
              <w:spacing w:after="0"/>
              <w:rPr>
                <w:sz w:val="20"/>
                <w:szCs w:val="20"/>
                <w:color w:val="auto"/>
              </w:rPr>
            </w:pPr>
            <w:r>
              <w:rPr>
                <w:rFonts w:ascii="Calibri" w:cs="Calibri" w:eastAsia="Calibri" w:hAnsi="Calibri"/>
                <w:sz w:val="17"/>
                <w:szCs w:val="17"/>
                <w:color w:val="auto"/>
              </w:rPr>
              <w:t>71 – 75</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260" w:type="dxa"/>
            <w:vAlign w:val="bottom"/>
          </w:tcPr>
          <w:p>
            <w:pPr>
              <w:spacing w:after="0"/>
              <w:rPr>
                <w:sz w:val="24"/>
                <w:szCs w:val="24"/>
                <w:color w:val="auto"/>
              </w:rPr>
            </w:pPr>
          </w:p>
        </w:tc>
        <w:tc>
          <w:tcPr>
            <w:tcW w:w="1960" w:type="dxa"/>
            <w:vAlign w:val="bottom"/>
          </w:tcPr>
          <w:p>
            <w:pPr>
              <w:ind w:left="200"/>
              <w:spacing w:after="0"/>
              <w:rPr>
                <w:sz w:val="20"/>
                <w:szCs w:val="20"/>
                <w:color w:val="auto"/>
              </w:rPr>
            </w:pPr>
            <w:r>
              <w:rPr>
                <w:rFonts w:ascii="Calibri" w:cs="Calibri" w:eastAsia="Calibri" w:hAnsi="Calibri"/>
                <w:sz w:val="29"/>
                <w:szCs w:val="29"/>
                <w:b w:val="1"/>
                <w:bCs w:val="1"/>
                <w:color w:val="003B71"/>
              </w:rPr>
              <w:t>7</w:t>
            </w:r>
          </w:p>
        </w:tc>
        <w:tc>
          <w:tcPr>
            <w:tcW w:w="32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1960" w:type="dxa"/>
            <w:vAlign w:val="bottom"/>
          </w:tcPr>
          <w:p>
            <w:pPr>
              <w:ind w:left="200"/>
              <w:spacing w:after="0" w:line="205" w:lineRule="exact"/>
              <w:rPr>
                <w:sz w:val="20"/>
                <w:szCs w:val="20"/>
                <w:color w:val="auto"/>
              </w:rPr>
            </w:pPr>
            <w:r>
              <w:rPr>
                <w:rFonts w:ascii="Calibri" w:cs="Calibri" w:eastAsia="Calibri" w:hAnsi="Calibri"/>
                <w:sz w:val="17"/>
                <w:szCs w:val="17"/>
                <w:b w:val="1"/>
                <w:bCs w:val="1"/>
                <w:color w:val="003B71"/>
              </w:rPr>
              <w:t>Years Average Tenure</w:t>
            </w:r>
          </w:p>
        </w:tc>
        <w:tc>
          <w:tcPr>
            <w:tcW w:w="3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-1157605</wp:posOffset>
            </wp:positionV>
            <wp:extent cx="1114425" cy="11144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-1097280</wp:posOffset>
            </wp:positionV>
            <wp:extent cx="454025"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4025" cy="9461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-1097280</wp:posOffset>
            </wp:positionV>
            <wp:extent cx="805815"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05815" cy="946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-1097280</wp:posOffset>
            </wp:positionV>
            <wp:extent cx="565785"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 cy="9461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-822960</wp:posOffset>
            </wp:positionV>
            <wp:extent cx="93980"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-822960</wp:posOffset>
            </wp:positionV>
            <wp:extent cx="34290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0" cy="9398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-822960</wp:posOffset>
            </wp:positionV>
            <wp:extent cx="557530" cy="9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530" cy="9398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-548640</wp:posOffset>
            </wp:positionV>
            <wp:extent cx="556895" cy="939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6895" cy="9398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-548640</wp:posOffset>
            </wp:positionV>
            <wp:extent cx="325755" cy="93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755" cy="9398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-548640</wp:posOffset>
            </wp:positionV>
            <wp:extent cx="325755"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755"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7"/>
          <w:szCs w:val="17"/>
          <w:color w:val="003B71"/>
        </w:rPr>
        <w:t>CORE COMPETENCIES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40" w:type="dxa"/>
            <w:vAlign w:val="bottom"/>
            <w:vMerge w:val="restart"/>
          </w:tcPr>
          <w:p>
            <w:pPr>
              <w:spacing w:after="0"/>
              <w:rPr>
                <w:sz w:val="20"/>
                <w:szCs w:val="20"/>
                <w:color w:val="auto"/>
              </w:rPr>
            </w:pPr>
            <w:r>
              <w:rPr>
                <w:rFonts w:ascii="Arial" w:cs="Arial" w:eastAsia="Arial" w:hAnsi="Arial"/>
                <w:sz w:val="14"/>
                <w:szCs w:val="14"/>
                <w:color w:val="003B71"/>
              </w:rPr>
              <w:t>CEO Leadership Experience</w:t>
            </w:r>
          </w:p>
        </w:tc>
        <w:tc>
          <w:tcPr>
            <w:tcW w:w="2100" w:type="dxa"/>
            <w:vAlign w:val="bottom"/>
          </w:tcPr>
          <w:p>
            <w:pPr>
              <w:ind w:left="200"/>
              <w:spacing w:after="0"/>
              <w:rPr>
                <w:sz w:val="20"/>
                <w:szCs w:val="20"/>
                <w:color w:val="auto"/>
              </w:rPr>
            </w:pPr>
            <w:r>
              <w:rPr>
                <w:rFonts w:ascii="Arial" w:cs="Arial" w:eastAsia="Arial" w:hAnsi="Arial"/>
                <w:sz w:val="14"/>
                <w:szCs w:val="14"/>
                <w:color w:val="003B71"/>
              </w:rPr>
              <w:t>Senior Military /</w:t>
            </w:r>
          </w:p>
        </w:tc>
        <w:tc>
          <w:tcPr>
            <w:tcW w:w="2080" w:type="dxa"/>
            <w:vAlign w:val="bottom"/>
            <w:vMerge w:val="restart"/>
          </w:tcPr>
          <w:p>
            <w:pPr>
              <w:ind w:left="340"/>
              <w:spacing w:after="0"/>
              <w:rPr>
                <w:sz w:val="20"/>
                <w:szCs w:val="20"/>
                <w:color w:val="auto"/>
              </w:rPr>
            </w:pPr>
            <w:r>
              <w:rPr>
                <w:rFonts w:ascii="Arial" w:cs="Arial" w:eastAsia="Arial" w:hAnsi="Arial"/>
                <w:sz w:val="14"/>
                <w:szCs w:val="14"/>
                <w:color w:val="003B71"/>
              </w:rPr>
              <w:t>Financial Expertise</w:t>
            </w:r>
          </w:p>
        </w:tc>
        <w:tc>
          <w:tcPr>
            <w:tcW w:w="2460" w:type="dxa"/>
            <w:vAlign w:val="bottom"/>
          </w:tcPr>
          <w:p>
            <w:pPr>
              <w:ind w:left="500"/>
              <w:spacing w:after="0"/>
              <w:rPr>
                <w:sz w:val="20"/>
                <w:szCs w:val="20"/>
                <w:color w:val="auto"/>
              </w:rPr>
            </w:pPr>
            <w:r>
              <w:rPr>
                <w:rFonts w:ascii="Arial" w:cs="Arial" w:eastAsia="Arial" w:hAnsi="Arial"/>
                <w:sz w:val="14"/>
                <w:szCs w:val="14"/>
                <w:color w:val="003B71"/>
              </w:rPr>
              <w:t>Environmental, Social and</w:t>
            </w:r>
          </w:p>
        </w:tc>
        <w:tc>
          <w:tcPr>
            <w:tcW w:w="1800" w:type="dxa"/>
            <w:vAlign w:val="bottom"/>
            <w:vMerge w:val="restart"/>
          </w:tcPr>
          <w:p>
            <w:pPr>
              <w:ind w:left="300"/>
              <w:spacing w:after="0"/>
              <w:rPr>
                <w:sz w:val="20"/>
                <w:szCs w:val="20"/>
                <w:color w:val="auto"/>
              </w:rPr>
            </w:pPr>
            <w:r>
              <w:rPr>
                <w:rFonts w:ascii="Arial" w:cs="Arial" w:eastAsia="Arial" w:hAnsi="Arial"/>
                <w:sz w:val="14"/>
                <w:szCs w:val="14"/>
                <w:color w:val="003B71"/>
              </w:rPr>
              <w:t>Cybersecurity Expertise</w:t>
            </w:r>
          </w:p>
        </w:tc>
        <w:tc>
          <w:tcPr>
            <w:tcW w:w="0" w:type="dxa"/>
            <w:vAlign w:val="bottom"/>
          </w:tcPr>
          <w:p>
            <w:pPr>
              <w:spacing w:after="0"/>
              <w:rPr>
                <w:sz w:val="1"/>
                <w:szCs w:val="1"/>
                <w:color w:val="auto"/>
              </w:rPr>
            </w:pPr>
          </w:p>
        </w:tc>
      </w:tr>
      <w:tr>
        <w:trPr>
          <w:trHeight w:val="109"/>
        </w:trPr>
        <w:tc>
          <w:tcPr>
            <w:tcW w:w="2040" w:type="dxa"/>
            <w:vAlign w:val="bottom"/>
            <w:vMerge w:val="continue"/>
          </w:tcPr>
          <w:p>
            <w:pPr>
              <w:spacing w:after="0"/>
              <w:rPr>
                <w:sz w:val="9"/>
                <w:szCs w:val="9"/>
                <w:color w:val="auto"/>
              </w:rPr>
            </w:pPr>
          </w:p>
        </w:tc>
        <w:tc>
          <w:tcPr>
            <w:tcW w:w="2100" w:type="dxa"/>
            <w:vAlign w:val="bottom"/>
            <w:vMerge w:val="restart"/>
          </w:tcPr>
          <w:p>
            <w:pPr>
              <w:ind w:left="200"/>
              <w:spacing w:after="0"/>
              <w:rPr>
                <w:sz w:val="20"/>
                <w:szCs w:val="20"/>
                <w:color w:val="auto"/>
              </w:rPr>
            </w:pPr>
            <w:r>
              <w:rPr>
                <w:rFonts w:ascii="Arial" w:cs="Arial" w:eastAsia="Arial" w:hAnsi="Arial"/>
                <w:sz w:val="14"/>
                <w:szCs w:val="14"/>
                <w:color w:val="003B71"/>
              </w:rPr>
              <w:t>Government Experience</w:t>
            </w:r>
          </w:p>
        </w:tc>
        <w:tc>
          <w:tcPr>
            <w:tcW w:w="2080" w:type="dxa"/>
            <w:vAlign w:val="bottom"/>
            <w:vMerge w:val="continue"/>
          </w:tcPr>
          <w:p>
            <w:pPr>
              <w:spacing w:after="0"/>
              <w:rPr>
                <w:sz w:val="9"/>
                <w:szCs w:val="9"/>
                <w:color w:val="auto"/>
              </w:rPr>
            </w:pPr>
          </w:p>
        </w:tc>
        <w:tc>
          <w:tcPr>
            <w:tcW w:w="2460" w:type="dxa"/>
            <w:vAlign w:val="bottom"/>
            <w:vMerge w:val="restart"/>
          </w:tcPr>
          <w:p>
            <w:pPr>
              <w:ind w:left="500"/>
              <w:spacing w:after="0"/>
              <w:rPr>
                <w:sz w:val="20"/>
                <w:szCs w:val="20"/>
                <w:color w:val="auto"/>
              </w:rPr>
            </w:pPr>
            <w:r>
              <w:rPr>
                <w:rFonts w:ascii="Arial" w:cs="Arial" w:eastAsia="Arial" w:hAnsi="Arial"/>
                <w:sz w:val="14"/>
                <w:szCs w:val="14"/>
                <w:color w:val="003B71"/>
              </w:rPr>
              <w:t>Governance Expertise</w:t>
            </w: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2"/>
        </w:trPr>
        <w:tc>
          <w:tcPr>
            <w:tcW w:w="2040" w:type="dxa"/>
            <w:vAlign w:val="bottom"/>
          </w:tcPr>
          <w:p>
            <w:pPr>
              <w:spacing w:after="0"/>
              <w:rPr>
                <w:sz w:val="20"/>
                <w:szCs w:val="20"/>
                <w:color w:val="auto"/>
              </w:rPr>
            </w:pPr>
            <w:r>
              <w:rPr>
                <w:rFonts w:ascii="Calibri" w:cs="Calibri" w:eastAsia="Calibri" w:hAnsi="Calibri"/>
                <w:sz w:val="29"/>
                <w:szCs w:val="29"/>
                <w:b w:val="1"/>
                <w:bCs w:val="1"/>
                <w:color w:val="003B71"/>
              </w:rPr>
              <w:t xml:space="preserve">8 </w:t>
            </w:r>
            <w:r>
              <w:rPr>
                <w:rFonts w:ascii="Calibri" w:cs="Calibri" w:eastAsia="Calibri" w:hAnsi="Calibri"/>
                <w:sz w:val="17"/>
                <w:szCs w:val="17"/>
                <w:b w:val="1"/>
                <w:bCs w:val="1"/>
                <w:color w:val="000000"/>
              </w:rPr>
              <w:t>Directors</w:t>
            </w:r>
          </w:p>
        </w:tc>
        <w:tc>
          <w:tcPr>
            <w:tcW w:w="2100" w:type="dxa"/>
            <w:vAlign w:val="bottom"/>
          </w:tcPr>
          <w:p>
            <w:pPr>
              <w:ind w:left="200"/>
              <w:spacing w:after="0"/>
              <w:rPr>
                <w:sz w:val="20"/>
                <w:szCs w:val="20"/>
                <w:color w:val="auto"/>
              </w:rPr>
            </w:pPr>
            <w:r>
              <w:rPr>
                <w:rFonts w:ascii="Calibri" w:cs="Calibri" w:eastAsia="Calibri" w:hAnsi="Calibri"/>
                <w:sz w:val="29"/>
                <w:szCs w:val="29"/>
                <w:b w:val="1"/>
                <w:bCs w:val="1"/>
                <w:color w:val="003B71"/>
              </w:rPr>
              <w:t xml:space="preserve">4 </w:t>
            </w:r>
            <w:r>
              <w:rPr>
                <w:rFonts w:ascii="Calibri" w:cs="Calibri" w:eastAsia="Calibri" w:hAnsi="Calibri"/>
                <w:sz w:val="17"/>
                <w:szCs w:val="17"/>
                <w:b w:val="1"/>
                <w:bCs w:val="1"/>
                <w:color w:val="000000"/>
              </w:rPr>
              <w:t>Directors</w:t>
            </w:r>
          </w:p>
        </w:tc>
        <w:tc>
          <w:tcPr>
            <w:tcW w:w="2080" w:type="dxa"/>
            <w:vAlign w:val="bottom"/>
          </w:tcPr>
          <w:p>
            <w:pPr>
              <w:ind w:left="340"/>
              <w:spacing w:after="0"/>
              <w:rPr>
                <w:sz w:val="20"/>
                <w:szCs w:val="20"/>
                <w:color w:val="auto"/>
              </w:rPr>
            </w:pPr>
            <w:r>
              <w:rPr>
                <w:rFonts w:ascii="Calibri" w:cs="Calibri" w:eastAsia="Calibri" w:hAnsi="Calibri"/>
                <w:sz w:val="29"/>
                <w:szCs w:val="29"/>
                <w:b w:val="1"/>
                <w:bCs w:val="1"/>
                <w:color w:val="003B71"/>
              </w:rPr>
              <w:t xml:space="preserve">9 </w:t>
            </w:r>
            <w:r>
              <w:rPr>
                <w:rFonts w:ascii="Calibri" w:cs="Calibri" w:eastAsia="Calibri" w:hAnsi="Calibri"/>
                <w:sz w:val="17"/>
                <w:szCs w:val="17"/>
                <w:b w:val="1"/>
                <w:bCs w:val="1"/>
                <w:color w:val="000000"/>
              </w:rPr>
              <w:t>Directors</w:t>
            </w:r>
          </w:p>
        </w:tc>
        <w:tc>
          <w:tcPr>
            <w:tcW w:w="2460" w:type="dxa"/>
            <w:vAlign w:val="bottom"/>
          </w:tcPr>
          <w:p>
            <w:pPr>
              <w:ind w:left="500"/>
              <w:spacing w:after="0"/>
              <w:rPr>
                <w:sz w:val="20"/>
                <w:szCs w:val="20"/>
                <w:color w:val="auto"/>
              </w:rPr>
            </w:pPr>
            <w:r>
              <w:rPr>
                <w:rFonts w:ascii="Calibri" w:cs="Calibri" w:eastAsia="Calibri" w:hAnsi="Calibri"/>
                <w:sz w:val="29"/>
                <w:szCs w:val="29"/>
                <w:b w:val="1"/>
                <w:bCs w:val="1"/>
                <w:color w:val="003B71"/>
              </w:rPr>
              <w:t xml:space="preserve">10 </w:t>
            </w:r>
            <w:r>
              <w:rPr>
                <w:rFonts w:ascii="Calibri" w:cs="Calibri" w:eastAsia="Calibri" w:hAnsi="Calibri"/>
                <w:sz w:val="17"/>
                <w:szCs w:val="17"/>
                <w:b w:val="1"/>
                <w:bCs w:val="1"/>
                <w:color w:val="000000"/>
              </w:rPr>
              <w:t>Directors</w:t>
            </w:r>
          </w:p>
        </w:tc>
        <w:tc>
          <w:tcPr>
            <w:tcW w:w="1800" w:type="dxa"/>
            <w:vAlign w:val="bottom"/>
          </w:tcPr>
          <w:p>
            <w:pPr>
              <w:ind w:left="300"/>
              <w:spacing w:after="0"/>
              <w:rPr>
                <w:sz w:val="20"/>
                <w:szCs w:val="20"/>
                <w:color w:val="auto"/>
              </w:rPr>
            </w:pPr>
            <w:r>
              <w:rPr>
                <w:rFonts w:ascii="Calibri" w:cs="Calibri" w:eastAsia="Calibri" w:hAnsi="Calibri"/>
                <w:sz w:val="29"/>
                <w:szCs w:val="29"/>
                <w:b w:val="1"/>
                <w:bCs w:val="1"/>
                <w:color w:val="003B71"/>
              </w:rPr>
              <w:t xml:space="preserve">4 </w:t>
            </w:r>
            <w:r>
              <w:rPr>
                <w:rFonts w:ascii="Calibri" w:cs="Calibri" w:eastAsia="Calibri" w:hAnsi="Calibri"/>
                <w:sz w:val="17"/>
                <w:szCs w:val="17"/>
                <w:b w:val="1"/>
                <w:bCs w:val="1"/>
                <w:color w:val="000000"/>
              </w:rPr>
              <w:t>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color w:val="003B71"/>
        </w:rPr>
        <w:t>STRATEGIC SKILLS ENHANCED IN THE PAST 5 YEARS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820" w:type="dxa"/>
            <w:vAlign w:val="bottom"/>
          </w:tcPr>
          <w:p>
            <w:pPr>
              <w:spacing w:after="0"/>
              <w:rPr>
                <w:sz w:val="20"/>
                <w:szCs w:val="20"/>
                <w:color w:val="auto"/>
              </w:rPr>
            </w:pPr>
            <w:r>
              <w:rPr>
                <w:rFonts w:ascii="Arial" w:cs="Arial" w:eastAsia="Arial" w:hAnsi="Arial"/>
                <w:sz w:val="14"/>
                <w:szCs w:val="14"/>
                <w:b w:val="1"/>
                <w:bCs w:val="1"/>
                <w:color w:val="003478"/>
              </w:rPr>
              <w:t>Lead</w:t>
            </w:r>
          </w:p>
        </w:tc>
        <w:tc>
          <w:tcPr>
            <w:tcW w:w="2520" w:type="dxa"/>
            <w:vAlign w:val="bottom"/>
          </w:tcPr>
          <w:p>
            <w:pPr>
              <w:ind w:left="60"/>
              <w:spacing w:after="0"/>
              <w:rPr>
                <w:sz w:val="20"/>
                <w:szCs w:val="20"/>
                <w:color w:val="auto"/>
              </w:rPr>
            </w:pPr>
            <w:r>
              <w:rPr>
                <w:rFonts w:ascii="Arial" w:cs="Arial" w:eastAsia="Arial" w:hAnsi="Arial"/>
                <w:sz w:val="14"/>
                <w:szCs w:val="14"/>
                <w:b w:val="1"/>
                <w:bCs w:val="1"/>
                <w:color w:val="003478"/>
              </w:rPr>
              <w:t>Innovate</w:t>
            </w:r>
          </w:p>
        </w:tc>
        <w:tc>
          <w:tcPr>
            <w:tcW w:w="2740" w:type="dxa"/>
            <w:vAlign w:val="bottom"/>
          </w:tcPr>
          <w:p>
            <w:pPr>
              <w:ind w:left="120"/>
              <w:spacing w:after="0"/>
              <w:rPr>
                <w:sz w:val="20"/>
                <w:szCs w:val="20"/>
                <w:color w:val="auto"/>
              </w:rPr>
            </w:pPr>
            <w:r>
              <w:rPr>
                <w:rFonts w:ascii="Arial" w:cs="Arial" w:eastAsia="Arial" w:hAnsi="Arial"/>
                <w:sz w:val="14"/>
                <w:szCs w:val="14"/>
                <w:b w:val="1"/>
                <w:bCs w:val="1"/>
                <w:color w:val="003478"/>
              </w:rPr>
              <w:t>Drive</w:t>
            </w:r>
          </w:p>
        </w:tc>
        <w:tc>
          <w:tcPr>
            <w:tcW w:w="2860" w:type="dxa"/>
            <w:vAlign w:val="bottom"/>
          </w:tcPr>
          <w:p>
            <w:pPr>
              <w:ind w:left="160"/>
              <w:spacing w:after="0"/>
              <w:rPr>
                <w:sz w:val="20"/>
                <w:szCs w:val="20"/>
                <w:color w:val="auto"/>
              </w:rPr>
            </w:pPr>
            <w:r>
              <w:rPr>
                <w:rFonts w:ascii="Arial" w:cs="Arial" w:eastAsia="Arial" w:hAnsi="Arial"/>
                <w:sz w:val="14"/>
                <w:szCs w:val="14"/>
                <w:b w:val="1"/>
                <w:bCs w:val="1"/>
                <w:color w:val="003478"/>
              </w:rPr>
              <w:t>Grow</w:t>
            </w:r>
          </w:p>
        </w:tc>
      </w:tr>
      <w:tr>
        <w:trPr>
          <w:trHeight w:val="204"/>
        </w:trPr>
        <w:tc>
          <w:tcPr>
            <w:tcW w:w="2820" w:type="dxa"/>
            <w:vAlign w:val="bottom"/>
          </w:tcPr>
          <w:p>
            <w:pPr>
              <w:ind w:left="560"/>
              <w:spacing w:after="0" w:line="205" w:lineRule="exact"/>
              <w:rPr>
                <w:sz w:val="20"/>
                <w:szCs w:val="20"/>
                <w:color w:val="auto"/>
              </w:rPr>
            </w:pPr>
            <w:r>
              <w:rPr>
                <w:rFonts w:ascii="Calibri" w:cs="Calibri" w:eastAsia="Calibri" w:hAnsi="Calibri"/>
                <w:sz w:val="17"/>
                <w:szCs w:val="17"/>
                <w:color w:val="auto"/>
              </w:rPr>
              <w:t>21st Century Security /Defense</w:t>
            </w:r>
          </w:p>
        </w:tc>
        <w:tc>
          <w:tcPr>
            <w:tcW w:w="2520" w:type="dxa"/>
            <w:vAlign w:val="bottom"/>
          </w:tcPr>
          <w:p>
            <w:pPr>
              <w:ind w:left="660"/>
              <w:spacing w:after="0" w:line="205" w:lineRule="exact"/>
              <w:rPr>
                <w:sz w:val="20"/>
                <w:szCs w:val="20"/>
                <w:color w:val="auto"/>
              </w:rPr>
            </w:pPr>
            <w:r>
              <w:rPr>
                <w:rFonts w:ascii="Calibri" w:cs="Calibri" w:eastAsia="Calibri" w:hAnsi="Calibri"/>
                <w:sz w:val="17"/>
                <w:szCs w:val="17"/>
                <w:color w:val="auto"/>
              </w:rPr>
              <w:t>AI, Autonomy, Advanced</w:t>
            </w:r>
          </w:p>
        </w:tc>
        <w:tc>
          <w:tcPr>
            <w:tcW w:w="2740" w:type="dxa"/>
            <w:vAlign w:val="bottom"/>
          </w:tcPr>
          <w:p>
            <w:pPr>
              <w:ind w:left="720"/>
              <w:spacing w:after="0" w:line="205" w:lineRule="exact"/>
              <w:rPr>
                <w:sz w:val="20"/>
                <w:szCs w:val="20"/>
                <w:color w:val="auto"/>
              </w:rPr>
            </w:pPr>
            <w:r>
              <w:rPr>
                <w:rFonts w:ascii="Calibri" w:cs="Calibri" w:eastAsia="Calibri" w:hAnsi="Calibri"/>
                <w:sz w:val="17"/>
                <w:szCs w:val="17"/>
                <w:color w:val="auto"/>
              </w:rPr>
              <w:t>Operatonal Executon and</w:t>
            </w:r>
          </w:p>
        </w:tc>
        <w:tc>
          <w:tcPr>
            <w:tcW w:w="2860" w:type="dxa"/>
            <w:vAlign w:val="bottom"/>
          </w:tcPr>
          <w:p>
            <w:pPr>
              <w:ind w:left="760"/>
              <w:spacing w:after="0" w:line="205" w:lineRule="exact"/>
              <w:rPr>
                <w:sz w:val="20"/>
                <w:szCs w:val="20"/>
                <w:color w:val="auto"/>
              </w:rPr>
            </w:pPr>
            <w:r>
              <w:rPr>
                <w:rFonts w:ascii="Calibri" w:cs="Calibri" w:eastAsia="Calibri" w:hAnsi="Calibri"/>
                <w:sz w:val="17"/>
                <w:szCs w:val="17"/>
                <w:color w:val="auto"/>
              </w:rPr>
              <w:t>Internatonal Business</w:t>
            </w:r>
          </w:p>
        </w:tc>
      </w:tr>
      <w:tr>
        <w:trPr>
          <w:trHeight w:val="175"/>
        </w:trPr>
        <w:tc>
          <w:tcPr>
            <w:tcW w:w="2820" w:type="dxa"/>
            <w:vAlign w:val="bottom"/>
          </w:tcPr>
          <w:p>
            <w:pPr>
              <w:ind w:left="560"/>
              <w:spacing w:after="0" w:line="175" w:lineRule="exact"/>
              <w:rPr>
                <w:sz w:val="20"/>
                <w:szCs w:val="20"/>
                <w:color w:val="auto"/>
              </w:rPr>
            </w:pPr>
            <w:r>
              <w:rPr>
                <w:rFonts w:ascii="Calibri" w:cs="Calibri" w:eastAsia="Calibri" w:hAnsi="Calibri"/>
                <w:sz w:val="17"/>
                <w:szCs w:val="17"/>
                <w:color w:val="auto"/>
              </w:rPr>
              <w:t>Industry Transformaton</w:t>
            </w:r>
          </w:p>
        </w:tc>
        <w:tc>
          <w:tcPr>
            <w:tcW w:w="2520" w:type="dxa"/>
            <w:vAlign w:val="bottom"/>
          </w:tcPr>
          <w:p>
            <w:pPr>
              <w:ind w:left="660"/>
              <w:spacing w:after="0" w:line="175" w:lineRule="exact"/>
              <w:rPr>
                <w:sz w:val="20"/>
                <w:szCs w:val="20"/>
                <w:color w:val="auto"/>
              </w:rPr>
            </w:pPr>
            <w:r>
              <w:rPr>
                <w:rFonts w:ascii="Calibri" w:cs="Calibri" w:eastAsia="Calibri" w:hAnsi="Calibri"/>
                <w:sz w:val="17"/>
                <w:szCs w:val="17"/>
                <w:color w:val="auto"/>
              </w:rPr>
              <w:t>Comms, Hypersonics,</w:t>
            </w:r>
          </w:p>
        </w:tc>
        <w:tc>
          <w:tcPr>
            <w:tcW w:w="2740" w:type="dxa"/>
            <w:vAlign w:val="bottom"/>
          </w:tcPr>
          <w:p>
            <w:pPr>
              <w:ind w:left="720"/>
              <w:spacing w:after="0" w:line="175" w:lineRule="exact"/>
              <w:rPr>
                <w:sz w:val="20"/>
                <w:szCs w:val="20"/>
                <w:color w:val="auto"/>
              </w:rPr>
            </w:pPr>
            <w:r>
              <w:rPr>
                <w:rFonts w:ascii="Calibri" w:cs="Calibri" w:eastAsia="Calibri" w:hAnsi="Calibri"/>
                <w:sz w:val="17"/>
                <w:szCs w:val="17"/>
                <w:color w:val="auto"/>
              </w:rPr>
              <w:t>Efciency</w:t>
            </w:r>
          </w:p>
        </w:tc>
        <w:tc>
          <w:tcPr>
            <w:tcW w:w="2860" w:type="dxa"/>
            <w:vAlign w:val="bottom"/>
          </w:tcPr>
          <w:p>
            <w:pPr>
              <w:ind w:left="760"/>
              <w:spacing w:after="0" w:line="175" w:lineRule="exact"/>
              <w:rPr>
                <w:sz w:val="20"/>
                <w:szCs w:val="20"/>
                <w:color w:val="auto"/>
              </w:rPr>
            </w:pPr>
            <w:r>
              <w:rPr>
                <w:rFonts w:ascii="Calibri" w:cs="Calibri" w:eastAsia="Calibri" w:hAnsi="Calibri"/>
                <w:sz w:val="17"/>
                <w:szCs w:val="17"/>
                <w:color w:val="auto"/>
              </w:rPr>
              <w:t>Expansion</w:t>
            </w:r>
          </w:p>
        </w:tc>
      </w:tr>
      <w:tr>
        <w:trPr>
          <w:trHeight w:val="204"/>
        </w:trPr>
        <w:tc>
          <w:tcPr>
            <w:tcW w:w="2820" w:type="dxa"/>
            <w:vAlign w:val="bottom"/>
          </w:tcPr>
          <w:p>
            <w:pPr>
              <w:spacing w:after="0"/>
              <w:rPr>
                <w:sz w:val="17"/>
                <w:szCs w:val="17"/>
                <w:color w:val="auto"/>
              </w:rPr>
            </w:pPr>
          </w:p>
        </w:tc>
        <w:tc>
          <w:tcPr>
            <w:tcW w:w="2520" w:type="dxa"/>
            <w:vAlign w:val="bottom"/>
          </w:tcPr>
          <w:p>
            <w:pPr>
              <w:ind w:left="660"/>
              <w:spacing w:after="0" w:line="205" w:lineRule="exact"/>
              <w:rPr>
                <w:sz w:val="20"/>
                <w:szCs w:val="20"/>
                <w:color w:val="auto"/>
              </w:rPr>
            </w:pPr>
            <w:r>
              <w:rPr>
                <w:rFonts w:ascii="Calibri" w:cs="Calibri" w:eastAsia="Calibri" w:hAnsi="Calibri"/>
                <w:sz w:val="17"/>
                <w:szCs w:val="17"/>
                <w:color w:val="auto"/>
              </w:rPr>
              <w:t>Space</w:t>
            </w:r>
          </w:p>
        </w:tc>
        <w:tc>
          <w:tcPr>
            <w:tcW w:w="27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09"/>
        </w:trPr>
        <w:tc>
          <w:tcPr>
            <w:tcW w:w="2820" w:type="dxa"/>
            <w:vAlign w:val="bottom"/>
          </w:tcPr>
          <w:p>
            <w:pPr>
              <w:ind w:left="560"/>
              <w:spacing w:after="0"/>
              <w:rPr>
                <w:sz w:val="20"/>
                <w:szCs w:val="20"/>
                <w:color w:val="auto"/>
              </w:rPr>
            </w:pPr>
            <w:r>
              <w:rPr>
                <w:rFonts w:ascii="Calibri" w:cs="Calibri" w:eastAsia="Calibri" w:hAnsi="Calibri"/>
                <w:sz w:val="17"/>
                <w:szCs w:val="17"/>
                <w:color w:val="auto"/>
              </w:rPr>
              <w:t>5G.MIL®/ Digital &amp; Networking</w:t>
            </w:r>
          </w:p>
        </w:tc>
        <w:tc>
          <w:tcPr>
            <w:tcW w:w="2520" w:type="dxa"/>
            <w:vAlign w:val="bottom"/>
          </w:tcPr>
          <w:p>
            <w:pPr>
              <w:ind w:left="660"/>
              <w:spacing w:after="0"/>
              <w:rPr>
                <w:sz w:val="20"/>
                <w:szCs w:val="20"/>
                <w:color w:val="auto"/>
              </w:rPr>
            </w:pPr>
            <w:r>
              <w:rPr>
                <w:rFonts w:ascii="Calibri" w:cs="Calibri" w:eastAsia="Calibri" w:hAnsi="Calibri"/>
                <w:sz w:val="17"/>
                <w:szCs w:val="17"/>
                <w:color w:val="auto"/>
              </w:rPr>
              <w:t>Business and Digital</w:t>
            </w:r>
          </w:p>
        </w:tc>
        <w:tc>
          <w:tcPr>
            <w:tcW w:w="2740" w:type="dxa"/>
            <w:vAlign w:val="bottom"/>
          </w:tcPr>
          <w:p>
            <w:pPr>
              <w:ind w:left="720"/>
              <w:spacing w:after="0"/>
              <w:rPr>
                <w:sz w:val="20"/>
                <w:szCs w:val="20"/>
                <w:color w:val="auto"/>
              </w:rPr>
            </w:pPr>
            <w:r>
              <w:rPr>
                <w:rFonts w:ascii="Calibri" w:cs="Calibri" w:eastAsia="Calibri" w:hAnsi="Calibri"/>
                <w:sz w:val="17"/>
                <w:szCs w:val="17"/>
                <w:color w:val="auto"/>
              </w:rPr>
              <w:t>Supply Chain</w:t>
            </w:r>
          </w:p>
        </w:tc>
        <w:tc>
          <w:tcPr>
            <w:tcW w:w="2860" w:type="dxa"/>
            <w:vAlign w:val="bottom"/>
          </w:tcPr>
          <w:p>
            <w:pPr>
              <w:ind w:left="760"/>
              <w:spacing w:after="0"/>
              <w:rPr>
                <w:sz w:val="20"/>
                <w:szCs w:val="20"/>
                <w:color w:val="auto"/>
              </w:rPr>
            </w:pPr>
            <w:r>
              <w:rPr>
                <w:rFonts w:ascii="Calibri" w:cs="Calibri" w:eastAsia="Calibri" w:hAnsi="Calibri"/>
                <w:sz w:val="17"/>
                <w:szCs w:val="17"/>
                <w:color w:val="auto"/>
              </w:rPr>
              <w:t>Business Model / Commercial</w:t>
            </w:r>
          </w:p>
        </w:tc>
      </w:tr>
      <w:tr>
        <w:trPr>
          <w:trHeight w:val="218"/>
        </w:trPr>
        <w:tc>
          <w:tcPr>
            <w:tcW w:w="2820" w:type="dxa"/>
            <w:vAlign w:val="bottom"/>
          </w:tcPr>
          <w:p>
            <w:pPr>
              <w:ind w:left="560"/>
              <w:spacing w:after="0" w:line="205" w:lineRule="exact"/>
              <w:rPr>
                <w:sz w:val="20"/>
                <w:szCs w:val="20"/>
                <w:color w:val="auto"/>
              </w:rPr>
            </w:pPr>
            <w:r>
              <w:rPr>
                <w:rFonts w:ascii="Calibri" w:cs="Calibri" w:eastAsia="Calibri" w:hAnsi="Calibri"/>
                <w:sz w:val="17"/>
                <w:szCs w:val="17"/>
                <w:color w:val="auto"/>
              </w:rPr>
              <w:t>Open Architecture</w:t>
            </w:r>
          </w:p>
        </w:tc>
        <w:tc>
          <w:tcPr>
            <w:tcW w:w="2520" w:type="dxa"/>
            <w:vAlign w:val="bottom"/>
          </w:tcPr>
          <w:p>
            <w:pPr>
              <w:ind w:left="660"/>
              <w:spacing w:after="0" w:line="205" w:lineRule="exact"/>
              <w:rPr>
                <w:sz w:val="20"/>
                <w:szCs w:val="20"/>
                <w:color w:val="auto"/>
              </w:rPr>
            </w:pPr>
            <w:r>
              <w:rPr>
                <w:rFonts w:ascii="Calibri" w:cs="Calibri" w:eastAsia="Calibri" w:hAnsi="Calibri"/>
                <w:sz w:val="17"/>
                <w:szCs w:val="17"/>
                <w:color w:val="auto"/>
              </w:rPr>
              <w:t>Transformaton</w:t>
            </w:r>
          </w:p>
        </w:tc>
        <w:tc>
          <w:tcPr>
            <w:tcW w:w="2740" w:type="dxa"/>
            <w:vAlign w:val="bottom"/>
          </w:tcPr>
          <w:p>
            <w:pPr>
              <w:ind w:left="720"/>
              <w:spacing w:after="0"/>
              <w:rPr>
                <w:sz w:val="20"/>
                <w:szCs w:val="20"/>
                <w:color w:val="auto"/>
              </w:rPr>
            </w:pPr>
            <w:r>
              <w:rPr>
                <w:rFonts w:ascii="Calibri" w:cs="Calibri" w:eastAsia="Calibri" w:hAnsi="Calibri"/>
                <w:sz w:val="17"/>
                <w:szCs w:val="17"/>
                <w:color w:val="auto"/>
              </w:rPr>
              <w:t>Excellence</w:t>
            </w:r>
          </w:p>
        </w:tc>
        <w:tc>
          <w:tcPr>
            <w:tcW w:w="2860" w:type="dxa"/>
            <w:vAlign w:val="bottom"/>
          </w:tcPr>
          <w:p>
            <w:pPr>
              <w:ind w:left="760"/>
              <w:spacing w:after="0" w:line="205" w:lineRule="exact"/>
              <w:rPr>
                <w:sz w:val="20"/>
                <w:szCs w:val="20"/>
                <w:color w:val="auto"/>
              </w:rPr>
            </w:pPr>
            <w:r>
              <w:rPr>
                <w:rFonts w:ascii="Calibri" w:cs="Calibri" w:eastAsia="Calibri" w:hAnsi="Calibri"/>
                <w:sz w:val="17"/>
                <w:szCs w:val="17"/>
                <w:color w:val="auto"/>
              </w:rPr>
              <w:t>Partnerships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-651510</wp:posOffset>
            </wp:positionV>
            <wp:extent cx="213995"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3995" cy="25717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-626110</wp:posOffset>
            </wp:positionV>
            <wp:extent cx="21463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-634365</wp:posOffset>
            </wp:positionV>
            <wp:extent cx="21463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4630" cy="22288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-626110</wp:posOffset>
            </wp:positionV>
            <wp:extent cx="214630"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4630" cy="2057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-231775</wp:posOffset>
            </wp:positionV>
            <wp:extent cx="213995" cy="2139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3995" cy="2139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-205740</wp:posOffset>
            </wp:positionV>
            <wp:extent cx="21463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630" cy="16256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-248920</wp:posOffset>
            </wp:positionV>
            <wp:extent cx="214630" cy="257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4630" cy="25717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-197485</wp:posOffset>
            </wp:positionV>
            <wp:extent cx="21463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630" cy="14605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Calibri" w:cs="Calibri" w:eastAsia="Calibri" w:hAnsi="Calibri"/>
          <w:sz w:val="17"/>
          <w:szCs w:val="17"/>
          <w:color w:val="auto"/>
        </w:rPr>
        <w:t>See page 8 for a matrix of the nominees’ individual strategic skills, core competencies and atributes followed by a descripton of each skill and competency.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9340" w:val="left"/>
          <w:tab w:leader="none" w:pos="1112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Calibri" w:cs="Calibri" w:eastAsia="Calibri" w:hAnsi="Calibri"/>
          <w:sz w:val="15"/>
          <w:szCs w:val="15"/>
          <w:color w:val="003478"/>
        </w:rPr>
        <w:t>Proxy Statement Votng Roadmap</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sz w:val="1"/>
          <w:szCs w:val="1"/>
          <w:color w:val="auto"/>
        </w:rPr>
        <w:drawing>
          <wp:inline distT="0" distB="0" distL="0" distR="0">
            <wp:extent cx="51435" cy="1714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171450"/>
                    </a:xfrm>
                    <a:prstGeom prst="rect">
                      <a:avLst/>
                    </a:prstGeom>
                    <a:noFill/>
                    <a:ln>
                      <a:noFill/>
                    </a:ln>
                  </pic:spPr>
                </pic:pic>
              </a:graphicData>
            </a:graphic>
          </wp:inline>
        </w:drawing>
      </w:r>
      <w:r>
        <w:rPr>
          <w:rFonts w:ascii="Arial" w:cs="Arial" w:eastAsia="Arial" w:hAnsi="Arial"/>
          <w:sz w:val="20"/>
          <w:szCs w:val="20"/>
          <w:color w:val="FFFFFF"/>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4826000" cy="8572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26000" cy="857250"/>
                    </a:xfrm>
                    <a:prstGeom prst="rect">
                      <a:avLst/>
                    </a:prstGeom>
                    <a:noFill/>
                  </pic:spPr>
                </pic:pic>
              </a:graphicData>
            </a:graphic>
          </wp:anchor>
        </w:drawing>
      </w:r>
    </w:p>
    <w:p>
      <w:pPr>
        <w:spacing w:after="0" w:line="25" w:lineRule="exact"/>
        <w:rPr>
          <w:sz w:val="20"/>
          <w:szCs w:val="20"/>
          <w:color w:val="auto"/>
        </w:rPr>
      </w:pPr>
    </w:p>
    <w:p>
      <w:pPr>
        <w:ind w:left="140" w:right="1140"/>
        <w:spacing w:after="0" w:line="282" w:lineRule="auto"/>
        <w:rPr>
          <w:sz w:val="20"/>
          <w:szCs w:val="20"/>
          <w:color w:val="auto"/>
        </w:rPr>
      </w:pPr>
      <w:r>
        <w:rPr>
          <w:rFonts w:ascii="Arial" w:cs="Arial" w:eastAsia="Arial" w:hAnsi="Arial"/>
          <w:sz w:val="25"/>
          <w:szCs w:val="25"/>
          <w:color w:val="003478"/>
        </w:rPr>
        <w:t>Advisory Vote to Approve the Compensation of our Named Executive Officers (Say-On-Pay)</w:t>
      </w:r>
    </w:p>
    <w:p>
      <w:pPr>
        <w:ind w:left="140"/>
        <w:spacing w:after="0"/>
        <w:rPr>
          <w:sz w:val="20"/>
          <w:szCs w:val="20"/>
          <w:color w:val="auto"/>
        </w:rPr>
      </w:pPr>
      <w:r>
        <w:rPr>
          <w:rFonts w:ascii="Arial" w:cs="Arial" w:eastAsia="Arial" w:hAnsi="Arial"/>
          <w:sz w:val="20"/>
          <w:szCs w:val="20"/>
          <w:color w:val="003478"/>
        </w:rPr>
        <w:t>See page 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40"/>
        <w:spacing w:after="0" w:line="309" w:lineRule="auto"/>
        <w:rPr>
          <w:sz w:val="20"/>
          <w:szCs w:val="20"/>
          <w:color w:val="auto"/>
        </w:rPr>
      </w:pPr>
      <w:r>
        <w:rPr>
          <w:rFonts w:ascii="Arial" w:cs="Arial" w:eastAsia="Arial" w:hAnsi="Arial"/>
          <w:sz w:val="17"/>
          <w:szCs w:val="17"/>
          <w:color w:val="FFFFFF"/>
        </w:rPr>
        <w:t xml:space="preserve">The Board recommends a vote </w:t>
      </w:r>
      <w:r>
        <w:rPr>
          <w:rFonts w:ascii="Arial" w:cs="Arial" w:eastAsia="Arial" w:hAnsi="Arial"/>
          <w:sz w:val="21"/>
          <w:szCs w:val="21"/>
          <w:b w:val="1"/>
          <w:bCs w:val="1"/>
          <w:color w:val="FFFFFF"/>
        </w:rPr>
        <w:t xml:space="preserve">FOR </w:t>
      </w:r>
      <w:r>
        <w:rPr>
          <w:rFonts w:ascii="Arial" w:cs="Arial" w:eastAsia="Arial" w:hAnsi="Arial"/>
          <w:sz w:val="17"/>
          <w:szCs w:val="17"/>
          <w:color w:val="FFFFFF"/>
        </w:rPr>
        <w:t>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-539750</wp:posOffset>
            </wp:positionV>
            <wp:extent cx="2314575" cy="6940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14575" cy="694055"/>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7820" w:space="720"/>
            <w:col w:w="2500"/>
          </w:cols>
          <w:pgMar w:left="320" w:top="230" w:right="53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29"/>
          <w:szCs w:val="29"/>
          <w:color w:val="003478"/>
        </w:rPr>
        <w:t>Executive Compensation Highlights</w:t>
      </w:r>
    </w:p>
    <w:p>
      <w:pPr>
        <w:spacing w:after="0" w:line="63" w:lineRule="exact"/>
        <w:rPr>
          <w:sz w:val="20"/>
          <w:szCs w:val="20"/>
          <w:color w:val="auto"/>
        </w:rPr>
      </w:pPr>
    </w:p>
    <w:p>
      <w:pPr>
        <w:ind w:right="40"/>
        <w:spacing w:after="0" w:line="235" w:lineRule="auto"/>
        <w:rPr>
          <w:sz w:val="20"/>
          <w:szCs w:val="20"/>
          <w:color w:val="auto"/>
        </w:rPr>
      </w:pPr>
      <w:r>
        <w:rPr>
          <w:rFonts w:ascii="Calibri" w:cs="Calibri" w:eastAsia="Calibri" w:hAnsi="Calibri"/>
          <w:sz w:val="17"/>
          <w:szCs w:val="17"/>
          <w:color w:val="auto"/>
        </w:rPr>
        <w:t>Our executve compensaton program, underpinned by our pay-for-performance philosophy, delivers compensaton to our named executve ofcers (NEOs) that is intrinsically and strongly linked to Company performance.</w:t>
      </w:r>
    </w:p>
    <w:p>
      <w:pPr>
        <w:spacing w:after="0" w:line="53" w:lineRule="exact"/>
        <w:rPr>
          <w:sz w:val="20"/>
          <w:szCs w:val="20"/>
          <w:color w:val="auto"/>
        </w:rPr>
      </w:pPr>
    </w:p>
    <w:p>
      <w:pPr>
        <w:spacing w:after="0" w:line="237" w:lineRule="auto"/>
        <w:rPr>
          <w:sz w:val="20"/>
          <w:szCs w:val="20"/>
          <w:color w:val="auto"/>
        </w:rPr>
      </w:pPr>
      <w:r>
        <w:rPr>
          <w:rFonts w:ascii="Calibri" w:cs="Calibri" w:eastAsia="Calibri" w:hAnsi="Calibri"/>
          <w:sz w:val="17"/>
          <w:szCs w:val="17"/>
          <w:color w:val="auto"/>
        </w:rPr>
        <w:t>In February 2022, the Compensaton Commitee approved the 2022 incentve opportunites for NEOs. There were no changes to our overall annual or long-term incentve plan design for 2022. However, the Compensaton Commitee approved the use of Free Cash Flow to replace Cash From Operatons and Performance Cash under the annual and long-term incentve plans, respectvely. Use of Free Cash Flow beter aligns with the Company’s strategy as it incorporates capital expenditures. The Compensaton Commitee also approved environmental, social and governance as a distnct category under the strategic and operatonal goals of our annual incentve program for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003478"/>
              </w:rPr>
              <w:t>2022 CEO TARGET OPPORTUNITY MIX</w:t>
            </w:r>
          </w:p>
        </w:tc>
        <w:tc>
          <w:tcPr>
            <w:tcW w:w="3440" w:type="dxa"/>
            <w:vAlign w:val="bottom"/>
          </w:tcPr>
          <w:p>
            <w:pPr>
              <w:ind w:left="200"/>
              <w:spacing w:after="0"/>
              <w:rPr>
                <w:sz w:val="20"/>
                <w:szCs w:val="20"/>
                <w:color w:val="auto"/>
              </w:rPr>
            </w:pPr>
            <w:r>
              <w:rPr>
                <w:rFonts w:ascii="Arial" w:cs="Arial" w:eastAsia="Arial" w:hAnsi="Arial"/>
                <w:sz w:val="17"/>
                <w:szCs w:val="17"/>
                <w:color w:val="003478"/>
              </w:rPr>
              <w:t>2022 ANNUAL INCENTIVE</w:t>
            </w:r>
          </w:p>
        </w:tc>
      </w:tr>
      <w:tr>
        <w:trPr>
          <w:trHeight w:val="241"/>
        </w:trPr>
        <w:tc>
          <w:tcPr>
            <w:tcW w:w="5500" w:type="dxa"/>
            <w:vAlign w:val="bottom"/>
            <w:tcBorders>
              <w:right w:val="single" w:sz="8" w:color="auto"/>
            </w:tcBorders>
          </w:tcPr>
          <w:p>
            <w:pPr>
              <w:spacing w:after="0"/>
              <w:rPr>
                <w:sz w:val="20"/>
                <w:szCs w:val="20"/>
                <w:color w:val="auto"/>
              </w:rPr>
            </w:pPr>
          </w:p>
        </w:tc>
        <w:tc>
          <w:tcPr>
            <w:tcW w:w="3440" w:type="dxa"/>
            <w:vAlign w:val="bottom"/>
          </w:tcPr>
          <w:p>
            <w:pPr>
              <w:ind w:left="200"/>
              <w:spacing w:after="0"/>
              <w:rPr>
                <w:sz w:val="20"/>
                <w:szCs w:val="20"/>
                <w:color w:val="auto"/>
              </w:rPr>
            </w:pPr>
            <w:r>
              <w:rPr>
                <w:rFonts w:ascii="Arial" w:cs="Arial" w:eastAsia="Arial" w:hAnsi="Arial"/>
                <w:sz w:val="17"/>
                <w:szCs w:val="17"/>
                <w:color w:val="auto"/>
              </w:rPr>
              <w:t>Component Weightings and Achievements</w:t>
            </w:r>
          </w:p>
        </w:tc>
      </w:tr>
      <w:tr>
        <w:trPr>
          <w:trHeight w:val="2065"/>
        </w:trPr>
        <w:tc>
          <w:tcPr>
            <w:tcW w:w="5500" w:type="dxa"/>
            <w:vAlign w:val="bottom"/>
            <w:tcBorders>
              <w:bottom w:val="single" w:sz="8" w:color="auto"/>
              <w:right w:val="single" w:sz="8" w:color="auto"/>
            </w:tcBorders>
          </w:tcPr>
          <w:p>
            <w:pPr>
              <w:spacing w:after="0"/>
              <w:rPr>
                <w:sz w:val="24"/>
                <w:szCs w:val="24"/>
                <w:color w:val="auto"/>
              </w:rPr>
            </w:pPr>
          </w:p>
        </w:tc>
        <w:tc>
          <w:tcPr>
            <w:tcW w:w="3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-1293495</wp:posOffset>
            </wp:positionV>
            <wp:extent cx="6275070" cy="132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75070" cy="1320165"/>
                    </a:xfrm>
                    <a:prstGeom prst="rect">
                      <a:avLst/>
                    </a:prstGeom>
                    <a:noFill/>
                  </pic:spPr>
                </pic:pic>
              </a:graphicData>
            </a:graphic>
          </wp:anchor>
        </w:drawing>
      </w:r>
    </w:p>
    <w:p>
      <w:pPr>
        <w:spacing w:after="0" w:line="133"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7"/>
          <w:szCs w:val="17"/>
          <w:b w:val="1"/>
          <w:bCs w:val="1"/>
          <w:color w:val="003478"/>
        </w:rPr>
        <w:t>3-YEAR SAY-ON-PAY RESULTS</w:t>
      </w:r>
      <w:r>
        <w:rPr>
          <w:sz w:val="20"/>
          <w:szCs w:val="20"/>
          <w:color w:val="auto"/>
        </w:rPr>
        <w:tab/>
      </w:r>
      <w:r>
        <w:rPr>
          <w:rFonts w:ascii="Arial" w:cs="Arial" w:eastAsia="Arial" w:hAnsi="Arial"/>
          <w:sz w:val="17"/>
          <w:szCs w:val="17"/>
          <w:b w:val="1"/>
          <w:bCs w:val="1"/>
          <w:color w:val="003478"/>
        </w:rPr>
        <w:t>2020-2022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104140</wp:posOffset>
            </wp:positionV>
            <wp:extent cx="8255" cy="11226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1122680"/>
                    </a:xfrm>
                    <a:prstGeom prst="rect">
                      <a:avLst/>
                    </a:prstGeom>
                    <a:noFill/>
                  </pic:spPr>
                </pic:pic>
              </a:graphicData>
            </a:graphic>
          </wp:anchor>
        </w:drawing>
      </w:r>
    </w:p>
    <w:p>
      <w:pPr>
        <w:spacing w:after="0" w:line="149"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Component Weightings and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-74930</wp:posOffset>
            </wp:positionV>
            <wp:extent cx="960120" cy="9512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60120" cy="95123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52705</wp:posOffset>
            </wp:positionV>
            <wp:extent cx="2931795" cy="8572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31795" cy="857250"/>
                    </a:xfrm>
                    <a:prstGeom prst="rect">
                      <a:avLst/>
                    </a:prstGeom>
                    <a:noFill/>
                  </pic:spPr>
                </pic:pic>
              </a:graphicData>
            </a:graphic>
          </wp:anchor>
        </w:drawing>
      </w:r>
    </w:p>
    <w:p>
      <w:pPr>
        <w:sectPr>
          <w:pgSz w:w="11900" w:h="16838" w:orient="portrait"/>
          <w:cols w:equalWidth="0" w:num="1">
            <w:col w:w="11040"/>
          </w:cols>
          <w:pgMar w:left="320" w:top="230"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818EB4"/>
        </w:rPr>
        <w:t>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80435" cy="18516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80435" cy="1851660"/>
                    </a:xfrm>
                    <a:prstGeom prst="rect">
                      <a:avLst/>
                    </a:prstGeom>
                    <a:noFill/>
                  </pic:spPr>
                </pic:pic>
              </a:graphicData>
            </a:graphic>
          </wp:anchor>
        </w:drawing>
      </w:r>
    </w:p>
    <w:p>
      <w:pPr>
        <w:spacing w:after="0" w:line="374" w:lineRule="exact"/>
        <w:rPr>
          <w:sz w:val="20"/>
          <w:szCs w:val="20"/>
          <w:color w:val="auto"/>
        </w:rPr>
      </w:pPr>
    </w:p>
    <w:p>
      <w:pPr>
        <w:ind w:left="880"/>
        <w:spacing w:after="0"/>
        <w:rPr>
          <w:sz w:val="20"/>
          <w:szCs w:val="20"/>
          <w:color w:val="auto"/>
        </w:rPr>
      </w:pPr>
      <w:r>
        <w:rPr>
          <w:rFonts w:ascii="Arial" w:cs="Arial" w:eastAsia="Arial" w:hAnsi="Arial"/>
          <w:sz w:val="16"/>
          <w:szCs w:val="16"/>
          <w:color w:val="002F6C"/>
        </w:rPr>
        <w:t>Best Practices in Our Programs</w:t>
      </w:r>
    </w:p>
    <w:p>
      <w:pPr>
        <w:spacing w:after="0" w:line="164" w:lineRule="exact"/>
        <w:rPr>
          <w:sz w:val="20"/>
          <w:szCs w:val="20"/>
          <w:color w:val="auto"/>
        </w:rPr>
      </w:pPr>
    </w:p>
    <w:p>
      <w:pPr>
        <w:ind w:left="280" w:hanging="189"/>
        <w:spacing w:after="0"/>
        <w:tabs>
          <w:tab w:leader="none" w:pos="280" w:val="left"/>
        </w:tabs>
        <w:numPr>
          <w:ilvl w:val="0"/>
          <w:numId w:val="10"/>
        </w:numPr>
        <w:rPr>
          <w:rFonts w:ascii="Calibri" w:cs="Calibri" w:eastAsia="Calibri" w:hAnsi="Calibri"/>
          <w:sz w:val="17"/>
          <w:szCs w:val="17"/>
          <w:color w:val="003478"/>
        </w:rPr>
      </w:pPr>
      <w:r>
        <w:rPr>
          <w:rFonts w:ascii="Calibri" w:cs="Calibri" w:eastAsia="Calibri" w:hAnsi="Calibri"/>
          <w:sz w:val="17"/>
          <w:szCs w:val="17"/>
          <w:color w:val="auto"/>
        </w:rPr>
        <w:t>Pay aligns with performance</w:t>
      </w:r>
    </w:p>
    <w:p>
      <w:pPr>
        <w:ind w:left="280" w:right="60" w:hanging="189"/>
        <w:spacing w:after="0" w:line="186" w:lineRule="auto"/>
        <w:tabs>
          <w:tab w:leader="none" w:pos="281" w:val="left"/>
        </w:tabs>
        <w:numPr>
          <w:ilvl w:val="0"/>
          <w:numId w:val="10"/>
        </w:numPr>
        <w:rPr>
          <w:rFonts w:ascii="Calibri" w:cs="Calibri" w:eastAsia="Calibri" w:hAnsi="Calibri"/>
          <w:sz w:val="16"/>
          <w:szCs w:val="16"/>
          <w:color w:val="003478"/>
        </w:rPr>
      </w:pPr>
      <w:r>
        <w:rPr>
          <w:rFonts w:ascii="Calibri" w:cs="Calibri" w:eastAsia="Calibri" w:hAnsi="Calibri"/>
          <w:sz w:val="16"/>
          <w:szCs w:val="16"/>
          <w:color w:val="auto"/>
        </w:rPr>
        <w:t>Market-based (50</w:t>
      </w:r>
      <w:r>
        <w:rPr>
          <w:rFonts w:ascii="Calibri" w:cs="Calibri" w:eastAsia="Calibri" w:hAnsi="Calibri"/>
          <w:sz w:val="21"/>
          <w:szCs w:val="21"/>
          <w:color w:val="auto"/>
          <w:vertAlign w:val="superscript"/>
        </w:rPr>
        <w:t>th</w:t>
      </w:r>
      <w:r>
        <w:rPr>
          <w:rFonts w:ascii="Calibri" w:cs="Calibri" w:eastAsia="Calibri" w:hAnsi="Calibri"/>
          <w:sz w:val="16"/>
          <w:szCs w:val="16"/>
          <w:color w:val="auto"/>
        </w:rPr>
        <w:t xml:space="preserve"> percentle) approach for determining NEO target pay levels</w:t>
      </w:r>
    </w:p>
    <w:p>
      <w:pPr>
        <w:ind w:left="280" w:right="440" w:hanging="189"/>
        <w:spacing w:after="0" w:line="210" w:lineRule="auto"/>
        <w:tabs>
          <w:tab w:leader="none" w:pos="281" w:val="left"/>
        </w:tabs>
        <w:numPr>
          <w:ilvl w:val="0"/>
          <w:numId w:val="10"/>
        </w:numPr>
        <w:rPr>
          <w:rFonts w:ascii="Calibri" w:cs="Calibri" w:eastAsia="Calibri" w:hAnsi="Calibri"/>
          <w:sz w:val="17"/>
          <w:szCs w:val="17"/>
          <w:color w:val="003478"/>
        </w:rPr>
      </w:pPr>
      <w:r>
        <w:rPr>
          <w:rFonts w:ascii="Calibri" w:cs="Calibri" w:eastAsia="Calibri" w:hAnsi="Calibri"/>
          <w:sz w:val="17"/>
          <w:szCs w:val="17"/>
          <w:color w:val="auto"/>
        </w:rPr>
        <w:t>Caps on annual and long-term incentves, including when Total Stockholder Return (TSR) is negatve</w:t>
      </w:r>
    </w:p>
    <w:p>
      <w:pPr>
        <w:spacing w:after="0" w:line="1" w:lineRule="exact"/>
        <w:rPr>
          <w:rFonts w:ascii="Calibri" w:cs="Calibri" w:eastAsia="Calibri" w:hAnsi="Calibri"/>
          <w:sz w:val="17"/>
          <w:szCs w:val="17"/>
          <w:color w:val="003478"/>
        </w:rPr>
      </w:pPr>
    </w:p>
    <w:p>
      <w:pPr>
        <w:ind w:left="280" w:hanging="189"/>
        <w:spacing w:after="0" w:line="218" w:lineRule="auto"/>
        <w:tabs>
          <w:tab w:leader="none" w:pos="280" w:val="left"/>
        </w:tabs>
        <w:numPr>
          <w:ilvl w:val="0"/>
          <w:numId w:val="10"/>
        </w:numPr>
        <w:rPr>
          <w:rFonts w:ascii="Calibri" w:cs="Calibri" w:eastAsia="Calibri" w:hAnsi="Calibri"/>
          <w:sz w:val="17"/>
          <w:szCs w:val="17"/>
          <w:color w:val="003478"/>
        </w:rPr>
      </w:pPr>
      <w:r>
        <w:rPr>
          <w:rFonts w:ascii="Calibri" w:cs="Calibri" w:eastAsia="Calibri" w:hAnsi="Calibri"/>
          <w:sz w:val="17"/>
          <w:szCs w:val="17"/>
          <w:color w:val="auto"/>
        </w:rPr>
        <w:t>Clawback policy on variable pay</w:t>
      </w:r>
    </w:p>
    <w:p>
      <w:pPr>
        <w:ind w:left="280" w:hanging="189"/>
        <w:spacing w:after="0" w:line="218" w:lineRule="auto"/>
        <w:tabs>
          <w:tab w:leader="none" w:pos="280" w:val="left"/>
        </w:tabs>
        <w:numPr>
          <w:ilvl w:val="0"/>
          <w:numId w:val="10"/>
        </w:numPr>
        <w:rPr>
          <w:rFonts w:ascii="Calibri" w:cs="Calibri" w:eastAsia="Calibri" w:hAnsi="Calibri"/>
          <w:sz w:val="17"/>
          <w:szCs w:val="17"/>
          <w:color w:val="003478"/>
        </w:rPr>
      </w:pPr>
      <w:r>
        <w:rPr>
          <w:rFonts w:ascii="Calibri" w:cs="Calibri" w:eastAsia="Calibri" w:hAnsi="Calibri"/>
          <w:sz w:val="17"/>
          <w:szCs w:val="17"/>
          <w:color w:val="auto"/>
        </w:rPr>
        <w:t>Double-trigger provisions for change in control</w:t>
      </w:r>
    </w:p>
    <w:p>
      <w:pPr>
        <w:ind w:left="280" w:hanging="189"/>
        <w:spacing w:after="0" w:line="218" w:lineRule="auto"/>
        <w:tabs>
          <w:tab w:leader="none" w:pos="280" w:val="left"/>
        </w:tabs>
        <w:numPr>
          <w:ilvl w:val="0"/>
          <w:numId w:val="10"/>
        </w:numPr>
        <w:rPr>
          <w:rFonts w:ascii="Calibri" w:cs="Calibri" w:eastAsia="Calibri" w:hAnsi="Calibri"/>
          <w:sz w:val="17"/>
          <w:szCs w:val="17"/>
          <w:color w:val="003478"/>
        </w:rPr>
      </w:pPr>
      <w:r>
        <w:rPr>
          <w:rFonts w:ascii="Calibri" w:cs="Calibri" w:eastAsia="Calibri" w:hAnsi="Calibri"/>
          <w:sz w:val="17"/>
          <w:szCs w:val="17"/>
          <w:color w:val="auto"/>
        </w:rPr>
        <w:t>Robust stock ownership requirements</w:t>
      </w:r>
    </w:p>
    <w:p>
      <w:pPr>
        <w:ind w:left="280" w:hanging="189"/>
        <w:spacing w:after="0" w:line="218" w:lineRule="auto"/>
        <w:tabs>
          <w:tab w:leader="none" w:pos="280" w:val="left"/>
        </w:tabs>
        <w:numPr>
          <w:ilvl w:val="0"/>
          <w:numId w:val="10"/>
        </w:numPr>
        <w:rPr>
          <w:rFonts w:ascii="Calibri" w:cs="Calibri" w:eastAsia="Calibri" w:hAnsi="Calibri"/>
          <w:sz w:val="17"/>
          <w:szCs w:val="17"/>
          <w:color w:val="003478"/>
        </w:rPr>
      </w:pPr>
      <w:r>
        <w:rPr>
          <w:rFonts w:ascii="Calibri" w:cs="Calibri" w:eastAsia="Calibri" w:hAnsi="Calibri"/>
          <w:sz w:val="17"/>
          <w:szCs w:val="17"/>
          <w:color w:val="auto"/>
        </w:rPr>
        <w:t>Low equity burn rate and diluton</w:t>
      </w:r>
    </w:p>
    <w:p>
      <w:pPr>
        <w:ind w:left="280" w:hanging="189"/>
        <w:spacing w:after="0" w:line="210" w:lineRule="auto"/>
        <w:tabs>
          <w:tab w:leader="none" w:pos="281" w:val="left"/>
        </w:tabs>
        <w:numPr>
          <w:ilvl w:val="0"/>
          <w:numId w:val="10"/>
        </w:numPr>
        <w:rPr>
          <w:rFonts w:ascii="Calibri" w:cs="Calibri" w:eastAsia="Calibri" w:hAnsi="Calibri"/>
          <w:sz w:val="17"/>
          <w:szCs w:val="17"/>
          <w:color w:val="003478"/>
        </w:rPr>
      </w:pPr>
      <w:r>
        <w:rPr>
          <w:rFonts w:ascii="Calibri" w:cs="Calibri" w:eastAsia="Calibri" w:hAnsi="Calibri"/>
          <w:sz w:val="17"/>
          <w:szCs w:val="17"/>
          <w:color w:val="auto"/>
        </w:rPr>
        <w:t>No payment of dividends or dividend equivalents on unvested equity awards</w:t>
      </w:r>
    </w:p>
    <w:p>
      <w:pPr>
        <w:spacing w:after="0" w:line="1" w:lineRule="exact"/>
        <w:rPr>
          <w:rFonts w:ascii="Calibri" w:cs="Calibri" w:eastAsia="Calibri" w:hAnsi="Calibri"/>
          <w:sz w:val="17"/>
          <w:szCs w:val="17"/>
          <w:color w:val="003478"/>
        </w:rPr>
      </w:pPr>
    </w:p>
    <w:p>
      <w:pPr>
        <w:ind w:left="280" w:hanging="189"/>
        <w:spacing w:after="0" w:line="218" w:lineRule="auto"/>
        <w:tabs>
          <w:tab w:leader="none" w:pos="280" w:val="left"/>
        </w:tabs>
        <w:numPr>
          <w:ilvl w:val="0"/>
          <w:numId w:val="10"/>
        </w:numPr>
        <w:rPr>
          <w:rFonts w:ascii="Calibri" w:cs="Calibri" w:eastAsia="Calibri" w:hAnsi="Calibri"/>
          <w:sz w:val="17"/>
          <w:szCs w:val="17"/>
          <w:color w:val="003478"/>
        </w:rPr>
      </w:pPr>
      <w:r>
        <w:rPr>
          <w:rFonts w:ascii="Calibri" w:cs="Calibri" w:eastAsia="Calibri" w:hAnsi="Calibri"/>
          <w:sz w:val="17"/>
          <w:szCs w:val="17"/>
          <w:color w:val="auto"/>
        </w:rPr>
        <w:t>ESG goals included under our annual incentve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333375</wp:posOffset>
            </wp:positionV>
            <wp:extent cx="107188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51" w:hanging="251"/>
        <w:spacing w:after="0"/>
        <w:tabs>
          <w:tab w:leader="none" w:pos="251"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See Appendix A for the defnitons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304165</wp:posOffset>
            </wp:positionV>
            <wp:extent cx="3505835" cy="18516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0583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91"/>
        <w:spacing w:after="0"/>
        <w:rPr>
          <w:sz w:val="20"/>
          <w:szCs w:val="20"/>
          <w:color w:val="auto"/>
        </w:rPr>
      </w:pPr>
      <w:r>
        <w:rPr>
          <w:rFonts w:ascii="Arial" w:cs="Arial" w:eastAsia="Arial" w:hAnsi="Arial"/>
          <w:sz w:val="16"/>
          <w:szCs w:val="16"/>
          <w:color w:val="636466"/>
        </w:rPr>
        <w:t>Practices We Do Not Engage In or Allow</w:t>
      </w:r>
    </w:p>
    <w:p>
      <w:pPr>
        <w:spacing w:after="0" w:line="164" w:lineRule="exact"/>
        <w:rPr>
          <w:sz w:val="20"/>
          <w:szCs w:val="20"/>
          <w:color w:val="auto"/>
        </w:rPr>
      </w:pPr>
    </w:p>
    <w:p>
      <w:pPr>
        <w:ind w:left="251" w:hanging="186"/>
        <w:spacing w:after="0"/>
        <w:tabs>
          <w:tab w:leader="none" w:pos="251" w:val="left"/>
        </w:tabs>
        <w:numPr>
          <w:ilvl w:val="0"/>
          <w:numId w:val="12"/>
        </w:numPr>
        <w:rPr>
          <w:rFonts w:ascii="Calibri" w:cs="Calibri" w:eastAsia="Calibri" w:hAnsi="Calibri"/>
          <w:sz w:val="17"/>
          <w:szCs w:val="17"/>
          <w:color w:val="003478"/>
        </w:rPr>
      </w:pPr>
      <w:r>
        <w:rPr>
          <w:rFonts w:ascii="Calibri" w:cs="Calibri" w:eastAsia="Calibri" w:hAnsi="Calibri"/>
          <w:sz w:val="17"/>
          <w:szCs w:val="17"/>
          <w:color w:val="auto"/>
        </w:rPr>
        <w:t>No employment agreements</w:t>
      </w:r>
    </w:p>
    <w:p>
      <w:pPr>
        <w:ind w:left="251" w:right="80" w:hanging="186"/>
        <w:spacing w:after="0" w:line="202" w:lineRule="auto"/>
        <w:tabs>
          <w:tab w:leader="none" w:pos="252" w:val="left"/>
        </w:tabs>
        <w:numPr>
          <w:ilvl w:val="0"/>
          <w:numId w:val="12"/>
        </w:numPr>
        <w:rPr>
          <w:rFonts w:ascii="Calibri" w:cs="Calibri" w:eastAsia="Calibri" w:hAnsi="Calibri"/>
          <w:sz w:val="17"/>
          <w:szCs w:val="17"/>
          <w:color w:val="003478"/>
        </w:rPr>
      </w:pPr>
      <w:r>
        <w:rPr>
          <w:rFonts w:ascii="Calibri" w:cs="Calibri" w:eastAsia="Calibri" w:hAnsi="Calibri"/>
          <w:sz w:val="17"/>
          <w:szCs w:val="17"/>
          <w:color w:val="auto"/>
        </w:rPr>
        <w:t>No opton backdatng, cash-out of underwater optons or repricing (no employee optons granted since 2012)</w:t>
      </w:r>
    </w:p>
    <w:p>
      <w:pPr>
        <w:spacing w:after="0" w:line="1" w:lineRule="exact"/>
        <w:rPr>
          <w:rFonts w:ascii="Calibri" w:cs="Calibri" w:eastAsia="Calibri" w:hAnsi="Calibri"/>
          <w:sz w:val="17"/>
          <w:szCs w:val="17"/>
          <w:color w:val="003478"/>
        </w:rPr>
      </w:pPr>
    </w:p>
    <w:p>
      <w:pPr>
        <w:ind w:left="251" w:hanging="186"/>
        <w:spacing w:after="0" w:line="218" w:lineRule="auto"/>
        <w:tabs>
          <w:tab w:leader="none" w:pos="251" w:val="left"/>
        </w:tabs>
        <w:numPr>
          <w:ilvl w:val="0"/>
          <w:numId w:val="12"/>
        </w:numPr>
        <w:rPr>
          <w:rFonts w:ascii="Calibri" w:cs="Calibri" w:eastAsia="Calibri" w:hAnsi="Calibri"/>
          <w:sz w:val="17"/>
          <w:szCs w:val="17"/>
          <w:color w:val="003478"/>
        </w:rPr>
      </w:pPr>
      <w:r>
        <w:rPr>
          <w:rFonts w:ascii="Calibri" w:cs="Calibri" w:eastAsia="Calibri" w:hAnsi="Calibri"/>
          <w:sz w:val="17"/>
          <w:szCs w:val="17"/>
          <w:color w:val="auto"/>
        </w:rPr>
        <w:t>No gross-ups upon a change in control</w:t>
      </w:r>
    </w:p>
    <w:p>
      <w:pPr>
        <w:ind w:left="251" w:hanging="186"/>
        <w:spacing w:after="0" w:line="218" w:lineRule="auto"/>
        <w:tabs>
          <w:tab w:leader="none" w:pos="251" w:val="left"/>
        </w:tabs>
        <w:numPr>
          <w:ilvl w:val="0"/>
          <w:numId w:val="12"/>
        </w:numPr>
        <w:rPr>
          <w:rFonts w:ascii="Calibri" w:cs="Calibri" w:eastAsia="Calibri" w:hAnsi="Calibri"/>
          <w:sz w:val="17"/>
          <w:szCs w:val="17"/>
          <w:color w:val="003478"/>
        </w:rPr>
      </w:pPr>
      <w:r>
        <w:rPr>
          <w:rFonts w:ascii="Calibri" w:cs="Calibri" w:eastAsia="Calibri" w:hAnsi="Calibri"/>
          <w:sz w:val="17"/>
          <w:szCs w:val="17"/>
          <w:color w:val="auto"/>
        </w:rPr>
        <w:t>No individual change in control agreements</w:t>
      </w:r>
    </w:p>
    <w:p>
      <w:pPr>
        <w:ind w:left="251" w:hanging="186"/>
        <w:spacing w:after="0" w:line="210" w:lineRule="auto"/>
        <w:tabs>
          <w:tab w:leader="none" w:pos="252" w:val="left"/>
        </w:tabs>
        <w:numPr>
          <w:ilvl w:val="0"/>
          <w:numId w:val="12"/>
        </w:numPr>
        <w:rPr>
          <w:rFonts w:ascii="Calibri" w:cs="Calibri" w:eastAsia="Calibri" w:hAnsi="Calibri"/>
          <w:sz w:val="17"/>
          <w:szCs w:val="17"/>
          <w:color w:val="003478"/>
        </w:rPr>
      </w:pPr>
      <w:r>
        <w:rPr>
          <w:rFonts w:ascii="Calibri" w:cs="Calibri" w:eastAsia="Calibri" w:hAnsi="Calibri"/>
          <w:sz w:val="17"/>
          <w:szCs w:val="17"/>
          <w:color w:val="auto"/>
        </w:rPr>
        <w:t>No automatc acceleraton of unvested incentve awards in the event of terminaton</w:t>
      </w:r>
    </w:p>
    <w:p>
      <w:pPr>
        <w:spacing w:after="0" w:line="1" w:lineRule="exact"/>
        <w:rPr>
          <w:rFonts w:ascii="Calibri" w:cs="Calibri" w:eastAsia="Calibri" w:hAnsi="Calibri"/>
          <w:sz w:val="17"/>
          <w:szCs w:val="17"/>
          <w:color w:val="003478"/>
        </w:rPr>
      </w:pPr>
    </w:p>
    <w:p>
      <w:pPr>
        <w:ind w:left="251" w:hanging="186"/>
        <w:spacing w:after="0" w:line="210" w:lineRule="auto"/>
        <w:tabs>
          <w:tab w:leader="none" w:pos="252" w:val="left"/>
        </w:tabs>
        <w:numPr>
          <w:ilvl w:val="0"/>
          <w:numId w:val="12"/>
        </w:numPr>
        <w:rPr>
          <w:rFonts w:ascii="Calibri" w:cs="Calibri" w:eastAsia="Calibri" w:hAnsi="Calibri"/>
          <w:sz w:val="17"/>
          <w:szCs w:val="17"/>
          <w:color w:val="003478"/>
        </w:rPr>
      </w:pPr>
      <w:r>
        <w:rPr>
          <w:rFonts w:ascii="Calibri" w:cs="Calibri" w:eastAsia="Calibri" w:hAnsi="Calibri"/>
          <w:sz w:val="17"/>
          <w:szCs w:val="17"/>
          <w:color w:val="auto"/>
        </w:rPr>
        <w:t>No enhanced retrement formula or inclusion of long-term incentves in pensions</w:t>
      </w:r>
    </w:p>
    <w:p>
      <w:pPr>
        <w:spacing w:after="0" w:line="1" w:lineRule="exact"/>
        <w:rPr>
          <w:rFonts w:ascii="Calibri" w:cs="Calibri" w:eastAsia="Calibri" w:hAnsi="Calibri"/>
          <w:sz w:val="17"/>
          <w:szCs w:val="17"/>
          <w:color w:val="003478"/>
        </w:rPr>
      </w:pPr>
    </w:p>
    <w:p>
      <w:pPr>
        <w:ind w:left="251" w:hanging="186"/>
        <w:spacing w:after="0" w:line="218" w:lineRule="auto"/>
        <w:tabs>
          <w:tab w:leader="none" w:pos="251" w:val="left"/>
        </w:tabs>
        <w:numPr>
          <w:ilvl w:val="0"/>
          <w:numId w:val="12"/>
        </w:numPr>
        <w:rPr>
          <w:rFonts w:ascii="Calibri" w:cs="Calibri" w:eastAsia="Calibri" w:hAnsi="Calibri"/>
          <w:sz w:val="17"/>
          <w:szCs w:val="17"/>
          <w:color w:val="003478"/>
        </w:rPr>
      </w:pPr>
      <w:r>
        <w:rPr>
          <w:rFonts w:ascii="Calibri" w:cs="Calibri" w:eastAsia="Calibri" w:hAnsi="Calibri"/>
          <w:sz w:val="17"/>
          <w:szCs w:val="17"/>
          <w:color w:val="auto"/>
        </w:rPr>
        <w:t>No enhanced death benefts for executves</w:t>
      </w:r>
    </w:p>
    <w:p>
      <w:pPr>
        <w:ind w:left="251" w:hanging="186"/>
        <w:spacing w:after="0" w:line="218" w:lineRule="auto"/>
        <w:tabs>
          <w:tab w:leader="none" w:pos="251" w:val="left"/>
        </w:tabs>
        <w:numPr>
          <w:ilvl w:val="0"/>
          <w:numId w:val="12"/>
        </w:numPr>
        <w:rPr>
          <w:rFonts w:ascii="Calibri" w:cs="Calibri" w:eastAsia="Calibri" w:hAnsi="Calibri"/>
          <w:sz w:val="17"/>
          <w:szCs w:val="17"/>
          <w:color w:val="003478"/>
        </w:rPr>
      </w:pPr>
      <w:r>
        <w:rPr>
          <w:rFonts w:ascii="Calibri" w:cs="Calibri" w:eastAsia="Calibri" w:hAnsi="Calibri"/>
          <w:sz w:val="17"/>
          <w:szCs w:val="17"/>
          <w:color w:val="auto"/>
        </w:rPr>
        <w:t>No hedging or pledging of Company stock</w:t>
      </w:r>
    </w:p>
    <w:p>
      <w:pPr>
        <w:spacing w:after="0" w:line="388" w:lineRule="exact"/>
        <w:rPr>
          <w:sz w:val="20"/>
          <w:szCs w:val="20"/>
          <w:color w:val="auto"/>
        </w:rPr>
      </w:pPr>
    </w:p>
    <w:p>
      <w:pPr>
        <w:sectPr>
          <w:pgSz w:w="11900" w:h="16838" w:orient="portrait"/>
          <w:cols w:equalWidth="0" w:num="2">
            <w:col w:w="5180" w:space="529"/>
            <w:col w:w="5331"/>
          </w:cols>
          <w:pgMar w:left="320" w:top="230" w:right="5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30" w:right="53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10" w:lineRule="exact"/>
        <w:rPr>
          <w:sz w:val="20"/>
          <w:szCs w:val="20"/>
          <w:color w:val="auto"/>
        </w:rPr>
      </w:pPr>
    </w:p>
    <w:p>
      <w:pPr>
        <w:jc w:val="right"/>
        <w:spacing w:after="0"/>
        <w:rPr>
          <w:sz w:val="20"/>
          <w:szCs w:val="20"/>
          <w:color w:val="auto"/>
        </w:rPr>
      </w:pPr>
      <w:r>
        <w:rPr>
          <w:rFonts w:ascii="Calibri" w:cs="Calibri" w:eastAsia="Calibri" w:hAnsi="Calibri"/>
          <w:sz w:val="15"/>
          <w:szCs w:val="15"/>
          <w:color w:val="003478"/>
        </w:rPr>
        <w:t>Proxy Statement Votng Roadmap</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sz w:val="1"/>
          <w:szCs w:val="1"/>
          <w:color w:val="auto"/>
        </w:rPr>
        <w:drawing>
          <wp:inline distT="0" distB="0" distL="0" distR="0">
            <wp:extent cx="51435" cy="1714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171450"/>
                    </a:xfrm>
                    <a:prstGeom prst="rect">
                      <a:avLst/>
                    </a:prstGeom>
                    <a:noFill/>
                    <a:ln>
                      <a:noFill/>
                    </a:ln>
                  </pic:spPr>
                </pic:pic>
              </a:graphicData>
            </a:graphic>
          </wp:inline>
        </w:drawing>
      </w:r>
      <w:r>
        <w:rPr>
          <w:rFonts w:ascii="Arial" w:cs="Arial" w:eastAsia="Arial" w:hAnsi="Arial"/>
          <w:sz w:val="20"/>
          <w:szCs w:val="20"/>
          <w:color w:val="FFFFFF"/>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4826000" cy="942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26000" cy="942975"/>
                    </a:xfrm>
                    <a:prstGeom prst="rect">
                      <a:avLst/>
                    </a:prstGeom>
                    <a:noFill/>
                  </pic:spPr>
                </pic:pic>
              </a:graphicData>
            </a:graphic>
          </wp:anchor>
        </w:drawing>
      </w:r>
    </w:p>
    <w:p>
      <w:pPr>
        <w:spacing w:after="0" w:line="93" w:lineRule="exact"/>
        <w:rPr>
          <w:sz w:val="20"/>
          <w:szCs w:val="20"/>
          <w:color w:val="auto"/>
        </w:rPr>
      </w:pPr>
    </w:p>
    <w:p>
      <w:pPr>
        <w:ind w:left="140" w:right="380"/>
        <w:spacing w:after="0" w:line="282" w:lineRule="auto"/>
        <w:rPr>
          <w:sz w:val="20"/>
          <w:szCs w:val="20"/>
          <w:color w:val="auto"/>
        </w:rPr>
      </w:pPr>
      <w:r>
        <w:rPr>
          <w:rFonts w:ascii="Arial" w:cs="Arial" w:eastAsia="Arial" w:hAnsi="Arial"/>
          <w:sz w:val="25"/>
          <w:szCs w:val="25"/>
          <w:color w:val="003478"/>
        </w:rPr>
        <w:t>Advisory Vote on the Frequency of Advisory Votes to Approve the Compensation of our NEOs</w:t>
      </w:r>
    </w:p>
    <w:p>
      <w:pPr>
        <w:ind w:left="140"/>
        <w:spacing w:after="0"/>
        <w:rPr>
          <w:sz w:val="20"/>
          <w:szCs w:val="20"/>
          <w:color w:val="auto"/>
        </w:rPr>
      </w:pPr>
      <w:r>
        <w:rPr>
          <w:rFonts w:ascii="Arial" w:cs="Arial" w:eastAsia="Arial" w:hAnsi="Arial"/>
          <w:sz w:val="20"/>
          <w:szCs w:val="20"/>
          <w:color w:val="003478"/>
        </w:rPr>
        <w:t>See page 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FFFFFF"/>
        </w:rPr>
        <w:t>The Board recommends a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-280670</wp:posOffset>
            </wp:positionV>
            <wp:extent cx="2314575" cy="7797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14575" cy="7797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 xml:space="preserve">FOR </w:t>
      </w:r>
      <w:r>
        <w:rPr>
          <w:rFonts w:ascii="Arial" w:cs="Arial" w:eastAsia="Arial" w:hAnsi="Arial"/>
          <w:sz w:val="17"/>
          <w:szCs w:val="17"/>
          <w:color w:val="FFFFFF"/>
        </w:rPr>
        <w:t>an</w:t>
      </w:r>
      <w:r>
        <w:rPr>
          <w:rFonts w:ascii="Arial" w:cs="Arial" w:eastAsia="Arial" w:hAnsi="Arial"/>
          <w:sz w:val="22"/>
          <w:szCs w:val="22"/>
          <w:b w:val="1"/>
          <w:bCs w:val="1"/>
          <w:color w:val="FFFFFF"/>
        </w:rPr>
        <w:t xml:space="preserve"> </w:t>
      </w:r>
      <w:r>
        <w:rPr>
          <w:rFonts w:ascii="Arial" w:cs="Arial" w:eastAsia="Arial" w:hAnsi="Arial"/>
          <w:sz w:val="22"/>
          <w:szCs w:val="22"/>
          <w:color w:val="FFFFFF"/>
        </w:rPr>
        <w:t>ANNUAL</w:t>
      </w:r>
    </w:p>
    <w:p>
      <w:pPr>
        <w:spacing w:after="0"/>
        <w:rPr>
          <w:sz w:val="20"/>
          <w:szCs w:val="20"/>
          <w:color w:val="auto"/>
        </w:rPr>
      </w:pPr>
      <w:r>
        <w:rPr>
          <w:rFonts w:ascii="Arial" w:cs="Arial" w:eastAsia="Arial" w:hAnsi="Arial"/>
          <w:sz w:val="17"/>
          <w:szCs w:val="17"/>
          <w:color w:val="FFFFFF"/>
        </w:rPr>
        <w:t>stockholder advisory vote</w:t>
      </w:r>
    </w:p>
    <w:p>
      <w:pPr>
        <w:spacing w:after="0" w:line="313" w:lineRule="exact"/>
        <w:rPr>
          <w:sz w:val="20"/>
          <w:szCs w:val="20"/>
          <w:color w:val="auto"/>
        </w:rPr>
      </w:pPr>
    </w:p>
    <w:p>
      <w:pPr>
        <w:sectPr>
          <w:pgSz w:w="11900" w:h="16838" w:orient="portrait"/>
          <w:cols w:equalWidth="0" w:num="2">
            <w:col w:w="7820" w:space="720"/>
            <w:col w:w="2700"/>
          </w:cols>
          <w:pgMar w:left="320" w:top="230" w:right="339" w:bottom="1440" w:gutter="0" w:footer="0" w:header="0"/>
          <w:type w:val="continuous"/>
        </w:sectPr>
      </w:pPr>
    </w:p>
    <w:p>
      <w:pPr>
        <w:spacing w:after="0" w:line="185" w:lineRule="exact"/>
        <w:rPr>
          <w:sz w:val="20"/>
          <w:szCs w:val="20"/>
          <w:color w:val="auto"/>
        </w:rPr>
      </w:pPr>
    </w:p>
    <w:p>
      <w:pPr>
        <w:spacing w:after="0" w:line="253" w:lineRule="auto"/>
        <w:rPr>
          <w:sz w:val="20"/>
          <w:szCs w:val="20"/>
          <w:color w:val="auto"/>
        </w:rPr>
      </w:pPr>
      <w:r>
        <w:rPr>
          <w:rFonts w:ascii="Calibri" w:cs="Calibri" w:eastAsia="Calibri" w:hAnsi="Calibri"/>
          <w:sz w:val="17"/>
          <w:szCs w:val="17"/>
          <w:color w:val="auto"/>
        </w:rPr>
        <w:t>We are required by law to hold an advisory vote on the frequency of Say-on-Pay votes every six years. Stockholders may vote to hold the advisory vote on Say-on-Pay every one, two or three years. In 2017, our stockholders voted in favor of holding Say-on-Pay votes annually, which the Board adopted as its standard. In light of investor expectatons and prevailing market practce, we ask stockholders to support the contnuaton of a frequency period of “ONE YEAR” (an annual vote) for future votes on Say-on-Pay.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sz w:val="1"/>
          <w:szCs w:val="1"/>
          <w:color w:val="auto"/>
        </w:rPr>
        <w:drawing>
          <wp:inline distT="0" distB="0" distL="0" distR="0">
            <wp:extent cx="51435" cy="1714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171450"/>
                    </a:xfrm>
                    <a:prstGeom prst="rect">
                      <a:avLst/>
                    </a:prstGeom>
                    <a:noFill/>
                    <a:ln>
                      <a:noFill/>
                    </a:ln>
                  </pic:spPr>
                </pic:pic>
              </a:graphicData>
            </a:graphic>
          </wp:inline>
        </w:drawing>
      </w:r>
      <w:r>
        <w:rPr>
          <w:rFonts w:ascii="Arial" w:cs="Arial" w:eastAsia="Arial" w:hAnsi="Arial"/>
          <w:sz w:val="20"/>
          <w:szCs w:val="20"/>
          <w:color w:val="FFFFFF"/>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40575" cy="7543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0575" cy="754380"/>
                    </a:xfrm>
                    <a:prstGeom prst="rect">
                      <a:avLst/>
                    </a:prstGeom>
                    <a:noFill/>
                  </pic:spPr>
                </pic:pic>
              </a:graphicData>
            </a:graphic>
          </wp:anchor>
        </w:drawing>
      </w: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363"/>
        </w:trPr>
        <w:tc>
          <w:tcPr>
            <w:tcW w:w="7520" w:type="dxa"/>
            <w:vAlign w:val="bottom"/>
            <w:shd w:val="clear" w:color="auto" w:fill="E5E7EF"/>
          </w:tcPr>
          <w:p>
            <w:pPr>
              <w:ind w:left="60"/>
              <w:spacing w:after="0"/>
              <w:rPr>
                <w:sz w:val="20"/>
                <w:szCs w:val="20"/>
                <w:color w:val="auto"/>
              </w:rPr>
            </w:pPr>
            <w:r>
              <w:rPr>
                <w:rFonts w:ascii="Arial" w:cs="Arial" w:eastAsia="Arial" w:hAnsi="Arial"/>
                <w:sz w:val="25"/>
                <w:szCs w:val="25"/>
                <w:color w:val="003478"/>
              </w:rPr>
              <w:t>Ratification of Appointment of Independent Auditors</w:t>
            </w:r>
          </w:p>
        </w:tc>
        <w:tc>
          <w:tcPr>
            <w:tcW w:w="920" w:type="dxa"/>
            <w:vAlign w:val="bottom"/>
          </w:tcPr>
          <w:p>
            <w:pPr>
              <w:spacing w:after="0"/>
              <w:rPr>
                <w:sz w:val="24"/>
                <w:szCs w:val="24"/>
                <w:color w:val="auto"/>
              </w:rPr>
            </w:pPr>
          </w:p>
        </w:tc>
        <w:tc>
          <w:tcPr>
            <w:tcW w:w="2720" w:type="dxa"/>
            <w:vAlign w:val="bottom"/>
            <w:shd w:val="clear" w:color="auto" w:fill="003478"/>
          </w:tcPr>
          <w:p>
            <w:pPr>
              <w:ind w:left="20"/>
              <w:spacing w:after="0"/>
              <w:rPr>
                <w:sz w:val="20"/>
                <w:szCs w:val="20"/>
                <w:color w:val="auto"/>
              </w:rPr>
            </w:pPr>
            <w:r>
              <w:rPr>
                <w:rFonts w:ascii="Arial" w:cs="Arial" w:eastAsia="Arial" w:hAnsi="Arial"/>
                <w:sz w:val="17"/>
                <w:szCs w:val="17"/>
                <w:color w:val="FFFFFF"/>
              </w:rPr>
              <w:t>The Board recommends a vote</w:t>
            </w:r>
          </w:p>
        </w:tc>
      </w:tr>
      <w:tr>
        <w:trPr>
          <w:trHeight w:val="349"/>
        </w:trPr>
        <w:tc>
          <w:tcPr>
            <w:tcW w:w="7520" w:type="dxa"/>
            <w:vAlign w:val="bottom"/>
            <w:shd w:val="clear" w:color="auto" w:fill="E5E7EF"/>
          </w:tcPr>
          <w:p>
            <w:pPr>
              <w:ind w:left="60"/>
              <w:spacing w:after="0"/>
              <w:rPr>
                <w:sz w:val="20"/>
                <w:szCs w:val="20"/>
                <w:color w:val="auto"/>
              </w:rPr>
            </w:pPr>
            <w:r>
              <w:rPr>
                <w:rFonts w:ascii="Arial" w:cs="Arial" w:eastAsia="Arial" w:hAnsi="Arial"/>
                <w:sz w:val="20"/>
                <w:szCs w:val="20"/>
                <w:color w:val="003478"/>
              </w:rPr>
              <w:t>See page 79</w:t>
            </w:r>
          </w:p>
        </w:tc>
        <w:tc>
          <w:tcPr>
            <w:tcW w:w="920" w:type="dxa"/>
            <w:vAlign w:val="bottom"/>
          </w:tcPr>
          <w:p>
            <w:pPr>
              <w:spacing w:after="0"/>
              <w:rPr>
                <w:sz w:val="24"/>
                <w:szCs w:val="24"/>
                <w:color w:val="auto"/>
              </w:rPr>
            </w:pPr>
          </w:p>
        </w:tc>
        <w:tc>
          <w:tcPr>
            <w:tcW w:w="2720" w:type="dxa"/>
            <w:vAlign w:val="bottom"/>
            <w:shd w:val="clear" w:color="auto" w:fill="003478"/>
          </w:tcPr>
          <w:p>
            <w:pPr>
              <w:ind w:left="20"/>
              <w:spacing w:after="0"/>
              <w:rPr>
                <w:sz w:val="20"/>
                <w:szCs w:val="20"/>
                <w:color w:val="auto"/>
              </w:rPr>
            </w:pPr>
            <w:r>
              <w:rPr>
                <w:rFonts w:ascii="Arial" w:cs="Arial" w:eastAsia="Arial" w:hAnsi="Arial"/>
                <w:sz w:val="22"/>
                <w:szCs w:val="22"/>
                <w:b w:val="1"/>
                <w:bCs w:val="1"/>
                <w:color w:val="FFFFFF"/>
              </w:rPr>
              <w:t xml:space="preserve">FOR </w:t>
            </w:r>
            <w:r>
              <w:rPr>
                <w:rFonts w:ascii="Arial" w:cs="Arial" w:eastAsia="Arial" w:hAnsi="Arial"/>
                <w:sz w:val="17"/>
                <w:szCs w:val="17"/>
                <w:color w:val="FFFFFF"/>
              </w:rPr>
              <w:t>this proposal</w:t>
            </w:r>
          </w:p>
        </w:tc>
      </w:tr>
      <w:tr>
        <w:trPr>
          <w:trHeight w:val="166"/>
        </w:trPr>
        <w:tc>
          <w:tcPr>
            <w:tcW w:w="7520" w:type="dxa"/>
            <w:vAlign w:val="bottom"/>
            <w:shd w:val="clear" w:color="auto" w:fill="E5E7EF"/>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shd w:val="clear" w:color="auto" w:fill="003478"/>
          </w:tcPr>
          <w:p>
            <w:pPr>
              <w:spacing w:after="0"/>
              <w:rPr>
                <w:sz w:val="14"/>
                <w:szCs w:val="14"/>
                <w:color w:val="auto"/>
              </w:rPr>
            </w:pPr>
          </w:p>
        </w:tc>
      </w:tr>
    </w:tbl>
    <w:p>
      <w:pPr>
        <w:spacing w:after="0" w:line="175" w:lineRule="exact"/>
        <w:rPr>
          <w:sz w:val="20"/>
          <w:szCs w:val="20"/>
          <w:color w:val="auto"/>
        </w:rPr>
      </w:pPr>
    </w:p>
    <w:p>
      <w:pPr>
        <w:ind w:right="220"/>
        <w:spacing w:after="0" w:line="258" w:lineRule="auto"/>
        <w:rPr>
          <w:sz w:val="20"/>
          <w:szCs w:val="20"/>
          <w:color w:val="auto"/>
        </w:rPr>
      </w:pPr>
      <w:r>
        <w:rPr>
          <w:rFonts w:ascii="Calibri" w:cs="Calibri" w:eastAsia="Calibri" w:hAnsi="Calibri"/>
          <w:sz w:val="17"/>
          <w:szCs w:val="17"/>
          <w:color w:val="auto"/>
        </w:rPr>
        <w:t>The Audit Commitee has appointed Ernst &amp; Young LLP (Ernst &amp; Young), an independent registered public accountng frm, as the independent auditors to perform an integrated audit of the Company’s consolidated fnancial statements and internal control over fnancial reportng for the year ending December 31, 2023. The Board believes obtaining stockholder ratfcaton of the appointment is a sound corporate governance practce and recommends that stockholders ratfy the appointment of Ernst &amp; Young because it contnues to perform at a high level and remains independent and objectve.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sz w:val="1"/>
          <w:szCs w:val="1"/>
          <w:color w:val="auto"/>
        </w:rPr>
        <w:drawing>
          <wp:inline distT="0" distB="0" distL="0" distR="0">
            <wp:extent cx="51435" cy="1714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171450"/>
                    </a:xfrm>
                    <a:prstGeom prst="rect">
                      <a:avLst/>
                    </a:prstGeom>
                    <a:noFill/>
                    <a:ln>
                      <a:noFill/>
                    </a:ln>
                  </pic:spPr>
                </pic:pic>
              </a:graphicData>
            </a:graphic>
          </wp:inline>
        </w:drawing>
      </w:r>
      <w:r>
        <w:rPr>
          <w:rFonts w:ascii="Arial" w:cs="Arial" w:eastAsia="Arial" w:hAnsi="Arial"/>
          <w:sz w:val="20"/>
          <w:szCs w:val="20"/>
          <w:color w:val="FFFFFF"/>
        </w:rPr>
        <w:t>PROPOSALS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40575" cy="9512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0575" cy="951230"/>
                    </a:xfrm>
                    <a:prstGeom prst="rect">
                      <a:avLst/>
                    </a:prstGeom>
                    <a:noFill/>
                  </pic:spPr>
                </pic:pic>
              </a:graphicData>
            </a:graphic>
          </wp:anchor>
        </w:drawing>
      </w: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406"/>
        </w:trPr>
        <w:tc>
          <w:tcPr>
            <w:tcW w:w="7520" w:type="dxa"/>
            <w:vAlign w:val="bottom"/>
            <w:shd w:val="clear" w:color="auto" w:fill="E6E7E8"/>
          </w:tcPr>
          <w:p>
            <w:pPr>
              <w:ind w:left="60"/>
              <w:spacing w:after="0"/>
              <w:rPr>
                <w:sz w:val="20"/>
                <w:szCs w:val="20"/>
                <w:color w:val="auto"/>
              </w:rPr>
            </w:pPr>
            <w:r>
              <w:rPr>
                <w:rFonts w:ascii="Arial" w:cs="Arial" w:eastAsia="Arial" w:hAnsi="Arial"/>
                <w:sz w:val="25"/>
                <w:szCs w:val="25"/>
                <w:color w:val="343434"/>
              </w:rPr>
              <w:t>Stockholder Proposals</w:t>
            </w:r>
          </w:p>
        </w:tc>
        <w:tc>
          <w:tcPr>
            <w:tcW w:w="920" w:type="dxa"/>
            <w:vAlign w:val="bottom"/>
          </w:tcPr>
          <w:p>
            <w:pPr>
              <w:spacing w:after="0"/>
              <w:rPr>
                <w:sz w:val="24"/>
                <w:szCs w:val="24"/>
                <w:color w:val="auto"/>
              </w:rPr>
            </w:pPr>
          </w:p>
        </w:tc>
        <w:tc>
          <w:tcPr>
            <w:tcW w:w="2720" w:type="dxa"/>
            <w:vAlign w:val="bottom"/>
            <w:shd w:val="clear" w:color="auto" w:fill="343434"/>
          </w:tcPr>
          <w:p>
            <w:pPr>
              <w:ind w:left="20"/>
              <w:spacing w:after="0"/>
              <w:rPr>
                <w:sz w:val="20"/>
                <w:szCs w:val="20"/>
                <w:color w:val="auto"/>
              </w:rPr>
            </w:pPr>
            <w:r>
              <w:rPr>
                <w:rFonts w:ascii="Arial" w:cs="Arial" w:eastAsia="Arial" w:hAnsi="Arial"/>
                <w:sz w:val="17"/>
                <w:szCs w:val="17"/>
                <w:color w:val="FFFFFF"/>
              </w:rPr>
              <w:t>The Board recommends a vote</w:t>
            </w:r>
          </w:p>
        </w:tc>
        <w:tc>
          <w:tcPr>
            <w:tcW w:w="0" w:type="dxa"/>
            <w:vAlign w:val="bottom"/>
          </w:tcPr>
          <w:p>
            <w:pPr>
              <w:spacing w:after="0"/>
              <w:rPr>
                <w:sz w:val="1"/>
                <w:szCs w:val="1"/>
                <w:color w:val="auto"/>
              </w:rPr>
            </w:pPr>
          </w:p>
        </w:tc>
      </w:tr>
      <w:tr>
        <w:trPr>
          <w:trHeight w:val="247"/>
        </w:trPr>
        <w:tc>
          <w:tcPr>
            <w:tcW w:w="7520" w:type="dxa"/>
            <w:vAlign w:val="bottom"/>
            <w:shd w:val="clear" w:color="auto" w:fill="E6E7E8"/>
          </w:tcPr>
          <w:p>
            <w:pPr>
              <w:ind w:left="60"/>
              <w:spacing w:after="0"/>
              <w:rPr>
                <w:sz w:val="20"/>
                <w:szCs w:val="20"/>
                <w:color w:val="auto"/>
              </w:rPr>
            </w:pPr>
            <w:r>
              <w:rPr>
                <w:rFonts w:ascii="Arial" w:cs="Arial" w:eastAsia="Arial" w:hAnsi="Arial"/>
                <w:sz w:val="20"/>
                <w:szCs w:val="20"/>
                <w:i w:val="1"/>
                <w:iCs w:val="1"/>
                <w:color w:val="343434"/>
              </w:rPr>
              <w:t>(in each case, if properly presented at the meeting)</w:t>
            </w:r>
          </w:p>
        </w:tc>
        <w:tc>
          <w:tcPr>
            <w:tcW w:w="920" w:type="dxa"/>
            <w:vAlign w:val="bottom"/>
          </w:tcPr>
          <w:p>
            <w:pPr>
              <w:spacing w:after="0"/>
              <w:rPr>
                <w:sz w:val="21"/>
                <w:szCs w:val="21"/>
                <w:color w:val="auto"/>
              </w:rPr>
            </w:pPr>
          </w:p>
        </w:tc>
        <w:tc>
          <w:tcPr>
            <w:tcW w:w="2720" w:type="dxa"/>
            <w:vAlign w:val="bottom"/>
            <w:shd w:val="clear" w:color="auto" w:fill="343434"/>
          </w:tcPr>
          <w:p>
            <w:pPr>
              <w:ind w:left="20"/>
              <w:spacing w:after="0" w:line="247" w:lineRule="exact"/>
              <w:rPr>
                <w:sz w:val="20"/>
                <w:szCs w:val="20"/>
                <w:color w:val="auto"/>
              </w:rPr>
            </w:pPr>
            <w:r>
              <w:rPr>
                <w:rFonts w:ascii="Arial" w:cs="Arial" w:eastAsia="Arial" w:hAnsi="Arial"/>
                <w:sz w:val="22"/>
                <w:szCs w:val="22"/>
                <w:color w:val="FFFFFF"/>
              </w:rPr>
              <w:t xml:space="preserve">AGAINST </w:t>
            </w:r>
            <w:r>
              <w:rPr>
                <w:rFonts w:ascii="Arial" w:cs="Arial" w:eastAsia="Arial" w:hAnsi="Arial"/>
                <w:sz w:val="17"/>
                <w:szCs w:val="17"/>
                <w:color w:val="FFFFFF"/>
              </w:rPr>
              <w:t>each of the</w:t>
            </w:r>
          </w:p>
        </w:tc>
        <w:tc>
          <w:tcPr>
            <w:tcW w:w="0" w:type="dxa"/>
            <w:vAlign w:val="bottom"/>
          </w:tcPr>
          <w:p>
            <w:pPr>
              <w:spacing w:after="0"/>
              <w:rPr>
                <w:sz w:val="1"/>
                <w:szCs w:val="1"/>
                <w:color w:val="auto"/>
              </w:rPr>
            </w:pPr>
          </w:p>
        </w:tc>
      </w:tr>
      <w:tr>
        <w:trPr>
          <w:trHeight w:val="225"/>
        </w:trPr>
        <w:tc>
          <w:tcPr>
            <w:tcW w:w="7520" w:type="dxa"/>
            <w:vAlign w:val="bottom"/>
            <w:vMerge w:val="restart"/>
            <w:shd w:val="clear" w:color="auto" w:fill="E6E7E8"/>
          </w:tcPr>
          <w:p>
            <w:pPr>
              <w:ind w:left="60"/>
              <w:spacing w:after="0"/>
              <w:rPr>
                <w:sz w:val="20"/>
                <w:szCs w:val="20"/>
                <w:color w:val="auto"/>
              </w:rPr>
            </w:pPr>
            <w:r>
              <w:rPr>
                <w:rFonts w:ascii="Arial" w:cs="Arial" w:eastAsia="Arial" w:hAnsi="Arial"/>
                <w:sz w:val="20"/>
                <w:szCs w:val="20"/>
                <w:color w:val="343434"/>
              </w:rPr>
              <w:t>See pages 82-90</w:t>
            </w:r>
          </w:p>
        </w:tc>
        <w:tc>
          <w:tcPr>
            <w:tcW w:w="920" w:type="dxa"/>
            <w:vAlign w:val="bottom"/>
          </w:tcPr>
          <w:p>
            <w:pPr>
              <w:spacing w:after="0"/>
              <w:rPr>
                <w:sz w:val="19"/>
                <w:szCs w:val="19"/>
                <w:color w:val="auto"/>
              </w:rPr>
            </w:pPr>
          </w:p>
        </w:tc>
        <w:tc>
          <w:tcPr>
            <w:tcW w:w="2720" w:type="dxa"/>
            <w:vAlign w:val="bottom"/>
            <w:shd w:val="clear" w:color="auto" w:fill="343434"/>
          </w:tcPr>
          <w:p>
            <w:pPr>
              <w:ind w:left="20"/>
              <w:spacing w:after="0"/>
              <w:rPr>
                <w:sz w:val="20"/>
                <w:szCs w:val="20"/>
                <w:color w:val="auto"/>
              </w:rPr>
            </w:pPr>
            <w:r>
              <w:rPr>
                <w:rFonts w:ascii="Arial" w:cs="Arial" w:eastAsia="Arial" w:hAnsi="Arial"/>
                <w:sz w:val="17"/>
                <w:szCs w:val="17"/>
                <w:color w:val="FFFFFF"/>
              </w:rPr>
              <w:t>stockholder proposals</w:t>
            </w:r>
          </w:p>
        </w:tc>
        <w:tc>
          <w:tcPr>
            <w:tcW w:w="0" w:type="dxa"/>
            <w:vAlign w:val="bottom"/>
          </w:tcPr>
          <w:p>
            <w:pPr>
              <w:spacing w:after="0"/>
              <w:rPr>
                <w:sz w:val="1"/>
                <w:szCs w:val="1"/>
                <w:color w:val="auto"/>
              </w:rPr>
            </w:pPr>
          </w:p>
        </w:tc>
      </w:tr>
      <w:tr>
        <w:trPr>
          <w:trHeight w:val="145"/>
        </w:trPr>
        <w:tc>
          <w:tcPr>
            <w:tcW w:w="7520" w:type="dxa"/>
            <w:vAlign w:val="bottom"/>
            <w:vMerge w:val="continue"/>
            <w:shd w:val="clear" w:color="auto" w:fill="E6E7E8"/>
          </w:tcPr>
          <w:p>
            <w:pPr>
              <w:spacing w:after="0"/>
              <w:rPr>
                <w:sz w:val="12"/>
                <w:szCs w:val="12"/>
                <w:color w:val="auto"/>
              </w:rPr>
            </w:pPr>
          </w:p>
        </w:tc>
        <w:tc>
          <w:tcPr>
            <w:tcW w:w="920" w:type="dxa"/>
            <w:vAlign w:val="bottom"/>
          </w:tcPr>
          <w:p>
            <w:pPr>
              <w:spacing w:after="0"/>
              <w:rPr>
                <w:sz w:val="12"/>
                <w:szCs w:val="12"/>
                <w:color w:val="auto"/>
              </w:rPr>
            </w:pPr>
          </w:p>
        </w:tc>
        <w:tc>
          <w:tcPr>
            <w:tcW w:w="2720" w:type="dxa"/>
            <w:vAlign w:val="bottom"/>
            <w:shd w:val="clear" w:color="auto" w:fill="343434"/>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7520" w:type="dxa"/>
            <w:vAlign w:val="bottom"/>
            <w:shd w:val="clear" w:color="auto" w:fill="E6E7E8"/>
          </w:tcPr>
          <w:p>
            <w:pPr>
              <w:spacing w:after="0"/>
              <w:rPr>
                <w:sz w:val="8"/>
                <w:szCs w:val="8"/>
                <w:color w:val="auto"/>
              </w:rPr>
            </w:pPr>
          </w:p>
        </w:tc>
        <w:tc>
          <w:tcPr>
            <w:tcW w:w="920" w:type="dxa"/>
            <w:vAlign w:val="bottom"/>
          </w:tcPr>
          <w:p>
            <w:pPr>
              <w:spacing w:after="0"/>
              <w:rPr>
                <w:sz w:val="8"/>
                <w:szCs w:val="8"/>
                <w:color w:val="auto"/>
              </w:rPr>
            </w:pPr>
          </w:p>
        </w:tc>
        <w:tc>
          <w:tcPr>
            <w:tcW w:w="2720" w:type="dxa"/>
            <w:vAlign w:val="bottom"/>
            <w:shd w:val="clear" w:color="auto" w:fill="343434"/>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7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720" w:type="dxa"/>
            <w:vAlign w:val="bottom"/>
            <w:shd w:val="clear" w:color="auto" w:fill="343434"/>
          </w:tcPr>
          <w:p>
            <w:pPr>
              <w:spacing w:after="0"/>
              <w:rPr>
                <w:sz w:val="5"/>
                <w:szCs w:val="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spacing w:after="0" w:line="261" w:lineRule="auto"/>
        <w:rPr>
          <w:sz w:val="20"/>
          <w:szCs w:val="20"/>
          <w:color w:val="auto"/>
        </w:rPr>
      </w:pPr>
      <w:r>
        <w:rPr>
          <w:rFonts w:ascii="Calibri" w:cs="Calibri" w:eastAsia="Calibri" w:hAnsi="Calibri"/>
          <w:sz w:val="17"/>
          <w:szCs w:val="17"/>
          <w:color w:val="auto"/>
        </w:rPr>
        <w:t>Each stockholder proposal in this Proxy Statement is followed by the response of the Board. For reasons set forth in the responses, the Board believes each stockholder proposal is not in the best interest of the stockholders and recommends a vote AGAINST each proposal, if properly presented at the meetng.</w:t>
      </w:r>
    </w:p>
    <w:p>
      <w:pPr>
        <w:spacing w:after="0" w:line="200" w:lineRule="exact"/>
        <w:rPr>
          <w:sz w:val="20"/>
          <w:szCs w:val="20"/>
          <w:color w:val="auto"/>
        </w:rPr>
      </w:pPr>
    </w:p>
    <w:p>
      <w:pPr>
        <w:spacing w:after="0" w:line="393" w:lineRule="exact"/>
        <w:rPr>
          <w:sz w:val="20"/>
          <w:szCs w:val="20"/>
          <w:color w:val="auto"/>
        </w:rPr>
      </w:pPr>
    </w:p>
    <w:p>
      <w:pPr>
        <w:ind w:left="20"/>
        <w:spacing w:after="0"/>
        <w:tabs>
          <w:tab w:leader="none" w:pos="9340" w:val="left"/>
          <w:tab w:leader="none" w:pos="1112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3"/>
          <w:szCs w:val="43"/>
          <w:color w:val="003478"/>
        </w:rPr>
        <w:t>Proposal 1</w:t>
      </w:r>
    </w:p>
    <w:p>
      <w:pPr>
        <w:spacing w:after="0" w:line="63" w:lineRule="exact"/>
        <w:rPr>
          <w:sz w:val="20"/>
          <w:szCs w:val="20"/>
          <w:color w:val="auto"/>
        </w:rPr>
      </w:pPr>
    </w:p>
    <w:p>
      <w:pPr>
        <w:spacing w:after="0"/>
        <w:rPr>
          <w:sz w:val="20"/>
          <w:szCs w:val="20"/>
          <w:color w:val="auto"/>
        </w:rPr>
      </w:pPr>
      <w:r>
        <w:rPr>
          <w:sz w:val="1"/>
          <w:szCs w:val="1"/>
          <w:color w:val="auto"/>
        </w:rPr>
        <w:drawing>
          <wp:inline distT="0" distB="0" distL="0" distR="0">
            <wp:extent cx="51435" cy="42862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428625"/>
                    </a:xfrm>
                    <a:prstGeom prst="rect">
                      <a:avLst/>
                    </a:prstGeom>
                    <a:noFill/>
                    <a:ln>
                      <a:noFill/>
                    </a:ln>
                  </pic:spPr>
                </pic:pic>
              </a:graphicData>
            </a:graphic>
          </wp:inline>
        </w:drawing>
      </w:r>
      <w:r>
        <w:rPr>
          <w:rFonts w:ascii="Arial" w:cs="Arial" w:eastAsia="Arial" w:hAnsi="Arial"/>
          <w:sz w:val="24"/>
          <w:szCs w:val="24"/>
          <w:b w:val="1"/>
          <w:bCs w:val="1"/>
          <w:color w:val="003478"/>
        </w:rPr>
        <w:t xml:space="preserve">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60"/>
        <w:spacing w:after="0" w:line="297" w:lineRule="auto"/>
        <w:rPr>
          <w:sz w:val="20"/>
          <w:szCs w:val="20"/>
          <w:color w:val="auto"/>
        </w:rPr>
      </w:pPr>
      <w:r>
        <w:rPr>
          <w:rFonts w:ascii="Arial" w:cs="Arial" w:eastAsia="Arial" w:hAnsi="Arial"/>
          <w:sz w:val="17"/>
          <w:szCs w:val="17"/>
          <w:color w:val="FFFFFF"/>
        </w:rPr>
        <w:t xml:space="preserve">The Board recommends a vote </w:t>
      </w:r>
      <w:r>
        <w:rPr>
          <w:rFonts w:ascii="Arial" w:cs="Arial" w:eastAsia="Arial" w:hAnsi="Arial"/>
          <w:sz w:val="21"/>
          <w:szCs w:val="21"/>
          <w:color w:val="FFFFFF"/>
        </w:rPr>
        <w:t xml:space="preserve">FOR </w:t>
      </w:r>
      <w:r>
        <w:rPr>
          <w:rFonts w:ascii="Arial" w:cs="Arial" w:eastAsia="Arial" w:hAnsi="Arial"/>
          <w:sz w:val="17"/>
          <w:szCs w:val="17"/>
          <w:color w:val="FFFFFF"/>
        </w:rPr>
        <w:t>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-5417185</wp:posOffset>
            </wp:positionH>
            <wp:positionV relativeFrom="paragraph">
              <wp:posOffset>-388620</wp:posOffset>
            </wp:positionV>
            <wp:extent cx="7140575" cy="4286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428625"/>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7820" w:space="720"/>
            <w:col w:w="2700"/>
          </w:cols>
          <w:pgMar w:left="320" w:top="230" w:right="339" w:bottom="1440" w:gutter="0" w:footer="0" w:header="0"/>
        </w:sectPr>
      </w:pPr>
    </w:p>
    <w:p>
      <w:pPr>
        <w:jc w:val="both"/>
        <w:ind w:right="40"/>
        <w:spacing w:after="0" w:line="229" w:lineRule="auto"/>
        <w:rPr>
          <w:sz w:val="20"/>
          <w:szCs w:val="20"/>
          <w:color w:val="auto"/>
        </w:rPr>
      </w:pPr>
      <w:r>
        <w:rPr>
          <w:rFonts w:ascii="Calibri" w:cs="Calibri" w:eastAsia="Calibri" w:hAnsi="Calibri"/>
          <w:sz w:val="17"/>
          <w:szCs w:val="17"/>
          <w:color w:val="auto"/>
        </w:rPr>
        <w:t>The Board, upon the recommendaton of the Nominatng and Corporate Governance Commitee, has nominated the following 13 directors for electon to the Board for a one-year term. If elected, each director will hold ofce untl the 2024 Annual Meetng and untl their successor is elected and qualifed. Please see the following pages for additonal informaton on the director nominees.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0" w:type="dxa"/>
            <w:vAlign w:val="bottom"/>
            <w:shd w:val="clear" w:color="auto" w:fill="818DB4"/>
          </w:tcPr>
          <w:p>
            <w:pPr>
              <w:spacing w:after="0"/>
              <w:rPr>
                <w:sz w:val="17"/>
                <w:szCs w:val="17"/>
                <w:color w:val="auto"/>
              </w:rPr>
            </w:pPr>
          </w:p>
        </w:tc>
        <w:tc>
          <w:tcPr>
            <w:tcW w:w="4360" w:type="dxa"/>
            <w:vAlign w:val="bottom"/>
            <w:gridSpan w:val="4"/>
            <w:shd w:val="clear" w:color="auto" w:fill="818DB4"/>
          </w:tcPr>
          <w:p>
            <w:pPr>
              <w:ind w:left="980"/>
              <w:spacing w:after="0"/>
              <w:rPr>
                <w:sz w:val="20"/>
                <w:szCs w:val="20"/>
                <w:color w:val="auto"/>
              </w:rPr>
            </w:pPr>
            <w:r>
              <w:rPr>
                <w:rFonts w:ascii="Calibri" w:cs="Calibri" w:eastAsia="Calibri" w:hAnsi="Calibri"/>
                <w:sz w:val="14"/>
                <w:szCs w:val="14"/>
                <w:b w:val="1"/>
                <w:bCs w:val="1"/>
                <w:color w:val="FFFFFF"/>
              </w:rPr>
              <w:t>BOARD LEADERSHIP</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Borders>
              <w:bottom w:val="single" w:sz="8" w:color="003478"/>
              <w:right w:val="single" w:sz="8" w:color="959595"/>
            </w:tcBorders>
            <w:gridSpan w:val="2"/>
            <w:shd w:val="clear" w:color="auto" w:fill="003478"/>
          </w:tcPr>
          <w:p>
            <w:pPr>
              <w:ind w:left="1020"/>
              <w:spacing w:after="0"/>
              <w:rPr>
                <w:sz w:val="20"/>
                <w:szCs w:val="20"/>
                <w:color w:val="auto"/>
              </w:rPr>
            </w:pPr>
            <w:r>
              <w:rPr>
                <w:rFonts w:ascii="Calibri" w:cs="Calibri" w:eastAsia="Calibri" w:hAnsi="Calibri"/>
                <w:sz w:val="14"/>
                <w:szCs w:val="14"/>
                <w:b w:val="1"/>
                <w:bCs w:val="1"/>
                <w:color w:val="FFFFFF"/>
              </w:rPr>
              <w:t>CHAIRMAN</w:t>
            </w:r>
          </w:p>
        </w:tc>
        <w:tc>
          <w:tcPr>
            <w:tcW w:w="80" w:type="dxa"/>
            <w:vAlign w:val="bottom"/>
            <w:tcBorders>
              <w:bottom w:val="single" w:sz="8" w:color="959595"/>
            </w:tcBorders>
            <w:shd w:val="clear" w:color="auto" w:fill="959595"/>
          </w:tcPr>
          <w:p>
            <w:pPr>
              <w:spacing w:after="0"/>
              <w:rPr>
                <w:sz w:val="18"/>
                <w:szCs w:val="18"/>
                <w:color w:val="auto"/>
              </w:rPr>
            </w:pPr>
          </w:p>
        </w:tc>
        <w:tc>
          <w:tcPr>
            <w:tcW w:w="2740" w:type="dxa"/>
            <w:vAlign w:val="bottom"/>
            <w:tcBorders>
              <w:bottom w:val="single" w:sz="8" w:color="959595"/>
            </w:tcBorders>
            <w:gridSpan w:val="2"/>
            <w:shd w:val="clear" w:color="auto" w:fill="959595"/>
          </w:tcPr>
          <w:p>
            <w:pPr>
              <w:jc w:val="right"/>
              <w:ind w:right="388"/>
              <w:spacing w:after="0"/>
              <w:rPr>
                <w:sz w:val="20"/>
                <w:szCs w:val="20"/>
                <w:color w:val="auto"/>
              </w:rPr>
            </w:pPr>
            <w:r>
              <w:rPr>
                <w:rFonts w:ascii="Calibri" w:cs="Calibri" w:eastAsia="Calibri" w:hAnsi="Calibri"/>
                <w:sz w:val="14"/>
                <w:szCs w:val="14"/>
                <w:b w:val="1"/>
                <w:bCs w:val="1"/>
                <w:color w:val="FFFFFF"/>
              </w:rPr>
              <w:t>INDEPENDENT LEAD DIRECTOR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200" w:type="dxa"/>
            <w:vAlign w:val="bottom"/>
          </w:tcPr>
          <w:p>
            <w:pPr>
              <w:spacing w:after="0"/>
              <w:rPr>
                <w:sz w:val="24"/>
                <w:szCs w:val="24"/>
                <w:color w:val="auto"/>
              </w:rPr>
            </w:pP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James D.</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003478"/>
              </w:rPr>
              <w:t>Daniel F.</w:t>
            </w:r>
          </w:p>
        </w:tc>
        <w:tc>
          <w:tcPr>
            <w:tcW w:w="100" w:type="dxa"/>
            <w:vAlign w:val="bottom"/>
            <w:tcBorders>
              <w:top w:val="single" w:sz="8" w:color="auto"/>
              <w:left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003478"/>
              </w:rPr>
              <w:t>David B.</w:t>
            </w:r>
          </w:p>
        </w:tc>
        <w:tc>
          <w:tcPr>
            <w:tcW w:w="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003478"/>
              </w:rPr>
              <w:t>Bruce A.</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Taiclet</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003478"/>
              </w:rPr>
              <w:t>Akerson</w:t>
            </w:r>
          </w:p>
        </w:tc>
        <w:tc>
          <w:tcPr>
            <w:tcW w:w="10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003478"/>
              </w:rPr>
              <w:t>Burritt</w:t>
            </w: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003478"/>
              </w:rPr>
              <w:t>Carlson</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62</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74</w:t>
            </w:r>
          </w:p>
        </w:tc>
        <w:tc>
          <w:tcPr>
            <w:tcW w:w="100" w:type="dxa"/>
            <w:vAlign w:val="bottom"/>
            <w:tcBorders>
              <w:lef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67</w:t>
            </w: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ind w:left="10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73</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5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003478"/>
              </w:rPr>
              <w:t>Director</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003478"/>
              </w:rPr>
              <w:t>Director</w:t>
            </w:r>
          </w:p>
        </w:tc>
        <w:tc>
          <w:tcPr>
            <w:tcW w:w="100" w:type="dxa"/>
            <w:vAlign w:val="bottom"/>
            <w:tcBorders>
              <w:lef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003478"/>
              </w:rPr>
              <w:t>Director</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Pr>
          <w:p>
            <w:pPr>
              <w:ind w:left="100"/>
              <w:spacing w:after="0" w:line="149" w:lineRule="exact"/>
              <w:rPr>
                <w:sz w:val="20"/>
                <w:szCs w:val="20"/>
                <w:color w:val="auto"/>
              </w:rPr>
            </w:pPr>
            <w:r>
              <w:rPr>
                <w:rFonts w:ascii="Arial" w:cs="Arial" w:eastAsia="Arial" w:hAnsi="Arial"/>
                <w:sz w:val="14"/>
                <w:szCs w:val="14"/>
                <w:b w:val="1"/>
                <w:bCs w:val="1"/>
                <w:color w:val="003478"/>
              </w:rPr>
              <w:t>Director</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2018</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2014</w:t>
            </w:r>
          </w:p>
        </w:tc>
        <w:tc>
          <w:tcPr>
            <w:tcW w:w="10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2008</w:t>
            </w: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tcPr>
          <w:p>
            <w:pPr>
              <w:ind w:left="10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2015</w:t>
            </w: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939598"/>
            </w:tcBorders>
            <w:shd w:val="clear" w:color="auto" w:fill="939598"/>
          </w:tcPr>
          <w:p>
            <w:pPr>
              <w:ind w:left="240"/>
              <w:spacing w:after="0"/>
              <w:rPr>
                <w:sz w:val="20"/>
                <w:szCs w:val="20"/>
                <w:color w:val="auto"/>
              </w:rPr>
            </w:pPr>
            <w:r>
              <w:rPr>
                <w:rFonts w:ascii="Calibri" w:cs="Calibri" w:eastAsia="Calibri" w:hAnsi="Calibri"/>
                <w:sz w:val="13"/>
                <w:szCs w:val="13"/>
                <w:b w:val="1"/>
                <w:bCs w:val="1"/>
                <w:color w:val="FFFFFF"/>
              </w:rPr>
              <w:t>Independent</w:t>
            </w:r>
          </w:p>
        </w:tc>
        <w:tc>
          <w:tcPr>
            <w:tcW w:w="152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200" w:type="dxa"/>
            <w:vAlign w:val="bottom"/>
            <w:tcBorders>
              <w:bottom w:val="single" w:sz="8" w:color="939598"/>
            </w:tcBorders>
            <w:shd w:val="clear" w:color="auto" w:fill="939598"/>
          </w:tcPr>
          <w:p>
            <w:pPr>
              <w:ind w:left="240"/>
              <w:spacing w:after="0"/>
              <w:rPr>
                <w:sz w:val="20"/>
                <w:szCs w:val="20"/>
                <w:color w:val="auto"/>
              </w:rPr>
            </w:pPr>
            <w:r>
              <w:rPr>
                <w:rFonts w:ascii="Calibri" w:cs="Calibri" w:eastAsia="Calibri" w:hAnsi="Calibri"/>
                <w:sz w:val="13"/>
                <w:szCs w:val="13"/>
                <w:b w:val="1"/>
                <w:bCs w:val="1"/>
                <w:color w:val="FFFFFF"/>
              </w:rPr>
              <w:t>Independent</w:t>
            </w:r>
          </w:p>
        </w:tc>
        <w:tc>
          <w:tcPr>
            <w:tcW w:w="15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Borders>
              <w:bottom w:val="single" w:sz="8" w:color="939598"/>
            </w:tcBorders>
            <w:shd w:val="clear" w:color="auto" w:fill="939598"/>
          </w:tcPr>
          <w:p>
            <w:pPr>
              <w:ind w:left="260"/>
              <w:spacing w:after="0"/>
              <w:rPr>
                <w:sz w:val="20"/>
                <w:szCs w:val="20"/>
                <w:color w:val="auto"/>
              </w:rPr>
            </w:pPr>
            <w:r>
              <w:rPr>
                <w:rFonts w:ascii="Calibri" w:cs="Calibri" w:eastAsia="Calibri" w:hAnsi="Calibri"/>
                <w:sz w:val="13"/>
                <w:szCs w:val="13"/>
                <w:b w:val="1"/>
                <w:bCs w:val="1"/>
                <w:color w:val="FFFFFF"/>
              </w:rPr>
              <w:t>Independent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40" w:type="dxa"/>
            <w:vAlign w:val="bottom"/>
            <w:tcBorders>
              <w:right w:val="single" w:sz="8" w:color="auto"/>
            </w:tcBorders>
            <w:gridSpan w:val="2"/>
          </w:tcPr>
          <w:p>
            <w:pPr>
              <w:ind w:left="20"/>
              <w:spacing w:after="0" w:line="148" w:lineRule="exact"/>
              <w:rPr>
                <w:sz w:val="20"/>
                <w:szCs w:val="20"/>
                <w:color w:val="auto"/>
              </w:rPr>
            </w:pPr>
            <w:r>
              <w:rPr>
                <w:rFonts w:ascii="Calibri" w:cs="Calibri" w:eastAsia="Calibri" w:hAnsi="Calibri"/>
                <w:sz w:val="14"/>
                <w:szCs w:val="14"/>
                <w:color w:val="auto"/>
              </w:rPr>
              <w:t>Chairman, President &amp; CEO,</w:t>
            </w:r>
          </w:p>
        </w:tc>
        <w:tc>
          <w:tcPr>
            <w:tcW w:w="80" w:type="dxa"/>
            <w:vAlign w:val="bottom"/>
          </w:tcPr>
          <w:p>
            <w:pPr>
              <w:spacing w:after="0"/>
              <w:rPr>
                <w:sz w:val="12"/>
                <w:szCs w:val="12"/>
                <w:color w:val="auto"/>
              </w:rPr>
            </w:pPr>
          </w:p>
        </w:tc>
        <w:tc>
          <w:tcPr>
            <w:tcW w:w="1220" w:type="dxa"/>
            <w:vAlign w:val="bottom"/>
          </w:tcPr>
          <w:p>
            <w:pPr>
              <w:ind w:left="20"/>
              <w:spacing w:after="0" w:line="148" w:lineRule="exact"/>
              <w:rPr>
                <w:sz w:val="20"/>
                <w:szCs w:val="20"/>
                <w:color w:val="auto"/>
              </w:rPr>
            </w:pPr>
            <w:r>
              <w:rPr>
                <w:rFonts w:ascii="Calibri" w:cs="Calibri" w:eastAsia="Calibri" w:hAnsi="Calibri"/>
                <w:sz w:val="14"/>
                <w:szCs w:val="14"/>
                <w:color w:val="auto"/>
              </w:rPr>
              <w:t>Retred Chairman &amp;</w:t>
            </w:r>
          </w:p>
        </w:tc>
        <w:tc>
          <w:tcPr>
            <w:tcW w:w="1520" w:type="dxa"/>
            <w:vAlign w:val="bottom"/>
          </w:tcPr>
          <w:p>
            <w:pPr>
              <w:spacing w:after="0" w:line="148" w:lineRule="exact"/>
              <w:rPr>
                <w:sz w:val="20"/>
                <w:szCs w:val="20"/>
                <w:color w:val="auto"/>
              </w:rPr>
            </w:pPr>
            <w:r>
              <w:rPr>
                <w:rFonts w:ascii="Calibri" w:cs="Calibri" w:eastAsia="Calibri" w:hAnsi="Calibri"/>
                <w:sz w:val="14"/>
                <w:szCs w:val="14"/>
                <w:color w:val="auto"/>
              </w:rPr>
              <w:t>CEO, General</w:t>
            </w:r>
          </w:p>
        </w:tc>
        <w:tc>
          <w:tcPr>
            <w:tcW w:w="100" w:type="dxa"/>
            <w:vAlign w:val="bottom"/>
            <w:tcBorders>
              <w:left w:val="single" w:sz="8" w:color="auto"/>
            </w:tcBorders>
          </w:tcPr>
          <w:p>
            <w:pPr>
              <w:spacing w:after="0"/>
              <w:rPr>
                <w:sz w:val="12"/>
                <w:szCs w:val="12"/>
                <w:color w:val="auto"/>
              </w:rPr>
            </w:pPr>
          </w:p>
        </w:tc>
        <w:tc>
          <w:tcPr>
            <w:tcW w:w="2760" w:type="dxa"/>
            <w:vAlign w:val="bottom"/>
            <w:tcBorders>
              <w:right w:val="single" w:sz="8" w:color="auto"/>
            </w:tcBorders>
            <w:gridSpan w:val="2"/>
          </w:tcPr>
          <w:p>
            <w:pPr>
              <w:spacing w:after="0" w:line="148" w:lineRule="exact"/>
              <w:rPr>
                <w:sz w:val="20"/>
                <w:szCs w:val="20"/>
                <w:color w:val="auto"/>
              </w:rPr>
            </w:pPr>
            <w:r>
              <w:rPr>
                <w:rFonts w:ascii="Calibri" w:cs="Calibri" w:eastAsia="Calibri" w:hAnsi="Calibri"/>
                <w:sz w:val="14"/>
                <w:szCs w:val="14"/>
                <w:color w:val="auto"/>
              </w:rPr>
              <w:t>President &amp; CEO, United States</w:t>
            </w:r>
          </w:p>
        </w:tc>
        <w:tc>
          <w:tcPr>
            <w:tcW w:w="60" w:type="dxa"/>
            <w:vAlign w:val="bottom"/>
          </w:tcPr>
          <w:p>
            <w:pPr>
              <w:spacing w:after="0"/>
              <w:rPr>
                <w:sz w:val="12"/>
                <w:szCs w:val="12"/>
                <w:color w:val="auto"/>
              </w:rPr>
            </w:pPr>
          </w:p>
        </w:tc>
        <w:tc>
          <w:tcPr>
            <w:tcW w:w="1220" w:type="dxa"/>
            <w:vAlign w:val="bottom"/>
          </w:tcPr>
          <w:p>
            <w:pPr>
              <w:ind w:left="20"/>
              <w:spacing w:after="0" w:line="148" w:lineRule="exact"/>
              <w:rPr>
                <w:sz w:val="20"/>
                <w:szCs w:val="20"/>
                <w:color w:val="auto"/>
              </w:rPr>
            </w:pPr>
            <w:r>
              <w:rPr>
                <w:rFonts w:ascii="Calibri" w:cs="Calibri" w:eastAsia="Calibri" w:hAnsi="Calibri"/>
                <w:sz w:val="14"/>
                <w:szCs w:val="14"/>
                <w:color w:val="auto"/>
                <w:w w:val="99"/>
              </w:rPr>
              <w:t>Retred United States</w:t>
            </w:r>
          </w:p>
        </w:tc>
        <w:tc>
          <w:tcPr>
            <w:tcW w:w="1540" w:type="dxa"/>
            <w:vAlign w:val="bottom"/>
          </w:tcPr>
          <w:p>
            <w:pPr>
              <w:ind w:left="80"/>
              <w:spacing w:after="0" w:line="148" w:lineRule="exact"/>
              <w:rPr>
                <w:sz w:val="20"/>
                <w:szCs w:val="20"/>
                <w:color w:val="auto"/>
              </w:rPr>
            </w:pPr>
            <w:r>
              <w:rPr>
                <w:rFonts w:ascii="Calibri" w:cs="Calibri" w:eastAsia="Calibri" w:hAnsi="Calibri"/>
                <w:sz w:val="14"/>
                <w:szCs w:val="14"/>
                <w:color w:val="auto"/>
              </w:rPr>
              <w:t>Air</w:t>
            </w:r>
          </w:p>
        </w:tc>
        <w:tc>
          <w:tcPr>
            <w:tcW w:w="0" w:type="dxa"/>
            <w:vAlign w:val="bottom"/>
          </w:tcPr>
          <w:p>
            <w:pPr>
              <w:spacing w:after="0"/>
              <w:rPr>
                <w:sz w:val="1"/>
                <w:szCs w:val="1"/>
                <w:color w:val="auto"/>
              </w:rPr>
            </w:pPr>
          </w:p>
        </w:tc>
      </w:tr>
      <w:tr>
        <w:trPr>
          <w:trHeight w:val="170"/>
        </w:trPr>
        <w:tc>
          <w:tcPr>
            <w:tcW w:w="274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14"/>
                <w:szCs w:val="14"/>
                <w:color w:val="auto"/>
              </w:rPr>
              <w:t>Lockheed Martn Corporaton</w:t>
            </w:r>
          </w:p>
        </w:tc>
        <w:tc>
          <w:tcPr>
            <w:tcW w:w="80" w:type="dxa"/>
            <w:vAlign w:val="bottom"/>
          </w:tcPr>
          <w:p>
            <w:pPr>
              <w:spacing w:after="0"/>
              <w:rPr>
                <w:sz w:val="14"/>
                <w:szCs w:val="14"/>
                <w:color w:val="auto"/>
              </w:rPr>
            </w:pPr>
          </w:p>
        </w:tc>
        <w:tc>
          <w:tcPr>
            <w:tcW w:w="2740" w:type="dxa"/>
            <w:vAlign w:val="bottom"/>
            <w:gridSpan w:val="2"/>
          </w:tcPr>
          <w:p>
            <w:pPr>
              <w:ind w:left="20"/>
              <w:spacing w:after="0"/>
              <w:rPr>
                <w:sz w:val="20"/>
                <w:szCs w:val="20"/>
                <w:color w:val="auto"/>
              </w:rPr>
            </w:pPr>
            <w:r>
              <w:rPr>
                <w:rFonts w:ascii="Calibri" w:cs="Calibri" w:eastAsia="Calibri" w:hAnsi="Calibri"/>
                <w:sz w:val="14"/>
                <w:szCs w:val="14"/>
                <w:color w:val="auto"/>
              </w:rPr>
              <w:t>Motors Company</w:t>
            </w:r>
          </w:p>
        </w:tc>
        <w:tc>
          <w:tcPr>
            <w:tcW w:w="100" w:type="dxa"/>
            <w:vAlign w:val="bottom"/>
            <w:tcBorders>
              <w:left w:val="single" w:sz="8" w:color="auto"/>
            </w:tcBorders>
          </w:tcPr>
          <w:p>
            <w:pPr>
              <w:spacing w:after="0"/>
              <w:rPr>
                <w:sz w:val="14"/>
                <w:szCs w:val="14"/>
                <w:color w:val="auto"/>
              </w:rPr>
            </w:pPr>
          </w:p>
        </w:tc>
        <w:tc>
          <w:tcPr>
            <w:tcW w:w="2760" w:type="dxa"/>
            <w:vAlign w:val="bottom"/>
            <w:tcBorders>
              <w:right w:val="single" w:sz="8" w:color="auto"/>
            </w:tcBorders>
            <w:gridSpan w:val="2"/>
          </w:tcPr>
          <w:p>
            <w:pPr>
              <w:spacing w:after="0"/>
              <w:rPr>
                <w:sz w:val="20"/>
                <w:szCs w:val="20"/>
                <w:color w:val="auto"/>
              </w:rPr>
            </w:pPr>
            <w:r>
              <w:rPr>
                <w:rFonts w:ascii="Calibri" w:cs="Calibri" w:eastAsia="Calibri" w:hAnsi="Calibri"/>
                <w:sz w:val="14"/>
                <w:szCs w:val="14"/>
                <w:color w:val="auto"/>
              </w:rPr>
              <w:t>Steel Corporaton (U.S. Steel)</w:t>
            </w:r>
          </w:p>
        </w:tc>
        <w:tc>
          <w:tcPr>
            <w:tcW w:w="60" w:type="dxa"/>
            <w:vAlign w:val="bottom"/>
          </w:tcPr>
          <w:p>
            <w:pPr>
              <w:spacing w:after="0"/>
              <w:rPr>
                <w:sz w:val="14"/>
                <w:szCs w:val="14"/>
                <w:color w:val="auto"/>
              </w:rPr>
            </w:pPr>
          </w:p>
        </w:tc>
        <w:tc>
          <w:tcPr>
            <w:tcW w:w="2760" w:type="dxa"/>
            <w:vAlign w:val="bottom"/>
            <w:gridSpan w:val="2"/>
          </w:tcPr>
          <w:p>
            <w:pPr>
              <w:ind w:left="20"/>
              <w:spacing w:after="0"/>
              <w:rPr>
                <w:sz w:val="20"/>
                <w:szCs w:val="20"/>
                <w:color w:val="auto"/>
              </w:rPr>
            </w:pPr>
            <w:r>
              <w:rPr>
                <w:rFonts w:ascii="Calibri" w:cs="Calibri" w:eastAsia="Calibri" w:hAnsi="Calibri"/>
                <w:sz w:val="14"/>
                <w:szCs w:val="14"/>
                <w:color w:val="auto"/>
              </w:rPr>
              <w:t>Force General</w:t>
            </w:r>
          </w:p>
        </w:tc>
        <w:tc>
          <w:tcPr>
            <w:tcW w:w="0" w:type="dxa"/>
            <w:vAlign w:val="bottom"/>
          </w:tcPr>
          <w:p>
            <w:pPr>
              <w:spacing w:after="0"/>
              <w:rPr>
                <w:sz w:val="1"/>
                <w:szCs w:val="1"/>
                <w:color w:val="auto"/>
              </w:rPr>
            </w:pPr>
          </w:p>
        </w:tc>
      </w:tr>
      <w:tr>
        <w:trPr>
          <w:trHeight w:val="213"/>
        </w:trPr>
        <w:tc>
          <w:tcPr>
            <w:tcW w:w="27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color w:val="000000"/>
              </w:rPr>
              <w:t>None</w:t>
            </w:r>
          </w:p>
        </w:tc>
        <w:tc>
          <w:tcPr>
            <w:tcW w:w="8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b w:val="1"/>
                <w:bCs w:val="1"/>
                <w:color w:val="003478"/>
              </w:rPr>
              <w:t>N*</w:t>
            </w:r>
          </w:p>
        </w:tc>
        <w:tc>
          <w:tcPr>
            <w:tcW w:w="100" w:type="dxa"/>
            <w:vAlign w:val="bottom"/>
            <w:tcBorders>
              <w:left w:val="single" w:sz="8" w:color="auto"/>
            </w:tcBorders>
          </w:tcPr>
          <w:p>
            <w:pPr>
              <w:spacing w:after="0"/>
              <w:rPr>
                <w:sz w:val="18"/>
                <w:szCs w:val="18"/>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b w:val="1"/>
                <w:bCs w:val="1"/>
                <w:color w:val="003478"/>
              </w:rPr>
              <w:t>A, N</w:t>
            </w:r>
          </w:p>
        </w:tc>
        <w:tc>
          <w:tcPr>
            <w:tcW w:w="60" w:type="dxa"/>
            <w:vAlign w:val="bottom"/>
          </w:tcPr>
          <w:p>
            <w:pPr>
              <w:spacing w:after="0"/>
              <w:rPr>
                <w:sz w:val="18"/>
                <w:szCs w:val="18"/>
                <w:color w:val="auto"/>
              </w:rPr>
            </w:pPr>
          </w:p>
        </w:tc>
        <w:tc>
          <w:tcPr>
            <w:tcW w:w="2760" w:type="dxa"/>
            <w:vAlign w:val="bottom"/>
            <w:gridSpan w:val="2"/>
          </w:tcPr>
          <w:p>
            <w:pPr>
              <w:ind w:left="20"/>
              <w:spacing w:after="0"/>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b w:val="1"/>
                <w:bCs w:val="1"/>
                <w:color w:val="003478"/>
              </w:rPr>
              <w:t>C, N</w:t>
            </w:r>
          </w:p>
        </w:tc>
        <w:tc>
          <w:tcPr>
            <w:tcW w:w="0" w:type="dxa"/>
            <w:vAlign w:val="bottom"/>
          </w:tcPr>
          <w:p>
            <w:pPr>
              <w:spacing w:after="0"/>
              <w:rPr>
                <w:sz w:val="1"/>
                <w:szCs w:val="1"/>
                <w:color w:val="auto"/>
              </w:rPr>
            </w:pPr>
          </w:p>
        </w:tc>
      </w:tr>
      <w:tr>
        <w:trPr>
          <w:trHeight w:val="205"/>
        </w:trPr>
        <w:tc>
          <w:tcPr>
            <w:tcW w:w="27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None</w:t>
            </w:r>
          </w:p>
        </w:tc>
        <w:tc>
          <w:tcPr>
            <w:tcW w:w="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NOVONIX Limited</w:t>
            </w:r>
          </w:p>
        </w:tc>
        <w:tc>
          <w:tcPr>
            <w:tcW w:w="100" w:type="dxa"/>
            <w:vAlign w:val="bottom"/>
            <w:tcBorders>
              <w:left w:val="single" w:sz="8" w:color="auto"/>
              <w:bottom w:val="single" w:sz="8" w:color="auto"/>
            </w:tcBorders>
          </w:tcPr>
          <w:p>
            <w:pPr>
              <w:spacing w:after="0"/>
              <w:rPr>
                <w:sz w:val="17"/>
                <w:szCs w:val="17"/>
                <w:color w:val="auto"/>
              </w:rPr>
            </w:pPr>
          </w:p>
        </w:tc>
        <w:tc>
          <w:tcPr>
            <w:tcW w:w="27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U.S. Steel (Executve)</w:t>
            </w:r>
          </w:p>
        </w:tc>
        <w:tc>
          <w:tcPr>
            <w:tcW w:w="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None</w:t>
            </w:r>
          </w:p>
        </w:tc>
        <w:tc>
          <w:tcPr>
            <w:tcW w:w="0" w:type="dxa"/>
            <w:vAlign w:val="bottom"/>
          </w:tcPr>
          <w:p>
            <w:pPr>
              <w:spacing w:after="0"/>
              <w:rPr>
                <w:sz w:val="1"/>
                <w:szCs w:val="1"/>
                <w:color w:val="auto"/>
              </w:rPr>
            </w:pPr>
          </w:p>
        </w:tc>
      </w:tr>
      <w:tr>
        <w:trPr>
          <w:trHeight w:val="338"/>
        </w:trPr>
        <w:tc>
          <w:tcPr>
            <w:tcW w:w="1200" w:type="dxa"/>
            <w:vAlign w:val="bottom"/>
          </w:tcPr>
          <w:p>
            <w:pPr>
              <w:spacing w:after="0"/>
              <w:rPr>
                <w:sz w:val="24"/>
                <w:szCs w:val="24"/>
                <w:color w:val="auto"/>
              </w:rPr>
            </w:pP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John M.</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003478"/>
              </w:rPr>
              <w:t>Joseph F.</w:t>
            </w:r>
          </w:p>
        </w:tc>
        <w:tc>
          <w:tcPr>
            <w:tcW w:w="10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003478"/>
              </w:rPr>
              <w:t>James O.</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Arial" w:cs="Arial" w:eastAsia="Arial" w:hAnsi="Arial"/>
                <w:sz w:val="14"/>
                <w:szCs w:val="14"/>
                <w:b w:val="1"/>
                <w:bCs w:val="1"/>
                <w:color w:val="003478"/>
              </w:rPr>
              <w:t>Thomas J.</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1540" w:type="dxa"/>
            <w:vAlign w:val="bottom"/>
            <w:tcBorders>
              <w:right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003478"/>
              </w:rPr>
              <w:t>Donovan</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ind w:left="80"/>
              <w:spacing w:after="0" w:line="153" w:lineRule="exact"/>
              <w:rPr>
                <w:sz w:val="20"/>
                <w:szCs w:val="20"/>
                <w:color w:val="auto"/>
              </w:rPr>
            </w:pPr>
            <w:r>
              <w:rPr>
                <w:rFonts w:ascii="Arial" w:cs="Arial" w:eastAsia="Arial" w:hAnsi="Arial"/>
                <w:sz w:val="14"/>
                <w:szCs w:val="14"/>
                <w:b w:val="1"/>
                <w:bCs w:val="1"/>
                <w:color w:val="003478"/>
              </w:rPr>
              <w:t>Dunford, Jr.</w:t>
            </w:r>
          </w:p>
        </w:tc>
        <w:tc>
          <w:tcPr>
            <w:tcW w:w="100" w:type="dxa"/>
            <w:vAlign w:val="bottom"/>
            <w:tcBorders>
              <w:left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560" w:type="dxa"/>
            <w:vAlign w:val="bottom"/>
            <w:tcBorders>
              <w:right w:val="single" w:sz="8" w:color="auto"/>
            </w:tcBorders>
          </w:tcPr>
          <w:p>
            <w:pPr>
              <w:ind w:left="100"/>
              <w:spacing w:after="0" w:line="153" w:lineRule="exact"/>
              <w:rPr>
                <w:sz w:val="20"/>
                <w:szCs w:val="20"/>
                <w:color w:val="auto"/>
              </w:rPr>
            </w:pPr>
            <w:r>
              <w:rPr>
                <w:rFonts w:ascii="Arial" w:cs="Arial" w:eastAsia="Arial" w:hAnsi="Arial"/>
                <w:sz w:val="14"/>
                <w:szCs w:val="14"/>
                <w:color w:val="003478"/>
              </w:rPr>
              <w:t>Ellis, Jr.</w:t>
            </w: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40" w:type="dxa"/>
            <w:vAlign w:val="bottom"/>
          </w:tcPr>
          <w:p>
            <w:pPr>
              <w:ind w:left="100"/>
              <w:spacing w:after="0" w:line="153" w:lineRule="exact"/>
              <w:rPr>
                <w:sz w:val="20"/>
                <w:szCs w:val="20"/>
                <w:color w:val="auto"/>
              </w:rPr>
            </w:pPr>
            <w:r>
              <w:rPr>
                <w:rFonts w:ascii="Arial" w:cs="Arial" w:eastAsia="Arial" w:hAnsi="Arial"/>
                <w:sz w:val="14"/>
                <w:szCs w:val="14"/>
                <w:b w:val="1"/>
                <w:bCs w:val="1"/>
                <w:color w:val="003478"/>
              </w:rPr>
              <w:t>Falk</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540" w:type="dxa"/>
            <w:vAlign w:val="bottom"/>
            <w:tcBorders>
              <w:right w:val="single" w:sz="8" w:color="auto"/>
            </w:tcBorders>
          </w:tcPr>
          <w:p>
            <w:pPr>
              <w:ind w:left="12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62</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67</w:t>
            </w:r>
          </w:p>
        </w:tc>
        <w:tc>
          <w:tcPr>
            <w:tcW w:w="10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003478"/>
              </w:rPr>
              <w:t xml:space="preserve">Age: </w:t>
            </w:r>
            <w:r>
              <w:rPr>
                <w:rFonts w:ascii="Calibri" w:cs="Calibri" w:eastAsia="Calibri" w:hAnsi="Calibri"/>
                <w:sz w:val="14"/>
                <w:szCs w:val="14"/>
                <w:color w:val="000000"/>
              </w:rPr>
              <w:t>75</w:t>
            </w: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64</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154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b w:val="1"/>
                <w:bCs w:val="1"/>
                <w:color w:val="003478"/>
              </w:rPr>
              <w:t>Director</w:t>
            </w: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100" w:type="dxa"/>
            <w:vAlign w:val="bottom"/>
            <w:tcBorders>
              <w:lef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156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200" w:type="dxa"/>
            <w:vAlign w:val="bottom"/>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52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003478"/>
              </w:rPr>
              <w:t>Director</w:t>
            </w:r>
          </w:p>
        </w:tc>
        <w:tc>
          <w:tcPr>
            <w:tcW w:w="100" w:type="dxa"/>
            <w:vAlign w:val="bottom"/>
            <w:tcBorders>
              <w:lef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Borders>
              <w:right w:val="single" w:sz="8" w:color="auto"/>
            </w:tcBorders>
            <w:vMerge w:val="restart"/>
          </w:tcPr>
          <w:p>
            <w:pPr>
              <w:ind w:left="100"/>
              <w:spacing w:after="0" w:line="149" w:lineRule="exact"/>
              <w:rPr>
                <w:sz w:val="20"/>
                <w:szCs w:val="20"/>
                <w:color w:val="auto"/>
              </w:rPr>
            </w:pPr>
            <w:r>
              <w:rPr>
                <w:rFonts w:ascii="Arial" w:cs="Arial" w:eastAsia="Arial" w:hAnsi="Arial"/>
                <w:sz w:val="14"/>
                <w:szCs w:val="14"/>
                <w:color w:val="003478"/>
              </w:rPr>
              <w:t>Director</w:t>
            </w: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540" w:type="dxa"/>
            <w:vAlign w:val="bottom"/>
            <w:vMerge w:val="restart"/>
          </w:tcPr>
          <w:p>
            <w:pPr>
              <w:ind w:left="100"/>
              <w:spacing w:after="0" w:line="149" w:lineRule="exact"/>
              <w:rPr>
                <w:sz w:val="20"/>
                <w:szCs w:val="20"/>
                <w:color w:val="auto"/>
              </w:rPr>
            </w:pPr>
            <w:r>
              <w:rPr>
                <w:rFonts w:ascii="Arial" w:cs="Arial" w:eastAsia="Arial" w:hAnsi="Arial"/>
                <w:sz w:val="14"/>
                <w:szCs w:val="14"/>
                <w:b w:val="1"/>
                <w:bCs w:val="1"/>
                <w:color w:val="003478"/>
              </w:rPr>
              <w:t>Director</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15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2021</w:t>
            </w: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100" w:type="dxa"/>
            <w:vAlign w:val="bottom"/>
            <w:tcBorders>
              <w:lef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1560" w:type="dxa"/>
            <w:vAlign w:val="bottom"/>
            <w:tcBorders>
              <w:right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2020</w:t>
            </w:r>
          </w:p>
        </w:tc>
        <w:tc>
          <w:tcPr>
            <w:tcW w:w="100" w:type="dxa"/>
            <w:vAlign w:val="bottom"/>
            <w:tcBorders>
              <w:lef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003478"/>
              </w:rPr>
              <w:t xml:space="preserve">Since: </w:t>
            </w:r>
            <w:r>
              <w:rPr>
                <w:rFonts w:ascii="Calibri" w:cs="Calibri" w:eastAsia="Calibri" w:hAnsi="Calibri"/>
                <w:sz w:val="14"/>
                <w:szCs w:val="14"/>
                <w:color w:val="000000"/>
              </w:rPr>
              <w:t>2004</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2010</w:t>
            </w:r>
          </w:p>
        </w:tc>
        <w:tc>
          <w:tcPr>
            <w:tcW w:w="0" w:type="dxa"/>
            <w:vAlign w:val="bottom"/>
          </w:tcPr>
          <w:p>
            <w:pPr>
              <w:spacing w:after="0"/>
              <w:rPr>
                <w:sz w:val="1"/>
                <w:szCs w:val="1"/>
                <w:color w:val="auto"/>
              </w:rPr>
            </w:pPr>
          </w:p>
        </w:tc>
      </w:tr>
      <w:tr>
        <w:trPr>
          <w:trHeight w:val="62"/>
        </w:trPr>
        <w:tc>
          <w:tcPr>
            <w:tcW w:w="1200" w:type="dxa"/>
            <w:vAlign w:val="bottom"/>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156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200" w:type="dxa"/>
            <w:vAlign w:val="bottom"/>
            <w:tcBorders>
              <w:bottom w:val="single" w:sz="8" w:color="939598"/>
            </w:tcBorders>
            <w:shd w:val="clear" w:color="auto" w:fill="939598"/>
          </w:tcPr>
          <w:p>
            <w:pPr>
              <w:ind w:left="240"/>
              <w:spacing w:after="0"/>
              <w:rPr>
                <w:sz w:val="20"/>
                <w:szCs w:val="20"/>
                <w:color w:val="auto"/>
              </w:rPr>
            </w:pPr>
            <w:r>
              <w:rPr>
                <w:rFonts w:ascii="Calibri" w:cs="Calibri" w:eastAsia="Calibri" w:hAnsi="Calibri"/>
                <w:sz w:val="13"/>
                <w:szCs w:val="13"/>
                <w:b w:val="1"/>
                <w:bCs w:val="1"/>
                <w:color w:val="FFFFFF"/>
              </w:rPr>
              <w:t>Independent</w:t>
            </w:r>
          </w:p>
        </w:tc>
        <w:tc>
          <w:tcPr>
            <w:tcW w:w="15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939598"/>
            </w:tcBorders>
            <w:shd w:val="clear" w:color="auto" w:fill="939598"/>
          </w:tcPr>
          <w:p>
            <w:pPr>
              <w:ind w:left="240"/>
              <w:spacing w:after="0"/>
              <w:rPr>
                <w:sz w:val="20"/>
                <w:szCs w:val="20"/>
                <w:color w:val="auto"/>
              </w:rPr>
            </w:pPr>
            <w:r>
              <w:rPr>
                <w:rFonts w:ascii="Calibri" w:cs="Calibri" w:eastAsia="Calibri" w:hAnsi="Calibri"/>
                <w:sz w:val="13"/>
                <w:szCs w:val="13"/>
                <w:b w:val="1"/>
                <w:bCs w:val="1"/>
                <w:color w:val="FFFFFF"/>
              </w:rPr>
              <w:t>Independent</w:t>
            </w:r>
          </w:p>
        </w:tc>
        <w:tc>
          <w:tcPr>
            <w:tcW w:w="152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200" w:type="dxa"/>
            <w:vAlign w:val="bottom"/>
            <w:tcBorders>
              <w:bottom w:val="single" w:sz="8" w:color="939598"/>
            </w:tcBorders>
            <w:shd w:val="clear" w:color="auto" w:fill="939598"/>
          </w:tcPr>
          <w:p>
            <w:pPr>
              <w:ind w:left="240"/>
              <w:spacing w:after="0"/>
              <w:rPr>
                <w:sz w:val="20"/>
                <w:szCs w:val="20"/>
                <w:color w:val="auto"/>
              </w:rPr>
            </w:pPr>
            <w:r>
              <w:rPr>
                <w:rFonts w:ascii="Calibri" w:cs="Calibri" w:eastAsia="Calibri" w:hAnsi="Calibri"/>
                <w:sz w:val="13"/>
                <w:szCs w:val="13"/>
                <w:b w:val="1"/>
                <w:bCs w:val="1"/>
                <w:color w:val="FFFFFF"/>
              </w:rPr>
              <w:t>Independent</w:t>
            </w:r>
          </w:p>
        </w:tc>
        <w:tc>
          <w:tcPr>
            <w:tcW w:w="15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Borders>
              <w:bottom w:val="single" w:sz="8" w:color="939598"/>
            </w:tcBorders>
            <w:shd w:val="clear" w:color="auto" w:fill="939598"/>
          </w:tcPr>
          <w:p>
            <w:pPr>
              <w:ind w:left="260"/>
              <w:spacing w:after="0"/>
              <w:rPr>
                <w:sz w:val="20"/>
                <w:szCs w:val="20"/>
                <w:color w:val="auto"/>
              </w:rPr>
            </w:pPr>
            <w:r>
              <w:rPr>
                <w:rFonts w:ascii="Calibri" w:cs="Calibri" w:eastAsia="Calibri" w:hAnsi="Calibri"/>
                <w:sz w:val="13"/>
                <w:szCs w:val="13"/>
                <w:b w:val="1"/>
                <w:bCs w:val="1"/>
                <w:color w:val="FFFFFF"/>
              </w:rPr>
              <w:t>Independent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0"/>
              <w:spacing w:after="0" w:line="148" w:lineRule="exact"/>
              <w:rPr>
                <w:sz w:val="20"/>
                <w:szCs w:val="20"/>
                <w:color w:val="auto"/>
              </w:rPr>
            </w:pPr>
            <w:r>
              <w:rPr>
                <w:rFonts w:ascii="Calibri" w:cs="Calibri" w:eastAsia="Calibri" w:hAnsi="Calibri"/>
                <w:sz w:val="14"/>
                <w:szCs w:val="14"/>
                <w:color w:val="auto"/>
              </w:rPr>
              <w:t>Retred CEO, AT&amp;T</w:t>
            </w:r>
          </w:p>
        </w:tc>
        <w:tc>
          <w:tcPr>
            <w:tcW w:w="1540" w:type="dxa"/>
            <w:vAlign w:val="bottom"/>
            <w:tcBorders>
              <w:right w:val="single" w:sz="8" w:color="auto"/>
            </w:tcBorders>
          </w:tcPr>
          <w:p>
            <w:pPr>
              <w:spacing w:after="0" w:line="148" w:lineRule="exact"/>
              <w:rPr>
                <w:sz w:val="20"/>
                <w:szCs w:val="20"/>
                <w:color w:val="auto"/>
              </w:rPr>
            </w:pPr>
            <w:r>
              <w:rPr>
                <w:rFonts w:ascii="Calibri" w:cs="Calibri" w:eastAsia="Calibri" w:hAnsi="Calibri"/>
                <w:sz w:val="14"/>
                <w:szCs w:val="14"/>
                <w:color w:val="auto"/>
              </w:rPr>
              <w:t>Communicatons, LLC</w:t>
            </w:r>
          </w:p>
        </w:tc>
        <w:tc>
          <w:tcPr>
            <w:tcW w:w="80" w:type="dxa"/>
            <w:vAlign w:val="bottom"/>
          </w:tcPr>
          <w:p>
            <w:pPr>
              <w:spacing w:after="0"/>
              <w:rPr>
                <w:sz w:val="12"/>
                <w:szCs w:val="12"/>
                <w:color w:val="auto"/>
              </w:rPr>
            </w:pPr>
          </w:p>
        </w:tc>
        <w:tc>
          <w:tcPr>
            <w:tcW w:w="2740" w:type="dxa"/>
            <w:vAlign w:val="bottom"/>
            <w:gridSpan w:val="2"/>
          </w:tcPr>
          <w:p>
            <w:pPr>
              <w:ind w:left="20"/>
              <w:spacing w:after="0" w:line="148" w:lineRule="exact"/>
              <w:rPr>
                <w:sz w:val="20"/>
                <w:szCs w:val="20"/>
                <w:color w:val="auto"/>
              </w:rPr>
            </w:pPr>
            <w:r>
              <w:rPr>
                <w:rFonts w:ascii="Calibri" w:cs="Calibri" w:eastAsia="Calibri" w:hAnsi="Calibri"/>
                <w:sz w:val="14"/>
                <w:szCs w:val="14"/>
                <w:color w:val="auto"/>
              </w:rPr>
              <w:t>Senior Managing Director &amp; Partner of Liberty</w:t>
            </w:r>
          </w:p>
        </w:tc>
        <w:tc>
          <w:tcPr>
            <w:tcW w:w="100" w:type="dxa"/>
            <w:vAlign w:val="bottom"/>
            <w:tcBorders>
              <w:left w:val="single" w:sz="8" w:color="auto"/>
            </w:tcBorders>
          </w:tcPr>
          <w:p>
            <w:pPr>
              <w:spacing w:after="0"/>
              <w:rPr>
                <w:sz w:val="12"/>
                <w:szCs w:val="12"/>
                <w:color w:val="auto"/>
              </w:rPr>
            </w:pPr>
          </w:p>
        </w:tc>
        <w:tc>
          <w:tcPr>
            <w:tcW w:w="2760" w:type="dxa"/>
            <w:vAlign w:val="bottom"/>
            <w:tcBorders>
              <w:right w:val="single" w:sz="8" w:color="auto"/>
            </w:tcBorders>
            <w:gridSpan w:val="2"/>
          </w:tcPr>
          <w:p>
            <w:pPr>
              <w:spacing w:after="0" w:line="148" w:lineRule="exact"/>
              <w:rPr>
                <w:sz w:val="20"/>
                <w:szCs w:val="20"/>
                <w:color w:val="auto"/>
              </w:rPr>
            </w:pPr>
            <w:r>
              <w:rPr>
                <w:rFonts w:ascii="Calibri" w:cs="Calibri" w:eastAsia="Calibri" w:hAnsi="Calibri"/>
                <w:sz w:val="14"/>
                <w:szCs w:val="14"/>
                <w:color w:val="auto"/>
              </w:rPr>
              <w:t>Retred President and Chief Executve Ofcer</w:t>
            </w:r>
          </w:p>
        </w:tc>
        <w:tc>
          <w:tcPr>
            <w:tcW w:w="60" w:type="dxa"/>
            <w:vAlign w:val="bottom"/>
          </w:tcPr>
          <w:p>
            <w:pPr>
              <w:spacing w:after="0"/>
              <w:rPr>
                <w:sz w:val="12"/>
                <w:szCs w:val="12"/>
                <w:color w:val="auto"/>
              </w:rPr>
            </w:pPr>
          </w:p>
        </w:tc>
        <w:tc>
          <w:tcPr>
            <w:tcW w:w="1220" w:type="dxa"/>
            <w:vAlign w:val="bottom"/>
          </w:tcPr>
          <w:p>
            <w:pPr>
              <w:ind w:left="20"/>
              <w:spacing w:after="0" w:line="148" w:lineRule="exact"/>
              <w:rPr>
                <w:sz w:val="20"/>
                <w:szCs w:val="20"/>
                <w:color w:val="auto"/>
              </w:rPr>
            </w:pPr>
            <w:r>
              <w:rPr>
                <w:rFonts w:ascii="Calibri" w:cs="Calibri" w:eastAsia="Calibri" w:hAnsi="Calibri"/>
                <w:sz w:val="14"/>
                <w:szCs w:val="14"/>
                <w:color w:val="auto"/>
              </w:rPr>
              <w:t>Retred Chairman &amp;</w:t>
            </w:r>
          </w:p>
        </w:tc>
        <w:tc>
          <w:tcPr>
            <w:tcW w:w="1540" w:type="dxa"/>
            <w:vAlign w:val="bottom"/>
          </w:tcPr>
          <w:p>
            <w:pPr>
              <w:spacing w:after="0" w:line="148" w:lineRule="exact"/>
              <w:rPr>
                <w:sz w:val="20"/>
                <w:szCs w:val="20"/>
                <w:color w:val="auto"/>
              </w:rPr>
            </w:pPr>
            <w:r>
              <w:rPr>
                <w:rFonts w:ascii="Calibri" w:cs="Calibri" w:eastAsia="Calibri" w:hAnsi="Calibri"/>
                <w:sz w:val="14"/>
                <w:szCs w:val="14"/>
                <w:color w:val="auto"/>
              </w:rPr>
              <w:t>CEO,</w:t>
            </w:r>
          </w:p>
        </w:tc>
        <w:tc>
          <w:tcPr>
            <w:tcW w:w="0" w:type="dxa"/>
            <w:vAlign w:val="bottom"/>
          </w:tcPr>
          <w:p>
            <w:pPr>
              <w:spacing w:after="0"/>
              <w:rPr>
                <w:sz w:val="1"/>
                <w:szCs w:val="1"/>
                <w:color w:val="auto"/>
              </w:rPr>
            </w:pPr>
          </w:p>
        </w:tc>
      </w:tr>
      <w:tr>
        <w:trPr>
          <w:trHeight w:val="148"/>
        </w:trPr>
        <w:tc>
          <w:tcPr>
            <w:tcW w:w="27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b w:val="1"/>
                <w:bCs w:val="1"/>
                <w:color w:val="003478"/>
              </w:rPr>
              <w:t>A**, C</w:t>
            </w:r>
          </w:p>
        </w:tc>
        <w:tc>
          <w:tcPr>
            <w:tcW w:w="80" w:type="dxa"/>
            <w:vAlign w:val="bottom"/>
          </w:tcPr>
          <w:p>
            <w:pPr>
              <w:spacing w:after="0"/>
              <w:rPr>
                <w:sz w:val="12"/>
                <w:szCs w:val="12"/>
                <w:color w:val="auto"/>
              </w:rPr>
            </w:pPr>
          </w:p>
        </w:tc>
        <w:tc>
          <w:tcPr>
            <w:tcW w:w="2740" w:type="dxa"/>
            <w:vAlign w:val="bottom"/>
            <w:gridSpan w:val="2"/>
          </w:tcPr>
          <w:p>
            <w:pPr>
              <w:ind w:left="20"/>
              <w:spacing w:after="0" w:line="149" w:lineRule="exact"/>
              <w:rPr>
                <w:sz w:val="20"/>
                <w:szCs w:val="20"/>
                <w:color w:val="auto"/>
              </w:rPr>
            </w:pPr>
            <w:r>
              <w:rPr>
                <w:rFonts w:ascii="Calibri" w:cs="Calibri" w:eastAsia="Calibri" w:hAnsi="Calibri"/>
                <w:sz w:val="14"/>
                <w:szCs w:val="14"/>
                <w:color w:val="auto"/>
              </w:rPr>
              <w:t>Strategic Capital; Retred United States</w:t>
            </w:r>
          </w:p>
        </w:tc>
        <w:tc>
          <w:tcPr>
            <w:tcW w:w="100" w:type="dxa"/>
            <w:vAlign w:val="bottom"/>
            <w:tcBorders>
              <w:left w:val="single" w:sz="8" w:color="auto"/>
            </w:tcBorders>
          </w:tcPr>
          <w:p>
            <w:pPr>
              <w:spacing w:after="0"/>
              <w:rPr>
                <w:sz w:val="12"/>
                <w:szCs w:val="12"/>
                <w:color w:val="auto"/>
              </w:rPr>
            </w:pPr>
          </w:p>
        </w:tc>
        <w:tc>
          <w:tcPr>
            <w:tcW w:w="2760" w:type="dxa"/>
            <w:vAlign w:val="bottom"/>
            <w:tcBorders>
              <w:right w:val="single" w:sz="8" w:color="auto"/>
            </w:tcBorders>
            <w:gridSpan w:val="2"/>
          </w:tcPr>
          <w:p>
            <w:pPr>
              <w:spacing w:after="0" w:line="149" w:lineRule="exact"/>
              <w:rPr>
                <w:sz w:val="20"/>
                <w:szCs w:val="20"/>
                <w:color w:val="auto"/>
              </w:rPr>
            </w:pPr>
            <w:r>
              <w:rPr>
                <w:rFonts w:ascii="Calibri" w:cs="Calibri" w:eastAsia="Calibri" w:hAnsi="Calibri"/>
                <w:sz w:val="14"/>
                <w:szCs w:val="14"/>
                <w:color w:val="auto"/>
              </w:rPr>
              <w:t>of the Insttute of Nuclear Power Operatons</w:t>
            </w:r>
          </w:p>
        </w:tc>
        <w:tc>
          <w:tcPr>
            <w:tcW w:w="60" w:type="dxa"/>
            <w:vAlign w:val="bottom"/>
          </w:tcPr>
          <w:p>
            <w:pPr>
              <w:spacing w:after="0"/>
              <w:rPr>
                <w:sz w:val="12"/>
                <w:szCs w:val="12"/>
                <w:color w:val="auto"/>
              </w:rPr>
            </w:pPr>
          </w:p>
        </w:tc>
        <w:tc>
          <w:tcPr>
            <w:tcW w:w="2760" w:type="dxa"/>
            <w:vAlign w:val="bottom"/>
            <w:gridSpan w:val="2"/>
          </w:tcPr>
          <w:p>
            <w:pPr>
              <w:ind w:left="20"/>
              <w:spacing w:after="0" w:line="149" w:lineRule="exact"/>
              <w:rPr>
                <w:sz w:val="20"/>
                <w:szCs w:val="20"/>
                <w:color w:val="auto"/>
              </w:rPr>
            </w:pPr>
            <w:r>
              <w:rPr>
                <w:rFonts w:ascii="Calibri" w:cs="Calibri" w:eastAsia="Calibri" w:hAnsi="Calibri"/>
                <w:sz w:val="14"/>
                <w:szCs w:val="14"/>
                <w:color w:val="auto"/>
              </w:rPr>
              <w:t>Kimberly-Clark Corporaton</w:t>
            </w:r>
          </w:p>
        </w:tc>
        <w:tc>
          <w:tcPr>
            <w:tcW w:w="0" w:type="dxa"/>
            <w:vAlign w:val="bottom"/>
          </w:tcPr>
          <w:p>
            <w:pPr>
              <w:spacing w:after="0"/>
              <w:rPr>
                <w:sz w:val="1"/>
                <w:szCs w:val="1"/>
                <w:color w:val="auto"/>
              </w:rPr>
            </w:pPr>
          </w:p>
        </w:tc>
      </w:tr>
      <w:tr>
        <w:trPr>
          <w:trHeight w:val="73"/>
        </w:trPr>
        <w:tc>
          <w:tcPr>
            <w:tcW w:w="274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gridSpan w:val="2"/>
            <w:vMerge w:val="restart"/>
          </w:tcPr>
          <w:p>
            <w:pPr>
              <w:ind w:left="20"/>
              <w:spacing w:after="0" w:line="162" w:lineRule="exact"/>
              <w:rPr>
                <w:sz w:val="20"/>
                <w:szCs w:val="20"/>
                <w:color w:val="auto"/>
              </w:rPr>
            </w:pPr>
            <w:r>
              <w:rPr>
                <w:rFonts w:ascii="Calibri" w:cs="Calibri" w:eastAsia="Calibri" w:hAnsi="Calibri"/>
                <w:sz w:val="14"/>
                <w:szCs w:val="14"/>
                <w:color w:val="auto"/>
              </w:rPr>
              <w:t>Marine Corps General; Former Chairman of</w:t>
            </w:r>
          </w:p>
        </w:tc>
        <w:tc>
          <w:tcPr>
            <w:tcW w:w="100" w:type="dxa"/>
            <w:vAlign w:val="bottom"/>
            <w:tcBorders>
              <w:left w:val="single" w:sz="8" w:color="auto"/>
            </w:tcBorders>
          </w:tcPr>
          <w:p>
            <w:pPr>
              <w:spacing w:after="0"/>
              <w:rPr>
                <w:sz w:val="6"/>
                <w:szCs w:val="6"/>
                <w:color w:val="auto"/>
              </w:rPr>
            </w:pPr>
          </w:p>
        </w:tc>
        <w:tc>
          <w:tcPr>
            <w:tcW w:w="27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b w:val="1"/>
                <w:bCs w:val="1"/>
                <w:color w:val="003478"/>
              </w:rPr>
              <w:t>A, C*</w:t>
            </w:r>
          </w:p>
        </w:tc>
        <w:tc>
          <w:tcPr>
            <w:tcW w:w="60" w:type="dxa"/>
            <w:vAlign w:val="bottom"/>
          </w:tcPr>
          <w:p>
            <w:pPr>
              <w:spacing w:after="0"/>
              <w:rPr>
                <w:sz w:val="6"/>
                <w:szCs w:val="6"/>
                <w:color w:val="auto"/>
              </w:rPr>
            </w:pPr>
          </w:p>
        </w:tc>
        <w:tc>
          <w:tcPr>
            <w:tcW w:w="2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b w:val="1"/>
                <w:bCs w:val="1"/>
                <w:color w:val="003478"/>
              </w:rPr>
              <w:t>A*, M</w:t>
            </w:r>
          </w:p>
        </w:tc>
        <w:tc>
          <w:tcPr>
            <w:tcW w:w="0" w:type="dxa"/>
            <w:vAlign w:val="bottom"/>
          </w:tcPr>
          <w:p>
            <w:pPr>
              <w:spacing w:after="0"/>
              <w:rPr>
                <w:sz w:val="1"/>
                <w:szCs w:val="1"/>
                <w:color w:val="auto"/>
              </w:rPr>
            </w:pPr>
          </w:p>
        </w:tc>
      </w:tr>
      <w:tr>
        <w:trPr>
          <w:trHeight w:val="89"/>
        </w:trPr>
        <w:tc>
          <w:tcPr>
            <w:tcW w:w="2740" w:type="dxa"/>
            <w:vAlign w:val="bottom"/>
            <w:tcBorders>
              <w:right w:val="single" w:sz="8" w:color="auto"/>
            </w:tcBorders>
            <w:gridSpan w:val="2"/>
            <w:vMerge w:val="restart"/>
          </w:tcPr>
          <w:p>
            <w:pPr>
              <w:ind w:left="20"/>
              <w:spacing w:after="0" w:line="162" w:lineRule="exact"/>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Palo Alto Networks</w:t>
            </w:r>
          </w:p>
        </w:tc>
        <w:tc>
          <w:tcPr>
            <w:tcW w:w="80" w:type="dxa"/>
            <w:vAlign w:val="bottom"/>
          </w:tcPr>
          <w:p>
            <w:pPr>
              <w:spacing w:after="0"/>
              <w:rPr>
                <w:sz w:val="7"/>
                <w:szCs w:val="7"/>
                <w:color w:val="auto"/>
              </w:rPr>
            </w:pPr>
          </w:p>
        </w:tc>
        <w:tc>
          <w:tcPr>
            <w:tcW w:w="2740" w:type="dxa"/>
            <w:vAlign w:val="bottom"/>
            <w:gridSpan w:val="2"/>
            <w:vMerge w:val="continue"/>
          </w:tcPr>
          <w:p>
            <w:pPr>
              <w:spacing w:after="0"/>
              <w:rPr>
                <w:sz w:val="7"/>
                <w:szCs w:val="7"/>
                <w:color w:val="auto"/>
              </w:rPr>
            </w:pPr>
          </w:p>
        </w:tc>
        <w:tc>
          <w:tcPr>
            <w:tcW w:w="100" w:type="dxa"/>
            <w:vAlign w:val="bottom"/>
            <w:tcBorders>
              <w:left w:val="single" w:sz="8" w:color="auto"/>
            </w:tcBorders>
          </w:tcPr>
          <w:p>
            <w:pPr>
              <w:spacing w:after="0"/>
              <w:rPr>
                <w:sz w:val="7"/>
                <w:szCs w:val="7"/>
                <w:color w:val="auto"/>
              </w:rPr>
            </w:pPr>
          </w:p>
        </w:tc>
        <w:tc>
          <w:tcPr>
            <w:tcW w:w="2760" w:type="dxa"/>
            <w:vAlign w:val="bottom"/>
            <w:tcBorders>
              <w:right w:val="single" w:sz="8" w:color="auto"/>
            </w:tcBorders>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74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gridSpan w:val="2"/>
            <w:vMerge w:val="restart"/>
          </w:tcPr>
          <w:p>
            <w:pPr>
              <w:ind w:left="20"/>
              <w:spacing w:after="0"/>
              <w:rPr>
                <w:sz w:val="20"/>
                <w:szCs w:val="20"/>
                <w:color w:val="auto"/>
              </w:rPr>
            </w:pPr>
            <w:r>
              <w:rPr>
                <w:rFonts w:ascii="Calibri" w:cs="Calibri" w:eastAsia="Calibri" w:hAnsi="Calibri"/>
                <w:sz w:val="14"/>
                <w:szCs w:val="14"/>
                <w:color w:val="auto"/>
              </w:rPr>
              <w:t>the Joint Chiefs of Staf</w:t>
            </w:r>
          </w:p>
        </w:tc>
        <w:tc>
          <w:tcPr>
            <w:tcW w:w="100" w:type="dxa"/>
            <w:vAlign w:val="bottom"/>
            <w:tcBorders>
              <w:left w:val="single" w:sz="8" w:color="auto"/>
            </w:tcBorders>
          </w:tcPr>
          <w:p>
            <w:pPr>
              <w:spacing w:after="0"/>
              <w:rPr>
                <w:sz w:val="6"/>
                <w:szCs w:val="6"/>
                <w:color w:val="auto"/>
              </w:rPr>
            </w:pPr>
          </w:p>
        </w:tc>
        <w:tc>
          <w:tcPr>
            <w:tcW w:w="276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740" w:type="dxa"/>
            <w:vAlign w:val="bottom"/>
            <w:tcBorders>
              <w:right w:val="single" w:sz="8" w:color="auto"/>
            </w:tcBorders>
            <w:gridSpan w:val="2"/>
            <w:vMerge w:val="restart"/>
          </w:tcPr>
          <w:p>
            <w:pPr>
              <w:ind w:left="20"/>
              <w:spacing w:after="0" w:line="157" w:lineRule="exact"/>
              <w:rPr>
                <w:sz w:val="20"/>
                <w:szCs w:val="20"/>
                <w:color w:val="auto"/>
              </w:rPr>
            </w:pPr>
            <w:r>
              <w:rPr>
                <w:rFonts w:ascii="Calibri" w:cs="Calibri" w:eastAsia="Calibri" w:hAnsi="Calibri"/>
                <w:sz w:val="14"/>
                <w:szCs w:val="14"/>
                <w:color w:val="auto"/>
              </w:rPr>
              <w:t>(Lead Independent Director; Nominatng &amp;</w:t>
            </w:r>
          </w:p>
        </w:tc>
        <w:tc>
          <w:tcPr>
            <w:tcW w:w="80" w:type="dxa"/>
            <w:vAlign w:val="bottom"/>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100" w:type="dxa"/>
            <w:vAlign w:val="bottom"/>
            <w:tcBorders>
              <w:left w:val="single" w:sz="8" w:color="auto"/>
            </w:tcBorders>
          </w:tcPr>
          <w:p>
            <w:pPr>
              <w:spacing w:after="0"/>
              <w:rPr>
                <w:sz w:val="8"/>
                <w:szCs w:val="8"/>
                <w:color w:val="auto"/>
              </w:rPr>
            </w:pPr>
          </w:p>
        </w:tc>
        <w:tc>
          <w:tcPr>
            <w:tcW w:w="2760" w:type="dxa"/>
            <w:vAlign w:val="bottom"/>
            <w:tcBorders>
              <w:right w:val="single" w:sz="8" w:color="auto"/>
            </w:tcBorders>
            <w:gridSpan w:val="2"/>
            <w:vMerge w:val="restart"/>
          </w:tcPr>
          <w:p>
            <w:pPr>
              <w:spacing w:after="0" w:line="157" w:lineRule="exact"/>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Dominion Energy,</w:t>
            </w:r>
          </w:p>
        </w:tc>
        <w:tc>
          <w:tcPr>
            <w:tcW w:w="60" w:type="dxa"/>
            <w:vAlign w:val="bottom"/>
          </w:tcPr>
          <w:p>
            <w:pPr>
              <w:spacing w:after="0"/>
              <w:rPr>
                <w:sz w:val="8"/>
                <w:szCs w:val="8"/>
                <w:color w:val="auto"/>
              </w:rPr>
            </w:pPr>
          </w:p>
        </w:tc>
        <w:tc>
          <w:tcPr>
            <w:tcW w:w="2760" w:type="dxa"/>
            <w:vAlign w:val="bottom"/>
            <w:gridSpan w:val="2"/>
            <w:vMerge w:val="restart"/>
          </w:tcPr>
          <w:p>
            <w:pPr>
              <w:ind w:left="20"/>
              <w:spacing w:after="0" w:line="157" w:lineRule="exact"/>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None</w:t>
            </w:r>
          </w:p>
        </w:tc>
        <w:tc>
          <w:tcPr>
            <w:tcW w:w="0" w:type="dxa"/>
            <w:vAlign w:val="bottom"/>
          </w:tcPr>
          <w:p>
            <w:pPr>
              <w:spacing w:after="0"/>
              <w:rPr>
                <w:sz w:val="1"/>
                <w:szCs w:val="1"/>
                <w:color w:val="auto"/>
              </w:rPr>
            </w:pPr>
          </w:p>
        </w:tc>
      </w:tr>
      <w:tr>
        <w:trPr>
          <w:trHeight w:val="60"/>
        </w:trPr>
        <w:tc>
          <w:tcPr>
            <w:tcW w:w="274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b w:val="1"/>
                <w:bCs w:val="1"/>
                <w:color w:val="003478"/>
              </w:rPr>
              <w:t>C**, N</w:t>
            </w:r>
          </w:p>
        </w:tc>
        <w:tc>
          <w:tcPr>
            <w:tcW w:w="100" w:type="dxa"/>
            <w:vAlign w:val="bottom"/>
            <w:tcBorders>
              <w:left w:val="single" w:sz="8" w:color="auto"/>
            </w:tcBorders>
          </w:tcPr>
          <w:p>
            <w:pPr>
              <w:spacing w:after="0"/>
              <w:rPr>
                <w:sz w:val="5"/>
                <w:szCs w:val="5"/>
                <w:color w:val="auto"/>
              </w:rPr>
            </w:pPr>
          </w:p>
        </w:tc>
        <w:tc>
          <w:tcPr>
            <w:tcW w:w="276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40" w:type="dxa"/>
            <w:vAlign w:val="bottom"/>
            <w:tcBorders>
              <w:right w:val="single" w:sz="8" w:color="auto"/>
            </w:tcBorders>
            <w:gridSpan w:val="2"/>
          </w:tcPr>
          <w:p>
            <w:pPr>
              <w:ind w:left="20"/>
              <w:spacing w:after="0" w:line="149" w:lineRule="exact"/>
              <w:rPr>
                <w:sz w:val="20"/>
                <w:szCs w:val="20"/>
                <w:color w:val="auto"/>
              </w:rPr>
            </w:pPr>
            <w:r>
              <w:rPr>
                <w:rFonts w:ascii="Calibri" w:cs="Calibri" w:eastAsia="Calibri" w:hAnsi="Calibri"/>
                <w:sz w:val="14"/>
                <w:szCs w:val="14"/>
                <w:color w:val="auto"/>
              </w:rPr>
              <w:t>Governance*; Compensaton and</w:t>
            </w:r>
          </w:p>
        </w:tc>
        <w:tc>
          <w:tcPr>
            <w:tcW w:w="8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2760" w:type="dxa"/>
            <w:vAlign w:val="bottom"/>
            <w:tcBorders>
              <w:right w:val="single" w:sz="8" w:color="auto"/>
            </w:tcBorders>
            <w:gridSpan w:val="2"/>
          </w:tcPr>
          <w:p>
            <w:pPr>
              <w:spacing w:after="0" w:line="149" w:lineRule="exact"/>
              <w:rPr>
                <w:sz w:val="20"/>
                <w:szCs w:val="20"/>
                <w:color w:val="auto"/>
              </w:rPr>
            </w:pPr>
            <w:r>
              <w:rPr>
                <w:rFonts w:ascii="Calibri" w:cs="Calibri" w:eastAsia="Calibri" w:hAnsi="Calibri"/>
                <w:sz w:val="14"/>
                <w:szCs w:val="14"/>
                <w:color w:val="auto"/>
              </w:rPr>
              <w:t>Inc</w:t>
            </w: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4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14"/>
                <w:szCs w:val="14"/>
                <w:color w:val="auto"/>
              </w:rPr>
              <w:t>People; Security)</w:t>
            </w:r>
          </w:p>
        </w:tc>
        <w:tc>
          <w:tcPr>
            <w:tcW w:w="80" w:type="dxa"/>
            <w:vAlign w:val="bottom"/>
          </w:tcPr>
          <w:p>
            <w:pPr>
              <w:spacing w:after="0"/>
              <w:rPr>
                <w:sz w:val="17"/>
                <w:szCs w:val="17"/>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Satellogic Inc.</w:t>
            </w:r>
          </w:p>
        </w:tc>
        <w:tc>
          <w:tcPr>
            <w:tcW w:w="10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20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Borders>
              <w:left w:val="single" w:sz="8" w:color="auto"/>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200" w:type="dxa"/>
            <w:vAlign w:val="bottom"/>
          </w:tcPr>
          <w:p>
            <w:pPr>
              <w:spacing w:after="0"/>
              <w:rPr>
                <w:sz w:val="24"/>
                <w:szCs w:val="24"/>
                <w:color w:val="auto"/>
              </w:rPr>
            </w:pP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Ilene S.</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003478"/>
              </w:rPr>
              <w:t>Vicki A.</w:t>
            </w:r>
          </w:p>
        </w:tc>
        <w:tc>
          <w:tcPr>
            <w:tcW w:w="10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Jeh C.</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Gordon</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003478"/>
              </w:rPr>
              <w:t>Hollub</w:t>
            </w:r>
          </w:p>
        </w:tc>
        <w:tc>
          <w:tcPr>
            <w:tcW w:w="10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Johnson</w:t>
            </w: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69</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63</w:t>
            </w:r>
          </w:p>
        </w:tc>
        <w:tc>
          <w:tcPr>
            <w:tcW w:w="100" w:type="dxa"/>
            <w:vAlign w:val="bottom"/>
            <w:tcBorders>
              <w:lef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65</w:t>
            </w: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5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003478"/>
              </w:rPr>
              <w:t>Director</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003478"/>
              </w:rPr>
              <w:t>Director</w:t>
            </w:r>
          </w:p>
        </w:tc>
        <w:tc>
          <w:tcPr>
            <w:tcW w:w="100" w:type="dxa"/>
            <w:vAlign w:val="bottom"/>
            <w:tcBorders>
              <w:lef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003478"/>
              </w:rPr>
              <w:t>Director</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54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2016</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2018</w:t>
            </w:r>
          </w:p>
        </w:tc>
        <w:tc>
          <w:tcPr>
            <w:tcW w:w="10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2018</w:t>
            </w: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0" w:type="dxa"/>
            <w:vAlign w:val="bottom"/>
            <w:tcBorders>
              <w:bottom w:val="single" w:sz="8" w:color="939598"/>
            </w:tcBorders>
            <w:shd w:val="clear" w:color="auto" w:fill="939598"/>
          </w:tcPr>
          <w:p>
            <w:pPr>
              <w:ind w:left="240"/>
              <w:spacing w:after="0"/>
              <w:rPr>
                <w:sz w:val="20"/>
                <w:szCs w:val="20"/>
                <w:color w:val="auto"/>
              </w:rPr>
            </w:pPr>
            <w:r>
              <w:rPr>
                <w:rFonts w:ascii="Calibri" w:cs="Calibri" w:eastAsia="Calibri" w:hAnsi="Calibri"/>
                <w:sz w:val="13"/>
                <w:szCs w:val="13"/>
                <w:b w:val="1"/>
                <w:bCs w:val="1"/>
                <w:color w:val="FFFFFF"/>
              </w:rPr>
              <w:t>Independent</w:t>
            </w:r>
          </w:p>
        </w:tc>
        <w:tc>
          <w:tcPr>
            <w:tcW w:w="15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bottom w:val="single" w:sz="8" w:color="939598"/>
            </w:tcBorders>
            <w:shd w:val="clear" w:color="auto" w:fill="939598"/>
          </w:tcPr>
          <w:p>
            <w:pPr>
              <w:ind w:left="240"/>
              <w:spacing w:after="0"/>
              <w:rPr>
                <w:sz w:val="20"/>
                <w:szCs w:val="20"/>
                <w:color w:val="auto"/>
              </w:rPr>
            </w:pPr>
            <w:r>
              <w:rPr>
                <w:rFonts w:ascii="Calibri" w:cs="Calibri" w:eastAsia="Calibri" w:hAnsi="Calibri"/>
                <w:sz w:val="13"/>
                <w:szCs w:val="13"/>
                <w:b w:val="1"/>
                <w:bCs w:val="1"/>
                <w:color w:val="FFFFFF"/>
              </w:rPr>
              <w:t>Independent</w:t>
            </w:r>
          </w:p>
        </w:tc>
        <w:tc>
          <w:tcPr>
            <w:tcW w:w="152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200" w:type="dxa"/>
            <w:vAlign w:val="bottom"/>
            <w:tcBorders>
              <w:bottom w:val="single" w:sz="8" w:color="939598"/>
            </w:tcBorders>
            <w:shd w:val="clear" w:color="auto" w:fill="939598"/>
          </w:tcPr>
          <w:p>
            <w:pPr>
              <w:ind w:left="240"/>
              <w:spacing w:after="0"/>
              <w:rPr>
                <w:sz w:val="20"/>
                <w:szCs w:val="20"/>
                <w:color w:val="auto"/>
              </w:rPr>
            </w:pPr>
            <w:r>
              <w:rPr>
                <w:rFonts w:ascii="Calibri" w:cs="Calibri" w:eastAsia="Calibri" w:hAnsi="Calibri"/>
                <w:sz w:val="13"/>
                <w:szCs w:val="13"/>
                <w:b w:val="1"/>
                <w:bCs w:val="1"/>
                <w:color w:val="FFFFFF"/>
              </w:rPr>
              <w:t>Independent</w:t>
            </w:r>
          </w:p>
        </w:tc>
        <w:tc>
          <w:tcPr>
            <w:tcW w:w="15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0"/>
              <w:spacing w:after="0" w:line="148" w:lineRule="exact"/>
              <w:rPr>
                <w:sz w:val="20"/>
                <w:szCs w:val="20"/>
                <w:color w:val="auto"/>
              </w:rPr>
            </w:pPr>
            <w:r>
              <w:rPr>
                <w:rFonts w:ascii="Calibri" w:cs="Calibri" w:eastAsia="Calibri" w:hAnsi="Calibri"/>
                <w:sz w:val="14"/>
                <w:szCs w:val="14"/>
                <w:color w:val="auto"/>
              </w:rPr>
              <w:t>Retred Chairman &amp;</w:t>
            </w:r>
          </w:p>
        </w:tc>
        <w:tc>
          <w:tcPr>
            <w:tcW w:w="1540" w:type="dxa"/>
            <w:vAlign w:val="bottom"/>
            <w:tcBorders>
              <w:right w:val="single" w:sz="8" w:color="auto"/>
            </w:tcBorders>
          </w:tcPr>
          <w:p>
            <w:pPr>
              <w:spacing w:after="0" w:line="148" w:lineRule="exact"/>
              <w:rPr>
                <w:sz w:val="20"/>
                <w:szCs w:val="20"/>
                <w:color w:val="auto"/>
              </w:rPr>
            </w:pPr>
            <w:r>
              <w:rPr>
                <w:rFonts w:ascii="Calibri" w:cs="Calibri" w:eastAsia="Calibri" w:hAnsi="Calibri"/>
                <w:sz w:val="14"/>
                <w:szCs w:val="14"/>
                <w:color w:val="auto"/>
              </w:rPr>
              <w:t>CEO, Ingredion</w:t>
            </w:r>
          </w:p>
        </w:tc>
        <w:tc>
          <w:tcPr>
            <w:tcW w:w="80" w:type="dxa"/>
            <w:vAlign w:val="bottom"/>
          </w:tcPr>
          <w:p>
            <w:pPr>
              <w:spacing w:after="0"/>
              <w:rPr>
                <w:sz w:val="12"/>
                <w:szCs w:val="12"/>
                <w:color w:val="auto"/>
              </w:rPr>
            </w:pPr>
          </w:p>
        </w:tc>
        <w:tc>
          <w:tcPr>
            <w:tcW w:w="1220" w:type="dxa"/>
            <w:vAlign w:val="bottom"/>
          </w:tcPr>
          <w:p>
            <w:pPr>
              <w:ind w:left="20"/>
              <w:spacing w:after="0" w:line="148" w:lineRule="exact"/>
              <w:rPr>
                <w:sz w:val="20"/>
                <w:szCs w:val="20"/>
                <w:color w:val="auto"/>
              </w:rPr>
            </w:pPr>
            <w:r>
              <w:rPr>
                <w:rFonts w:ascii="Calibri" w:cs="Calibri" w:eastAsia="Calibri" w:hAnsi="Calibri"/>
                <w:sz w:val="14"/>
                <w:szCs w:val="14"/>
                <w:color w:val="auto"/>
              </w:rPr>
              <w:t>President &amp; CEO,</w:t>
            </w:r>
          </w:p>
        </w:tc>
        <w:tc>
          <w:tcPr>
            <w:tcW w:w="152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2760" w:type="dxa"/>
            <w:vAlign w:val="bottom"/>
            <w:tcBorders>
              <w:right w:val="single" w:sz="8" w:color="auto"/>
            </w:tcBorders>
            <w:gridSpan w:val="2"/>
          </w:tcPr>
          <w:p>
            <w:pPr>
              <w:spacing w:after="0" w:line="148" w:lineRule="exact"/>
              <w:rPr>
                <w:sz w:val="20"/>
                <w:szCs w:val="20"/>
                <w:color w:val="auto"/>
              </w:rPr>
            </w:pPr>
            <w:r>
              <w:rPr>
                <w:rFonts w:ascii="Calibri" w:cs="Calibri" w:eastAsia="Calibri" w:hAnsi="Calibri"/>
                <w:sz w:val="14"/>
                <w:szCs w:val="14"/>
                <w:color w:val="auto"/>
              </w:rPr>
              <w:t>Partner at Paul, Weiss, Rifind, Wharton &amp;</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Borders>
              <w:right w:val="single" w:sz="8" w:color="auto"/>
            </w:tcBorders>
            <w:gridSpan w:val="2"/>
          </w:tcPr>
          <w:p>
            <w:pPr>
              <w:ind w:left="20"/>
              <w:spacing w:after="0" w:line="149" w:lineRule="exact"/>
              <w:rPr>
                <w:sz w:val="20"/>
                <w:szCs w:val="20"/>
                <w:color w:val="auto"/>
              </w:rPr>
            </w:pPr>
            <w:r>
              <w:rPr>
                <w:rFonts w:ascii="Calibri" w:cs="Calibri" w:eastAsia="Calibri" w:hAnsi="Calibri"/>
                <w:sz w:val="14"/>
                <w:szCs w:val="14"/>
                <w:color w:val="auto"/>
              </w:rPr>
              <w:t>Incorporated</w:t>
            </w:r>
          </w:p>
        </w:tc>
        <w:tc>
          <w:tcPr>
            <w:tcW w:w="80" w:type="dxa"/>
            <w:vAlign w:val="bottom"/>
          </w:tcPr>
          <w:p>
            <w:pPr>
              <w:spacing w:after="0"/>
              <w:rPr>
                <w:sz w:val="12"/>
                <w:szCs w:val="12"/>
                <w:color w:val="auto"/>
              </w:rPr>
            </w:pPr>
          </w:p>
        </w:tc>
        <w:tc>
          <w:tcPr>
            <w:tcW w:w="2740" w:type="dxa"/>
            <w:vAlign w:val="bottom"/>
            <w:gridSpan w:val="2"/>
          </w:tcPr>
          <w:p>
            <w:pPr>
              <w:ind w:left="20"/>
              <w:spacing w:after="0" w:line="149" w:lineRule="exact"/>
              <w:rPr>
                <w:sz w:val="20"/>
                <w:szCs w:val="20"/>
                <w:color w:val="auto"/>
              </w:rPr>
            </w:pPr>
            <w:r>
              <w:rPr>
                <w:rFonts w:ascii="Calibri" w:cs="Calibri" w:eastAsia="Calibri" w:hAnsi="Calibri"/>
                <w:sz w:val="14"/>
                <w:szCs w:val="14"/>
                <w:color w:val="auto"/>
              </w:rPr>
              <w:t>Occidental Petroleum Corporaton</w:t>
            </w:r>
          </w:p>
        </w:tc>
        <w:tc>
          <w:tcPr>
            <w:tcW w:w="100" w:type="dxa"/>
            <w:vAlign w:val="bottom"/>
            <w:tcBorders>
              <w:left w:val="single" w:sz="8" w:color="auto"/>
            </w:tcBorders>
          </w:tcPr>
          <w:p>
            <w:pPr>
              <w:spacing w:after="0"/>
              <w:rPr>
                <w:sz w:val="12"/>
                <w:szCs w:val="12"/>
                <w:color w:val="auto"/>
              </w:rPr>
            </w:pPr>
          </w:p>
        </w:tc>
        <w:tc>
          <w:tcPr>
            <w:tcW w:w="2760" w:type="dxa"/>
            <w:vAlign w:val="bottom"/>
            <w:tcBorders>
              <w:right w:val="single" w:sz="8" w:color="auto"/>
            </w:tcBorders>
            <w:gridSpan w:val="2"/>
          </w:tcPr>
          <w:p>
            <w:pPr>
              <w:spacing w:after="0" w:line="149" w:lineRule="exact"/>
              <w:rPr>
                <w:sz w:val="20"/>
                <w:szCs w:val="20"/>
                <w:color w:val="auto"/>
              </w:rPr>
            </w:pPr>
            <w:r>
              <w:rPr>
                <w:rFonts w:ascii="Calibri" w:cs="Calibri" w:eastAsia="Calibri" w:hAnsi="Calibri"/>
                <w:sz w:val="14"/>
                <w:szCs w:val="14"/>
                <w:color w:val="auto"/>
              </w:rPr>
              <w:t>Garrison LLP; Former Secretary of Homeland</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7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b w:val="1"/>
                <w:bCs w:val="1"/>
                <w:color w:val="003478"/>
              </w:rPr>
              <w:t>A, M*</w:t>
            </w:r>
          </w:p>
        </w:tc>
        <w:tc>
          <w:tcPr>
            <w:tcW w:w="80" w:type="dxa"/>
            <w:vAlign w:val="bottom"/>
          </w:tcPr>
          <w:p>
            <w:pPr>
              <w:spacing w:after="0"/>
              <w:rPr>
                <w:sz w:val="14"/>
                <w:szCs w:val="14"/>
                <w:color w:val="auto"/>
              </w:rPr>
            </w:pPr>
          </w:p>
        </w:tc>
        <w:tc>
          <w:tcPr>
            <w:tcW w:w="2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b w:val="1"/>
                <w:bCs w:val="1"/>
                <w:color w:val="003478"/>
              </w:rPr>
              <w:t>M, N</w:t>
            </w:r>
          </w:p>
        </w:tc>
        <w:tc>
          <w:tcPr>
            <w:tcW w:w="100" w:type="dxa"/>
            <w:vAlign w:val="bottom"/>
            <w:tcBorders>
              <w:left w:val="single" w:sz="8" w:color="auto"/>
            </w:tcBorders>
          </w:tcPr>
          <w:p>
            <w:pPr>
              <w:spacing w:after="0"/>
              <w:rPr>
                <w:sz w:val="14"/>
                <w:szCs w:val="14"/>
                <w:color w:val="auto"/>
              </w:rPr>
            </w:pPr>
          </w:p>
        </w:tc>
        <w:tc>
          <w:tcPr>
            <w:tcW w:w="2760" w:type="dxa"/>
            <w:vAlign w:val="bottom"/>
            <w:tcBorders>
              <w:right w:val="single" w:sz="8" w:color="auto"/>
            </w:tcBorders>
            <w:gridSpan w:val="2"/>
          </w:tcPr>
          <w:p>
            <w:pPr>
              <w:spacing w:after="0"/>
              <w:rPr>
                <w:sz w:val="20"/>
                <w:szCs w:val="20"/>
                <w:color w:val="auto"/>
              </w:rPr>
            </w:pPr>
            <w:r>
              <w:rPr>
                <w:rFonts w:ascii="Calibri" w:cs="Calibri" w:eastAsia="Calibri" w:hAnsi="Calibri"/>
                <w:sz w:val="14"/>
                <w:szCs w:val="14"/>
                <w:color w:val="auto"/>
              </w:rPr>
              <w:t>Security</w:t>
            </w: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740" w:type="dxa"/>
            <w:vAlign w:val="bottom"/>
            <w:tcBorders>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740" w:type="dxa"/>
            <w:vAlign w:val="bottom"/>
            <w:gridSpan w:val="2"/>
            <w:vMerge w:val="continue"/>
          </w:tcPr>
          <w:p>
            <w:pPr>
              <w:spacing w:after="0"/>
              <w:rPr>
                <w:sz w:val="3"/>
                <w:szCs w:val="3"/>
                <w:color w:val="auto"/>
              </w:rPr>
            </w:pPr>
          </w:p>
        </w:tc>
        <w:tc>
          <w:tcPr>
            <w:tcW w:w="100" w:type="dxa"/>
            <w:vAlign w:val="bottom"/>
            <w:tcBorders>
              <w:left w:val="single" w:sz="8" w:color="auto"/>
            </w:tcBorders>
          </w:tcPr>
          <w:p>
            <w:pPr>
              <w:spacing w:after="0"/>
              <w:rPr>
                <w:sz w:val="3"/>
                <w:szCs w:val="3"/>
                <w:color w:val="auto"/>
              </w:rPr>
            </w:pPr>
          </w:p>
        </w:tc>
        <w:tc>
          <w:tcPr>
            <w:tcW w:w="1200" w:type="dxa"/>
            <w:vAlign w:val="bottom"/>
          </w:tcPr>
          <w:p>
            <w:pPr>
              <w:spacing w:after="0"/>
              <w:rPr>
                <w:sz w:val="3"/>
                <w:szCs w:val="3"/>
                <w:color w:val="auto"/>
              </w:rPr>
            </w:pPr>
          </w:p>
        </w:tc>
        <w:tc>
          <w:tcPr>
            <w:tcW w:w="15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7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Internatonal Paper</w:t>
            </w:r>
          </w:p>
        </w:tc>
        <w:tc>
          <w:tcPr>
            <w:tcW w:w="80" w:type="dxa"/>
            <w:vAlign w:val="bottom"/>
          </w:tcPr>
          <w:p>
            <w:pPr>
              <w:spacing w:after="0"/>
              <w:rPr>
                <w:sz w:val="14"/>
                <w:szCs w:val="14"/>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Occidental</w:t>
            </w:r>
          </w:p>
        </w:tc>
        <w:tc>
          <w:tcPr>
            <w:tcW w:w="100" w:type="dxa"/>
            <w:vAlign w:val="bottom"/>
            <w:tcBorders>
              <w:left w:val="single" w:sz="8" w:color="auto"/>
            </w:tcBorders>
          </w:tcPr>
          <w:p>
            <w:pPr>
              <w:spacing w:after="0"/>
              <w:rPr>
                <w:sz w:val="14"/>
                <w:szCs w:val="14"/>
                <w:color w:val="auto"/>
              </w:rPr>
            </w:pPr>
          </w:p>
        </w:tc>
        <w:tc>
          <w:tcPr>
            <w:tcW w:w="276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b w:val="1"/>
                <w:bCs w:val="1"/>
                <w:color w:val="003478"/>
              </w:rPr>
              <w:t>C, N</w:t>
            </w: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Borders>
              <w:right w:val="single" w:sz="8" w:color="auto"/>
            </w:tcBorders>
            <w:gridSpan w:val="2"/>
          </w:tcPr>
          <w:p>
            <w:pPr>
              <w:ind w:left="20"/>
              <w:spacing w:after="0" w:line="149" w:lineRule="exact"/>
              <w:rPr>
                <w:sz w:val="20"/>
                <w:szCs w:val="20"/>
                <w:color w:val="auto"/>
              </w:rPr>
            </w:pPr>
            <w:r>
              <w:rPr>
                <w:rFonts w:ascii="Calibri" w:cs="Calibri" w:eastAsia="Calibri" w:hAnsi="Calibri"/>
                <w:sz w:val="14"/>
                <w:szCs w:val="14"/>
                <w:color w:val="auto"/>
              </w:rPr>
              <w:t>Company (Governance*; Executve;</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276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MetLife, Inc. (Audit;</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Borders>
              <w:right w:val="single" w:sz="8" w:color="auto"/>
            </w:tcBorders>
            <w:gridSpan w:val="2"/>
          </w:tcPr>
          <w:p>
            <w:pPr>
              <w:ind w:left="20"/>
              <w:spacing w:after="0" w:line="161" w:lineRule="exact"/>
              <w:rPr>
                <w:sz w:val="20"/>
                <w:szCs w:val="20"/>
                <w:color w:val="auto"/>
              </w:rPr>
            </w:pPr>
            <w:r>
              <w:rPr>
                <w:rFonts w:ascii="Calibri" w:cs="Calibri" w:eastAsia="Calibri" w:hAnsi="Calibri"/>
                <w:sz w:val="14"/>
                <w:szCs w:val="14"/>
                <w:color w:val="auto"/>
              </w:rPr>
              <w:t>Management Development &amp; Compensaton)</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2760" w:type="dxa"/>
            <w:vAlign w:val="bottom"/>
            <w:tcBorders>
              <w:right w:val="single" w:sz="8" w:color="auto"/>
            </w:tcBorders>
            <w:gridSpan w:val="2"/>
          </w:tcPr>
          <w:p>
            <w:pPr>
              <w:spacing w:after="0" w:line="161" w:lineRule="exact"/>
              <w:rPr>
                <w:sz w:val="20"/>
                <w:szCs w:val="20"/>
                <w:color w:val="auto"/>
              </w:rPr>
            </w:pPr>
            <w:r>
              <w:rPr>
                <w:rFonts w:ascii="Calibri" w:cs="Calibri" w:eastAsia="Calibri" w:hAnsi="Calibri"/>
                <w:sz w:val="14"/>
                <w:szCs w:val="14"/>
                <w:color w:val="auto"/>
              </w:rPr>
              <w:t>Governance &amp; Corp. Responsibility) and U.S.</w:t>
            </w: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2760" w:type="dxa"/>
            <w:vAlign w:val="bottom"/>
            <w:tcBorders>
              <w:right w:val="single" w:sz="8" w:color="auto"/>
            </w:tcBorders>
            <w:gridSpan w:val="2"/>
          </w:tcPr>
          <w:p>
            <w:pPr>
              <w:spacing w:after="0" w:line="149" w:lineRule="exact"/>
              <w:rPr>
                <w:sz w:val="20"/>
                <w:szCs w:val="20"/>
                <w:color w:val="auto"/>
              </w:rPr>
            </w:pPr>
            <w:r>
              <w:rPr>
                <w:rFonts w:ascii="Calibri" w:cs="Calibri" w:eastAsia="Calibri" w:hAnsi="Calibri"/>
                <w:sz w:val="14"/>
                <w:szCs w:val="14"/>
                <w:color w:val="auto"/>
              </w:rPr>
              <w:t>Steel (Audit; Corp. Governance &amp;</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2760" w:type="dxa"/>
            <w:vAlign w:val="bottom"/>
            <w:tcBorders>
              <w:right w:val="single" w:sz="8" w:color="auto"/>
            </w:tcBorders>
            <w:gridSpan w:val="2"/>
          </w:tcPr>
          <w:p>
            <w:pPr>
              <w:spacing w:after="0"/>
              <w:rPr>
                <w:sz w:val="20"/>
                <w:szCs w:val="20"/>
                <w:color w:val="auto"/>
              </w:rPr>
            </w:pPr>
            <w:r>
              <w:rPr>
                <w:rFonts w:ascii="Calibri" w:cs="Calibri" w:eastAsia="Calibri" w:hAnsi="Calibri"/>
                <w:sz w:val="14"/>
                <w:szCs w:val="14"/>
                <w:color w:val="auto"/>
              </w:rPr>
              <w:t>Sustainability)</w:t>
            </w: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20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left w:val="single" w:sz="8" w:color="auto"/>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200" w:type="dxa"/>
            <w:vAlign w:val="bottom"/>
          </w:tcPr>
          <w:p>
            <w:pPr>
              <w:spacing w:after="0"/>
              <w:rPr>
                <w:sz w:val="24"/>
                <w:szCs w:val="24"/>
                <w:color w:val="auto"/>
              </w:rPr>
            </w:pP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003478"/>
              </w:rPr>
              <w:t>Debra L.</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4"/>
                <w:szCs w:val="14"/>
                <w:b w:val="1"/>
                <w:bCs w:val="1"/>
                <w:color w:val="003478"/>
              </w:rPr>
              <w:t>Patricia E.</w:t>
            </w:r>
          </w:p>
        </w:tc>
        <w:tc>
          <w:tcPr>
            <w:tcW w:w="10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gridSpan w:val="2"/>
            <w:vMerge w:val="restart"/>
          </w:tcPr>
          <w:p>
            <w:pPr>
              <w:ind w:left="80"/>
              <w:spacing w:after="0"/>
              <w:rPr>
                <w:sz w:val="20"/>
                <w:szCs w:val="20"/>
                <w:color w:val="auto"/>
              </w:rPr>
            </w:pPr>
            <w:r>
              <w:rPr>
                <w:rFonts w:ascii="Calibri" w:cs="Calibri" w:eastAsia="Calibri" w:hAnsi="Calibri"/>
                <w:sz w:val="14"/>
                <w:szCs w:val="14"/>
                <w:b w:val="1"/>
                <w:bCs w:val="1"/>
                <w:color w:val="003478"/>
              </w:rPr>
              <w:t xml:space="preserve">A  </w:t>
            </w:r>
            <w:r>
              <w:rPr>
                <w:rFonts w:ascii="Calibri" w:cs="Calibri" w:eastAsia="Calibri" w:hAnsi="Calibri"/>
                <w:sz w:val="14"/>
                <w:szCs w:val="14"/>
                <w:color w:val="000000"/>
              </w:rPr>
              <w:t>Audit</w:t>
            </w:r>
          </w:p>
        </w:tc>
        <w:tc>
          <w:tcPr>
            <w:tcW w:w="0" w:type="dxa"/>
            <w:vAlign w:val="bottom"/>
          </w:tcPr>
          <w:p>
            <w:pPr>
              <w:spacing w:after="0"/>
              <w:rPr>
                <w:sz w:val="1"/>
                <w:szCs w:val="1"/>
                <w:color w:val="auto"/>
              </w:rPr>
            </w:pPr>
          </w:p>
        </w:tc>
      </w:tr>
      <w:tr>
        <w:trPr>
          <w:trHeight w:val="102"/>
        </w:trPr>
        <w:tc>
          <w:tcPr>
            <w:tcW w:w="1200" w:type="dxa"/>
            <w:vAlign w:val="bottom"/>
          </w:tcPr>
          <w:p>
            <w:pPr>
              <w:spacing w:after="0"/>
              <w:rPr>
                <w:sz w:val="8"/>
                <w:szCs w:val="8"/>
                <w:color w:val="auto"/>
              </w:rPr>
            </w:pPr>
          </w:p>
        </w:tc>
        <w:tc>
          <w:tcPr>
            <w:tcW w:w="15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003478"/>
              </w:rPr>
              <w:t>Reed-Klages</w:t>
            </w: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003478"/>
              </w:rPr>
              <w:t>Yarrington</w:t>
            </w:r>
          </w:p>
        </w:tc>
        <w:tc>
          <w:tcPr>
            <w:tcW w:w="100" w:type="dxa"/>
            <w:vAlign w:val="bottom"/>
            <w:tcBorders>
              <w:lef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 w:type="dxa"/>
            <w:vAlign w:val="bottom"/>
            <w:tcBorders>
              <w:left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2"/>
            <w:vMerge w:val="restart"/>
          </w:tcPr>
          <w:p>
            <w:pPr>
              <w:ind w:left="80"/>
              <w:spacing w:after="0"/>
              <w:rPr>
                <w:sz w:val="20"/>
                <w:szCs w:val="20"/>
                <w:color w:val="auto"/>
              </w:rPr>
            </w:pPr>
            <w:r>
              <w:rPr>
                <w:rFonts w:ascii="Calibri" w:cs="Calibri" w:eastAsia="Calibri" w:hAnsi="Calibri"/>
                <w:sz w:val="14"/>
                <w:szCs w:val="14"/>
                <w:b w:val="1"/>
                <w:bCs w:val="1"/>
                <w:color w:val="003478"/>
              </w:rPr>
              <w:t xml:space="preserve">C </w:t>
            </w:r>
            <w:r>
              <w:rPr>
                <w:rFonts w:ascii="Calibri" w:cs="Calibri" w:eastAsia="Calibri" w:hAnsi="Calibri"/>
                <w:sz w:val="14"/>
                <w:szCs w:val="14"/>
                <w:color w:val="000000"/>
              </w:rPr>
              <w:t>Classifed Business and Security</w:t>
            </w:r>
          </w:p>
        </w:tc>
        <w:tc>
          <w:tcPr>
            <w:tcW w:w="0" w:type="dxa"/>
            <w:vAlign w:val="bottom"/>
          </w:tcPr>
          <w:p>
            <w:pPr>
              <w:spacing w:after="0"/>
              <w:rPr>
                <w:sz w:val="1"/>
                <w:szCs w:val="1"/>
                <w:color w:val="auto"/>
              </w:rPr>
            </w:pPr>
          </w:p>
        </w:tc>
      </w:tr>
      <w:tr>
        <w:trPr>
          <w:trHeight w:val="90"/>
        </w:trPr>
        <w:tc>
          <w:tcPr>
            <w:tcW w:w="1200" w:type="dxa"/>
            <w:vAlign w:val="bottom"/>
          </w:tcPr>
          <w:p>
            <w:pPr>
              <w:spacing w:after="0"/>
              <w:rPr>
                <w:sz w:val="7"/>
                <w:szCs w:val="7"/>
                <w:color w:val="auto"/>
              </w:rPr>
            </w:pPr>
          </w:p>
        </w:tc>
        <w:tc>
          <w:tcPr>
            <w:tcW w:w="15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66</w:t>
            </w: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003478"/>
              </w:rPr>
              <w:t xml:space="preserve">Age: </w:t>
            </w:r>
            <w:r>
              <w:rPr>
                <w:rFonts w:ascii="Calibri" w:cs="Calibri" w:eastAsia="Calibri" w:hAnsi="Calibri"/>
                <w:sz w:val="14"/>
                <w:szCs w:val="14"/>
                <w:color w:val="000000"/>
              </w:rPr>
              <w:t>66</w:t>
            </w:r>
          </w:p>
        </w:tc>
        <w:tc>
          <w:tcPr>
            <w:tcW w:w="100" w:type="dxa"/>
            <w:vAlign w:val="bottom"/>
            <w:tcBorders>
              <w:lef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200" w:type="dxa"/>
            <w:vAlign w:val="bottom"/>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60" w:type="dxa"/>
            <w:vAlign w:val="bottom"/>
            <w:gridSpan w:val="2"/>
          </w:tcPr>
          <w:p>
            <w:pPr>
              <w:ind w:left="80"/>
              <w:spacing w:after="0" w:line="141" w:lineRule="exact"/>
              <w:rPr>
                <w:sz w:val="20"/>
                <w:szCs w:val="20"/>
                <w:color w:val="auto"/>
              </w:rPr>
            </w:pPr>
            <w:r>
              <w:rPr>
                <w:rFonts w:ascii="Calibri" w:cs="Calibri" w:eastAsia="Calibri" w:hAnsi="Calibri"/>
                <w:sz w:val="14"/>
                <w:szCs w:val="14"/>
                <w:b w:val="1"/>
                <w:bCs w:val="1"/>
                <w:color w:val="003478"/>
              </w:rPr>
              <w:t xml:space="preserve">M </w:t>
            </w:r>
            <w:r>
              <w:rPr>
                <w:rFonts w:ascii="Calibri" w:cs="Calibri" w:eastAsia="Calibri" w:hAnsi="Calibri"/>
                <w:sz w:val="14"/>
                <w:szCs w:val="14"/>
                <w:color w:val="000000"/>
              </w:rPr>
              <w:t>Management Development and</w:t>
            </w:r>
          </w:p>
        </w:tc>
        <w:tc>
          <w:tcPr>
            <w:tcW w:w="0" w:type="dxa"/>
            <w:vAlign w:val="bottom"/>
          </w:tcPr>
          <w:p>
            <w:pPr>
              <w:spacing w:after="0"/>
              <w:rPr>
                <w:sz w:val="1"/>
                <w:szCs w:val="1"/>
                <w:color w:val="auto"/>
              </w:rPr>
            </w:pPr>
          </w:p>
        </w:tc>
      </w:tr>
      <w:tr>
        <w:trPr>
          <w:trHeight w:val="112"/>
        </w:trPr>
        <w:tc>
          <w:tcPr>
            <w:tcW w:w="1200" w:type="dxa"/>
            <w:vAlign w:val="bottom"/>
          </w:tcPr>
          <w:p>
            <w:pPr>
              <w:spacing w:after="0"/>
              <w:rPr>
                <w:sz w:val="9"/>
                <w:szCs w:val="9"/>
                <w:color w:val="auto"/>
              </w:rPr>
            </w:pPr>
          </w:p>
        </w:tc>
        <w:tc>
          <w:tcPr>
            <w:tcW w:w="1540" w:type="dxa"/>
            <w:vAlign w:val="bottom"/>
            <w:tcBorders>
              <w:right w:val="single" w:sz="8" w:color="auto"/>
            </w:tcBorders>
          </w:tcPr>
          <w:p>
            <w:pPr>
              <w:ind w:left="20"/>
              <w:spacing w:after="0" w:line="113" w:lineRule="exact"/>
              <w:rPr>
                <w:sz w:val="20"/>
                <w:szCs w:val="20"/>
                <w:color w:val="auto"/>
              </w:rPr>
            </w:pPr>
            <w:r>
              <w:rPr>
                <w:rFonts w:ascii="Arial" w:cs="Arial" w:eastAsia="Arial" w:hAnsi="Arial"/>
                <w:sz w:val="13"/>
                <w:szCs w:val="13"/>
                <w:b w:val="1"/>
                <w:bCs w:val="1"/>
                <w:color w:val="003478"/>
              </w:rPr>
              <w:t>Director</w:t>
            </w: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tcPr>
          <w:p>
            <w:pPr>
              <w:ind w:left="80"/>
              <w:spacing w:after="0" w:line="113" w:lineRule="exact"/>
              <w:rPr>
                <w:sz w:val="20"/>
                <w:szCs w:val="20"/>
                <w:color w:val="auto"/>
              </w:rPr>
            </w:pPr>
            <w:r>
              <w:rPr>
                <w:rFonts w:ascii="Arial" w:cs="Arial" w:eastAsia="Arial" w:hAnsi="Arial"/>
                <w:sz w:val="13"/>
                <w:szCs w:val="13"/>
                <w:b w:val="1"/>
                <w:bCs w:val="1"/>
                <w:color w:val="003478"/>
              </w:rPr>
              <w:t>Director</w:t>
            </w:r>
          </w:p>
        </w:tc>
        <w:tc>
          <w:tcPr>
            <w:tcW w:w="100" w:type="dxa"/>
            <w:vAlign w:val="bottom"/>
            <w:tcBorders>
              <w:lef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760" w:type="dxa"/>
            <w:vAlign w:val="bottom"/>
            <w:gridSpan w:val="2"/>
            <w:vMerge w:val="restart"/>
          </w:tcPr>
          <w:p>
            <w:pPr>
              <w:ind w:left="280"/>
              <w:spacing w:after="0"/>
              <w:rPr>
                <w:sz w:val="20"/>
                <w:szCs w:val="20"/>
                <w:color w:val="auto"/>
              </w:rPr>
            </w:pPr>
            <w:r>
              <w:rPr>
                <w:rFonts w:ascii="Calibri" w:cs="Calibri" w:eastAsia="Calibri" w:hAnsi="Calibri"/>
                <w:sz w:val="14"/>
                <w:szCs w:val="14"/>
                <w:color w:val="auto"/>
              </w:rPr>
              <w:t>Compensaton</w:t>
            </w:r>
          </w:p>
        </w:tc>
        <w:tc>
          <w:tcPr>
            <w:tcW w:w="0" w:type="dxa"/>
            <w:vAlign w:val="bottom"/>
          </w:tcPr>
          <w:p>
            <w:pPr>
              <w:spacing w:after="0"/>
              <w:rPr>
                <w:sz w:val="1"/>
                <w:szCs w:val="1"/>
                <w:color w:val="auto"/>
              </w:rPr>
            </w:pPr>
          </w:p>
        </w:tc>
      </w:tr>
      <w:tr>
        <w:trPr>
          <w:trHeight w:val="89"/>
        </w:trPr>
        <w:tc>
          <w:tcPr>
            <w:tcW w:w="1200" w:type="dxa"/>
            <w:vAlign w:val="bottom"/>
          </w:tcPr>
          <w:p>
            <w:pPr>
              <w:spacing w:after="0"/>
              <w:rPr>
                <w:sz w:val="7"/>
                <w:szCs w:val="7"/>
                <w:color w:val="auto"/>
              </w:rPr>
            </w:pPr>
          </w:p>
        </w:tc>
        <w:tc>
          <w:tcPr>
            <w:tcW w:w="15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2019</w:t>
            </w: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003478"/>
              </w:rPr>
              <w:t xml:space="preserve">Since: </w:t>
            </w:r>
            <w:r>
              <w:rPr>
                <w:rFonts w:ascii="Calibri" w:cs="Calibri" w:eastAsia="Calibri" w:hAnsi="Calibri"/>
                <w:sz w:val="14"/>
                <w:szCs w:val="14"/>
                <w:color w:val="000000"/>
              </w:rPr>
              <w:t>2021</w:t>
            </w:r>
          </w:p>
        </w:tc>
        <w:tc>
          <w:tcPr>
            <w:tcW w:w="100" w:type="dxa"/>
            <w:vAlign w:val="bottom"/>
            <w:tcBorders>
              <w:lef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00" w:type="dxa"/>
            <w:vAlign w:val="bottom"/>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Borders>
              <w:lef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760" w:type="dxa"/>
            <w:vAlign w:val="bottom"/>
            <w:gridSpan w:val="2"/>
            <w:vMerge w:val="restart"/>
          </w:tcPr>
          <w:p>
            <w:pPr>
              <w:ind w:left="80"/>
              <w:spacing w:after="0"/>
              <w:rPr>
                <w:sz w:val="20"/>
                <w:szCs w:val="20"/>
                <w:color w:val="auto"/>
              </w:rPr>
            </w:pPr>
            <w:r>
              <w:rPr>
                <w:rFonts w:ascii="Calibri" w:cs="Calibri" w:eastAsia="Calibri" w:hAnsi="Calibri"/>
                <w:sz w:val="14"/>
                <w:szCs w:val="14"/>
                <w:b w:val="1"/>
                <w:bCs w:val="1"/>
                <w:color w:val="003478"/>
              </w:rPr>
              <w:t xml:space="preserve">N  </w:t>
            </w:r>
            <w:r>
              <w:rPr>
                <w:rFonts w:ascii="Calibri" w:cs="Calibri" w:eastAsia="Calibri" w:hAnsi="Calibri"/>
                <w:sz w:val="14"/>
                <w:szCs w:val="14"/>
                <w:color w:val="000000"/>
              </w:rPr>
              <w:t>Nominatng and Corporate Governance</w:t>
            </w:r>
          </w:p>
        </w:tc>
        <w:tc>
          <w:tcPr>
            <w:tcW w:w="0" w:type="dxa"/>
            <w:vAlign w:val="bottom"/>
          </w:tcPr>
          <w:p>
            <w:pPr>
              <w:spacing w:after="0"/>
              <w:rPr>
                <w:sz w:val="1"/>
                <w:szCs w:val="1"/>
                <w:color w:val="auto"/>
              </w:rPr>
            </w:pPr>
          </w:p>
        </w:tc>
      </w:tr>
      <w:tr>
        <w:trPr>
          <w:trHeight w:val="55"/>
        </w:trPr>
        <w:tc>
          <w:tcPr>
            <w:tcW w:w="1200" w:type="dxa"/>
            <w:vAlign w:val="bottom"/>
            <w:vMerge w:val="restart"/>
            <w:shd w:val="clear" w:color="auto" w:fill="939598"/>
          </w:tcPr>
          <w:p>
            <w:pPr>
              <w:ind w:left="240"/>
              <w:spacing w:after="0"/>
              <w:rPr>
                <w:sz w:val="20"/>
                <w:szCs w:val="20"/>
                <w:color w:val="auto"/>
              </w:rPr>
            </w:pPr>
            <w:r>
              <w:rPr>
                <w:rFonts w:ascii="Calibri" w:cs="Calibri" w:eastAsia="Calibri" w:hAnsi="Calibri"/>
                <w:sz w:val="13"/>
                <w:szCs w:val="13"/>
                <w:b w:val="1"/>
                <w:bCs w:val="1"/>
                <w:color w:val="FFFFFF"/>
              </w:rPr>
              <w:t>Independent</w:t>
            </w:r>
          </w:p>
        </w:tc>
        <w:tc>
          <w:tcPr>
            <w:tcW w:w="15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vMerge w:val="restart"/>
            <w:shd w:val="clear" w:color="auto" w:fill="939598"/>
          </w:tcPr>
          <w:p>
            <w:pPr>
              <w:ind w:left="240"/>
              <w:spacing w:after="0"/>
              <w:rPr>
                <w:sz w:val="20"/>
                <w:szCs w:val="20"/>
                <w:color w:val="auto"/>
              </w:rPr>
            </w:pPr>
            <w:r>
              <w:rPr>
                <w:rFonts w:ascii="Calibri" w:cs="Calibri" w:eastAsia="Calibri" w:hAnsi="Calibri"/>
                <w:sz w:val="13"/>
                <w:szCs w:val="13"/>
                <w:b w:val="1"/>
                <w:bCs w:val="1"/>
                <w:color w:val="FFFFFF"/>
              </w:rPr>
              <w:t>Independent</w:t>
            </w:r>
          </w:p>
        </w:tc>
        <w:tc>
          <w:tcPr>
            <w:tcW w:w="1520" w:type="dxa"/>
            <w:vAlign w:val="bottom"/>
          </w:tcPr>
          <w:p>
            <w:pPr>
              <w:spacing w:after="0"/>
              <w:rPr>
                <w:sz w:val="4"/>
                <w:szCs w:val="4"/>
                <w:color w:val="auto"/>
              </w:rPr>
            </w:pPr>
          </w:p>
        </w:tc>
        <w:tc>
          <w:tcPr>
            <w:tcW w:w="100" w:type="dxa"/>
            <w:vAlign w:val="bottom"/>
            <w:tcBorders>
              <w:lef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shd w:val="clear" w:color="auto" w:fill="939598"/>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shd w:val="clear" w:color="auto" w:fill="939598"/>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gridSpan w:val="2"/>
          </w:tcPr>
          <w:p>
            <w:pPr>
              <w:ind w:left="120"/>
              <w:spacing w:after="0"/>
              <w:rPr>
                <w:sz w:val="20"/>
                <w:szCs w:val="20"/>
                <w:color w:val="auto"/>
              </w:rPr>
            </w:pPr>
            <w:r>
              <w:rPr>
                <w:rFonts w:ascii="Calibri" w:cs="Calibri" w:eastAsia="Calibri" w:hAnsi="Calibri"/>
                <w:sz w:val="14"/>
                <w:szCs w:val="14"/>
                <w:b w:val="1"/>
                <w:bCs w:val="1"/>
                <w:color w:val="003478"/>
              </w:rPr>
              <w:t xml:space="preserve">* </w:t>
            </w:r>
            <w:r>
              <w:rPr>
                <w:rFonts w:ascii="Calibri" w:cs="Calibri" w:eastAsia="Calibri" w:hAnsi="Calibri"/>
                <w:sz w:val="14"/>
                <w:szCs w:val="14"/>
                <w:color w:val="000000"/>
              </w:rPr>
              <w:t>Chair</w:t>
            </w:r>
          </w:p>
        </w:tc>
        <w:tc>
          <w:tcPr>
            <w:tcW w:w="0" w:type="dxa"/>
            <w:vAlign w:val="bottom"/>
          </w:tcPr>
          <w:p>
            <w:pPr>
              <w:spacing w:after="0"/>
              <w:rPr>
                <w:sz w:val="1"/>
                <w:szCs w:val="1"/>
                <w:color w:val="auto"/>
              </w:rPr>
            </w:pPr>
          </w:p>
        </w:tc>
      </w:tr>
      <w:tr>
        <w:trPr>
          <w:trHeight w:val="148"/>
        </w:trPr>
        <w:tc>
          <w:tcPr>
            <w:tcW w:w="1200" w:type="dxa"/>
            <w:vAlign w:val="bottom"/>
          </w:tcPr>
          <w:p>
            <w:pPr>
              <w:ind w:left="20"/>
              <w:spacing w:after="0" w:line="148" w:lineRule="exact"/>
              <w:rPr>
                <w:sz w:val="20"/>
                <w:szCs w:val="20"/>
                <w:color w:val="auto"/>
              </w:rPr>
            </w:pPr>
            <w:r>
              <w:rPr>
                <w:rFonts w:ascii="Calibri" w:cs="Calibri" w:eastAsia="Calibri" w:hAnsi="Calibri"/>
                <w:sz w:val="14"/>
                <w:szCs w:val="14"/>
                <w:color w:val="auto"/>
              </w:rPr>
              <w:t>Retred Chairman,</w:t>
            </w:r>
          </w:p>
        </w:tc>
        <w:tc>
          <w:tcPr>
            <w:tcW w:w="1540" w:type="dxa"/>
            <w:vAlign w:val="bottom"/>
            <w:tcBorders>
              <w:right w:val="single" w:sz="8" w:color="auto"/>
            </w:tcBorders>
          </w:tcPr>
          <w:p>
            <w:pPr>
              <w:spacing w:after="0" w:line="148" w:lineRule="exact"/>
              <w:rPr>
                <w:sz w:val="20"/>
                <w:szCs w:val="20"/>
                <w:color w:val="auto"/>
              </w:rPr>
            </w:pPr>
            <w:r>
              <w:rPr>
                <w:rFonts w:ascii="Calibri" w:cs="Calibri" w:eastAsia="Calibri" w:hAnsi="Calibri"/>
                <w:sz w:val="14"/>
                <w:szCs w:val="14"/>
                <w:color w:val="auto"/>
              </w:rPr>
              <w:t>President &amp; CEO,</w:t>
            </w:r>
          </w:p>
        </w:tc>
        <w:tc>
          <w:tcPr>
            <w:tcW w:w="80" w:type="dxa"/>
            <w:vAlign w:val="bottom"/>
          </w:tcPr>
          <w:p>
            <w:pPr>
              <w:spacing w:after="0"/>
              <w:rPr>
                <w:sz w:val="12"/>
                <w:szCs w:val="12"/>
                <w:color w:val="auto"/>
              </w:rPr>
            </w:pPr>
          </w:p>
        </w:tc>
        <w:tc>
          <w:tcPr>
            <w:tcW w:w="1220" w:type="dxa"/>
            <w:vAlign w:val="bottom"/>
          </w:tcPr>
          <w:p>
            <w:pPr>
              <w:ind w:left="20"/>
              <w:spacing w:after="0" w:line="148" w:lineRule="exact"/>
              <w:rPr>
                <w:sz w:val="20"/>
                <w:szCs w:val="20"/>
                <w:color w:val="auto"/>
              </w:rPr>
            </w:pPr>
            <w:r>
              <w:rPr>
                <w:rFonts w:ascii="Calibri" w:cs="Calibri" w:eastAsia="Calibri" w:hAnsi="Calibri"/>
                <w:sz w:val="14"/>
                <w:szCs w:val="14"/>
                <w:color w:val="auto"/>
                <w:w w:val="95"/>
              </w:rPr>
              <w:t>Retred Chief Financial</w:t>
            </w:r>
          </w:p>
        </w:tc>
        <w:tc>
          <w:tcPr>
            <w:tcW w:w="1520" w:type="dxa"/>
            <w:vAlign w:val="bottom"/>
          </w:tcPr>
          <w:p>
            <w:pPr>
              <w:jc w:val="right"/>
              <w:ind w:right="388"/>
              <w:spacing w:after="0" w:line="148" w:lineRule="exact"/>
              <w:rPr>
                <w:sz w:val="20"/>
                <w:szCs w:val="20"/>
                <w:color w:val="auto"/>
              </w:rPr>
            </w:pPr>
            <w:r>
              <w:rPr>
                <w:rFonts w:ascii="Calibri" w:cs="Calibri" w:eastAsia="Calibri" w:hAnsi="Calibri"/>
                <w:sz w:val="14"/>
                <w:szCs w:val="14"/>
                <w:color w:val="auto"/>
              </w:rPr>
              <w:t>Ofcer, Chevron</w:t>
            </w:r>
          </w:p>
        </w:tc>
        <w:tc>
          <w:tcPr>
            <w:tcW w:w="100" w:type="dxa"/>
            <w:vAlign w:val="bottom"/>
            <w:tcBorders>
              <w:lef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60" w:type="dxa"/>
            <w:vAlign w:val="bottom"/>
            <w:gridSpan w:val="2"/>
          </w:tcPr>
          <w:p>
            <w:pPr>
              <w:ind w:left="40"/>
              <w:spacing w:after="0" w:line="148" w:lineRule="exact"/>
              <w:rPr>
                <w:sz w:val="20"/>
                <w:szCs w:val="20"/>
                <w:color w:val="auto"/>
              </w:rPr>
            </w:pPr>
            <w:r>
              <w:rPr>
                <w:rFonts w:ascii="Calibri" w:cs="Calibri" w:eastAsia="Calibri" w:hAnsi="Calibri"/>
                <w:sz w:val="14"/>
                <w:szCs w:val="14"/>
                <w:b w:val="1"/>
                <w:bCs w:val="1"/>
                <w:color w:val="003478"/>
              </w:rPr>
              <w:t xml:space="preserve">** </w:t>
            </w:r>
            <w:r>
              <w:rPr>
                <w:rFonts w:ascii="Calibri" w:cs="Calibri" w:eastAsia="Calibri" w:hAnsi="Calibri"/>
                <w:sz w:val="14"/>
                <w:szCs w:val="14"/>
                <w:color w:val="000000"/>
              </w:rPr>
              <w:t>Afer the Annual Meetng, Mr. Donovan</w:t>
            </w:r>
          </w:p>
        </w:tc>
        <w:tc>
          <w:tcPr>
            <w:tcW w:w="0" w:type="dxa"/>
            <w:vAlign w:val="bottom"/>
          </w:tcPr>
          <w:p>
            <w:pPr>
              <w:spacing w:after="0"/>
              <w:rPr>
                <w:sz w:val="1"/>
                <w:szCs w:val="1"/>
                <w:color w:val="auto"/>
              </w:rPr>
            </w:pPr>
          </w:p>
        </w:tc>
      </w:tr>
      <w:tr>
        <w:trPr>
          <w:trHeight w:val="197"/>
        </w:trPr>
        <w:tc>
          <w:tcPr>
            <w:tcW w:w="274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14"/>
                <w:szCs w:val="14"/>
                <w:color w:val="auto"/>
              </w:rPr>
              <w:t>Sempra Energy</w:t>
            </w:r>
          </w:p>
        </w:tc>
        <w:tc>
          <w:tcPr>
            <w:tcW w:w="80" w:type="dxa"/>
            <w:vAlign w:val="bottom"/>
          </w:tcPr>
          <w:p>
            <w:pPr>
              <w:spacing w:after="0"/>
              <w:rPr>
                <w:sz w:val="17"/>
                <w:szCs w:val="17"/>
                <w:color w:val="auto"/>
              </w:rPr>
            </w:pPr>
          </w:p>
        </w:tc>
        <w:tc>
          <w:tcPr>
            <w:tcW w:w="2740" w:type="dxa"/>
            <w:vAlign w:val="bottom"/>
            <w:gridSpan w:val="2"/>
          </w:tcPr>
          <w:p>
            <w:pPr>
              <w:ind w:left="20"/>
              <w:spacing w:after="0"/>
              <w:rPr>
                <w:sz w:val="20"/>
                <w:szCs w:val="20"/>
                <w:color w:val="auto"/>
              </w:rPr>
            </w:pPr>
            <w:r>
              <w:rPr>
                <w:rFonts w:ascii="Calibri" w:cs="Calibri" w:eastAsia="Calibri" w:hAnsi="Calibri"/>
                <w:sz w:val="14"/>
                <w:szCs w:val="14"/>
                <w:color w:val="auto"/>
              </w:rPr>
              <w:t>Corporaton</w:t>
            </w:r>
          </w:p>
        </w:tc>
        <w:tc>
          <w:tcPr>
            <w:tcW w:w="10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60" w:type="dxa"/>
            <w:vAlign w:val="bottom"/>
            <w:gridSpan w:val="2"/>
          </w:tcPr>
          <w:p>
            <w:pPr>
              <w:ind w:left="280"/>
              <w:spacing w:after="0"/>
              <w:rPr>
                <w:sz w:val="20"/>
                <w:szCs w:val="20"/>
                <w:color w:val="auto"/>
              </w:rPr>
            </w:pPr>
            <w:r>
              <w:rPr>
                <w:rFonts w:ascii="Calibri" w:cs="Calibri" w:eastAsia="Calibri" w:hAnsi="Calibri"/>
                <w:sz w:val="14"/>
                <w:szCs w:val="14"/>
                <w:color w:val="auto"/>
              </w:rPr>
              <w:t>will become Chair of the Compensaton</w:t>
            </w:r>
          </w:p>
        </w:tc>
        <w:tc>
          <w:tcPr>
            <w:tcW w:w="0" w:type="dxa"/>
            <w:vAlign w:val="bottom"/>
          </w:tcPr>
          <w:p>
            <w:pPr>
              <w:spacing w:after="0"/>
              <w:rPr>
                <w:sz w:val="1"/>
                <w:szCs w:val="1"/>
                <w:color w:val="auto"/>
              </w:rPr>
            </w:pPr>
          </w:p>
        </w:tc>
      </w:tr>
      <w:tr>
        <w:trPr>
          <w:trHeight w:val="168"/>
        </w:trPr>
        <w:tc>
          <w:tcPr>
            <w:tcW w:w="2740" w:type="dxa"/>
            <w:vAlign w:val="bottom"/>
            <w:tcBorders>
              <w:right w:val="single" w:sz="8" w:color="auto"/>
            </w:tcBorders>
            <w:gridSpan w:val="2"/>
          </w:tcPr>
          <w:p>
            <w:pPr>
              <w:ind w:left="20"/>
              <w:spacing w:after="0" w:line="168" w:lineRule="exact"/>
              <w:rPr>
                <w:sz w:val="20"/>
                <w:szCs w:val="20"/>
                <w:color w:val="auto"/>
              </w:rPr>
            </w:pPr>
            <w:r>
              <w:rPr>
                <w:rFonts w:ascii="Arial" w:cs="Arial" w:eastAsia="Arial" w:hAnsi="Arial"/>
                <w:sz w:val="14"/>
                <w:szCs w:val="14"/>
                <w:b w:val="1"/>
                <w:bCs w:val="1"/>
                <w:color w:val="003478"/>
              </w:rPr>
              <w:t xml:space="preserve">Committees: </w:t>
            </w:r>
            <w:r>
              <w:rPr>
                <w:rFonts w:ascii="Calibri" w:cs="Calibri" w:eastAsia="Calibri" w:hAnsi="Calibri"/>
                <w:sz w:val="14"/>
                <w:szCs w:val="14"/>
                <w:b w:val="1"/>
                <w:bCs w:val="1"/>
                <w:color w:val="003478"/>
              </w:rPr>
              <w:t>M, N</w:t>
            </w:r>
          </w:p>
        </w:tc>
        <w:tc>
          <w:tcPr>
            <w:tcW w:w="80" w:type="dxa"/>
            <w:vAlign w:val="bottom"/>
          </w:tcPr>
          <w:p>
            <w:pPr>
              <w:spacing w:after="0"/>
              <w:rPr>
                <w:sz w:val="14"/>
                <w:szCs w:val="14"/>
                <w:color w:val="auto"/>
              </w:rPr>
            </w:pPr>
          </w:p>
        </w:tc>
        <w:tc>
          <w:tcPr>
            <w:tcW w:w="2740" w:type="dxa"/>
            <w:vAlign w:val="bottom"/>
            <w:gridSpan w:val="2"/>
          </w:tcPr>
          <w:p>
            <w:pPr>
              <w:ind w:left="20"/>
              <w:spacing w:after="0" w:line="168" w:lineRule="exact"/>
              <w:rPr>
                <w:sz w:val="20"/>
                <w:szCs w:val="20"/>
                <w:color w:val="auto"/>
              </w:rPr>
            </w:pPr>
            <w:r>
              <w:rPr>
                <w:rFonts w:ascii="Arial" w:cs="Arial" w:eastAsia="Arial" w:hAnsi="Arial"/>
                <w:sz w:val="14"/>
                <w:szCs w:val="14"/>
                <w:color w:val="003478"/>
              </w:rPr>
              <w:t xml:space="preserve">Committees: </w:t>
            </w:r>
            <w:r>
              <w:rPr>
                <w:rFonts w:ascii="Calibri" w:cs="Calibri" w:eastAsia="Calibri" w:hAnsi="Calibri"/>
                <w:sz w:val="14"/>
                <w:szCs w:val="14"/>
                <w:b w:val="1"/>
                <w:bCs w:val="1"/>
                <w:color w:val="003478"/>
              </w:rPr>
              <w:t>A, M</w:t>
            </w:r>
          </w:p>
        </w:tc>
        <w:tc>
          <w:tcPr>
            <w:tcW w:w="100" w:type="dxa"/>
            <w:vAlign w:val="bottom"/>
            <w:tcBorders>
              <w:lef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60" w:type="dxa"/>
            <w:vAlign w:val="bottom"/>
            <w:gridSpan w:val="2"/>
          </w:tcPr>
          <w:p>
            <w:pPr>
              <w:ind w:left="280"/>
              <w:spacing w:after="0" w:line="168" w:lineRule="exact"/>
              <w:rPr>
                <w:sz w:val="20"/>
                <w:szCs w:val="20"/>
                <w:color w:val="auto"/>
              </w:rPr>
            </w:pPr>
            <w:r>
              <w:rPr>
                <w:rFonts w:ascii="Calibri" w:cs="Calibri" w:eastAsia="Calibri" w:hAnsi="Calibri"/>
                <w:sz w:val="14"/>
                <w:szCs w:val="14"/>
                <w:color w:val="auto"/>
              </w:rPr>
              <w:t>Commitee and step down from the Audit</w:t>
            </w:r>
          </w:p>
        </w:tc>
        <w:tc>
          <w:tcPr>
            <w:tcW w:w="0" w:type="dxa"/>
            <w:vAlign w:val="bottom"/>
          </w:tcPr>
          <w:p>
            <w:pPr>
              <w:spacing w:after="0"/>
              <w:rPr>
                <w:sz w:val="1"/>
                <w:szCs w:val="1"/>
                <w:color w:val="auto"/>
              </w:rPr>
            </w:pPr>
          </w:p>
        </w:tc>
      </w:tr>
      <w:tr>
        <w:trPr>
          <w:trHeight w:val="175"/>
        </w:trPr>
        <w:tc>
          <w:tcPr>
            <w:tcW w:w="27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003478"/>
              </w:rPr>
              <w:t xml:space="preserve">Other Public Boards: </w:t>
            </w:r>
            <w:r>
              <w:rPr>
                <w:rFonts w:ascii="Calibri" w:cs="Calibri" w:eastAsia="Calibri" w:hAnsi="Calibri"/>
                <w:sz w:val="14"/>
                <w:szCs w:val="14"/>
                <w:color w:val="000000"/>
              </w:rPr>
              <w:t>Chevron</w:t>
            </w:r>
          </w:p>
        </w:tc>
        <w:tc>
          <w:tcPr>
            <w:tcW w:w="80" w:type="dxa"/>
            <w:vAlign w:val="bottom"/>
          </w:tcPr>
          <w:p>
            <w:pPr>
              <w:spacing w:after="0"/>
              <w:rPr>
                <w:sz w:val="15"/>
                <w:szCs w:val="15"/>
                <w:color w:val="auto"/>
              </w:rPr>
            </w:pPr>
          </w:p>
        </w:tc>
        <w:tc>
          <w:tcPr>
            <w:tcW w:w="2740" w:type="dxa"/>
            <w:vAlign w:val="bottom"/>
            <w:gridSpan w:val="2"/>
          </w:tcPr>
          <w:p>
            <w:pPr>
              <w:ind w:left="20"/>
              <w:spacing w:after="0"/>
              <w:rPr>
                <w:sz w:val="20"/>
                <w:szCs w:val="20"/>
                <w:color w:val="auto"/>
              </w:rPr>
            </w:pPr>
            <w:r>
              <w:rPr>
                <w:rFonts w:ascii="Arial" w:cs="Arial" w:eastAsia="Arial" w:hAnsi="Arial"/>
                <w:sz w:val="14"/>
                <w:szCs w:val="14"/>
                <w:color w:val="003478"/>
              </w:rPr>
              <w:t xml:space="preserve">Other Public Boards: </w:t>
            </w:r>
            <w:r>
              <w:rPr>
                <w:rFonts w:ascii="Calibri" w:cs="Calibri" w:eastAsia="Calibri" w:hAnsi="Calibri"/>
                <w:sz w:val="14"/>
                <w:szCs w:val="14"/>
                <w:color w:val="000000"/>
              </w:rPr>
              <w:t>None</w:t>
            </w:r>
          </w:p>
        </w:tc>
        <w:tc>
          <w:tcPr>
            <w:tcW w:w="100" w:type="dxa"/>
            <w:vAlign w:val="bottom"/>
            <w:tcBorders>
              <w:left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gridSpan w:val="2"/>
          </w:tcPr>
          <w:p>
            <w:pPr>
              <w:ind w:left="280"/>
              <w:spacing w:after="0"/>
              <w:rPr>
                <w:sz w:val="20"/>
                <w:szCs w:val="20"/>
                <w:color w:val="auto"/>
              </w:rPr>
            </w:pPr>
            <w:r>
              <w:rPr>
                <w:rFonts w:ascii="Calibri" w:cs="Calibri" w:eastAsia="Calibri" w:hAnsi="Calibri"/>
                <w:sz w:val="14"/>
                <w:szCs w:val="14"/>
                <w:color w:val="auto"/>
              </w:rPr>
              <w:t>Commitee and Mr. Dunford will become</w:t>
            </w:r>
          </w:p>
        </w:tc>
        <w:tc>
          <w:tcPr>
            <w:tcW w:w="0" w:type="dxa"/>
            <w:vAlign w:val="bottom"/>
          </w:tcPr>
          <w:p>
            <w:pPr>
              <w:spacing w:after="0"/>
              <w:rPr>
                <w:sz w:val="1"/>
                <w:szCs w:val="1"/>
                <w:color w:val="auto"/>
              </w:rPr>
            </w:pPr>
          </w:p>
        </w:tc>
      </w:tr>
      <w:tr>
        <w:trPr>
          <w:trHeight w:val="149"/>
        </w:trPr>
        <w:tc>
          <w:tcPr>
            <w:tcW w:w="2740" w:type="dxa"/>
            <w:vAlign w:val="bottom"/>
            <w:tcBorders>
              <w:right w:val="single" w:sz="8" w:color="auto"/>
            </w:tcBorders>
            <w:gridSpan w:val="2"/>
          </w:tcPr>
          <w:p>
            <w:pPr>
              <w:ind w:left="20"/>
              <w:spacing w:after="0" w:line="149" w:lineRule="exact"/>
              <w:rPr>
                <w:sz w:val="20"/>
                <w:szCs w:val="20"/>
                <w:color w:val="auto"/>
              </w:rPr>
            </w:pPr>
            <w:r>
              <w:rPr>
                <w:rFonts w:ascii="Calibri" w:cs="Calibri" w:eastAsia="Calibri" w:hAnsi="Calibri"/>
                <w:sz w:val="14"/>
                <w:szCs w:val="14"/>
                <w:color w:val="auto"/>
              </w:rPr>
              <w:t>Corporaton (Audit*);</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60" w:type="dxa"/>
            <w:vAlign w:val="bottom"/>
            <w:gridSpan w:val="2"/>
          </w:tcPr>
          <w:p>
            <w:pPr>
              <w:ind w:left="280"/>
              <w:spacing w:after="0" w:line="149" w:lineRule="exact"/>
              <w:rPr>
                <w:sz w:val="20"/>
                <w:szCs w:val="20"/>
                <w:color w:val="auto"/>
              </w:rPr>
            </w:pPr>
            <w:r>
              <w:rPr>
                <w:rFonts w:ascii="Calibri" w:cs="Calibri" w:eastAsia="Calibri" w:hAnsi="Calibri"/>
                <w:sz w:val="14"/>
                <w:szCs w:val="14"/>
                <w:color w:val="auto"/>
              </w:rPr>
              <w:t>Chair of the Classifed Business and</w:t>
            </w:r>
          </w:p>
        </w:tc>
        <w:tc>
          <w:tcPr>
            <w:tcW w:w="0" w:type="dxa"/>
            <w:vAlign w:val="bottom"/>
          </w:tcPr>
          <w:p>
            <w:pPr>
              <w:spacing w:after="0"/>
              <w:rPr>
                <w:sz w:val="1"/>
                <w:szCs w:val="1"/>
                <w:color w:val="auto"/>
              </w:rPr>
            </w:pPr>
          </w:p>
        </w:tc>
      </w:tr>
      <w:tr>
        <w:trPr>
          <w:trHeight w:val="163"/>
        </w:trPr>
        <w:tc>
          <w:tcPr>
            <w:tcW w:w="2740" w:type="dxa"/>
            <w:vAlign w:val="bottom"/>
            <w:tcBorders>
              <w:right w:val="single" w:sz="8" w:color="auto"/>
            </w:tcBorders>
            <w:gridSpan w:val="2"/>
          </w:tcPr>
          <w:p>
            <w:pPr>
              <w:ind w:left="20"/>
              <w:spacing w:after="0" w:line="163" w:lineRule="exact"/>
              <w:rPr>
                <w:sz w:val="20"/>
                <w:szCs w:val="20"/>
                <w:color w:val="auto"/>
              </w:rPr>
            </w:pPr>
            <w:r>
              <w:rPr>
                <w:rFonts w:ascii="Calibri" w:cs="Calibri" w:eastAsia="Calibri" w:hAnsi="Calibri"/>
                <w:sz w:val="14"/>
                <w:szCs w:val="14"/>
                <w:color w:val="auto"/>
              </w:rPr>
              <w:t>Caterpillar Inc. (Presiding Director; Executve</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60" w:type="dxa"/>
            <w:vAlign w:val="bottom"/>
            <w:gridSpan w:val="2"/>
          </w:tcPr>
          <w:p>
            <w:pPr>
              <w:ind w:left="280"/>
              <w:spacing w:after="0" w:line="163" w:lineRule="exact"/>
              <w:rPr>
                <w:sz w:val="20"/>
                <w:szCs w:val="20"/>
                <w:color w:val="auto"/>
              </w:rPr>
            </w:pPr>
            <w:r>
              <w:rPr>
                <w:rFonts w:ascii="Calibri" w:cs="Calibri" w:eastAsia="Calibri" w:hAnsi="Calibri"/>
                <w:sz w:val="14"/>
                <w:szCs w:val="14"/>
                <w:color w:val="auto"/>
              </w:rPr>
              <w:t>Security Commitee</w:t>
            </w:r>
          </w:p>
        </w:tc>
        <w:tc>
          <w:tcPr>
            <w:tcW w:w="0" w:type="dxa"/>
            <w:vAlign w:val="bottom"/>
          </w:tcPr>
          <w:p>
            <w:pPr>
              <w:spacing w:after="0"/>
              <w:rPr>
                <w:sz w:val="1"/>
                <w:szCs w:val="1"/>
                <w:color w:val="auto"/>
              </w:rPr>
            </w:pPr>
          </w:p>
        </w:tc>
      </w:tr>
      <w:tr>
        <w:trPr>
          <w:trHeight w:val="134"/>
        </w:trPr>
        <w:tc>
          <w:tcPr>
            <w:tcW w:w="2740" w:type="dxa"/>
            <w:vAlign w:val="bottom"/>
            <w:tcBorders>
              <w:right w:val="single" w:sz="8" w:color="auto"/>
            </w:tcBorders>
            <w:gridSpan w:val="2"/>
          </w:tcPr>
          <w:p>
            <w:pPr>
              <w:ind w:left="20"/>
              <w:spacing w:after="0" w:line="134" w:lineRule="exact"/>
              <w:rPr>
                <w:sz w:val="20"/>
                <w:szCs w:val="20"/>
                <w:color w:val="auto"/>
              </w:rPr>
            </w:pPr>
            <w:r>
              <w:rPr>
                <w:rFonts w:ascii="Calibri" w:cs="Calibri" w:eastAsia="Calibri" w:hAnsi="Calibri"/>
                <w:sz w:val="14"/>
                <w:szCs w:val="14"/>
                <w:color w:val="auto"/>
              </w:rPr>
              <w:t>Commitee; Nominatng and Governance</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740" w:type="dxa"/>
            <w:vAlign w:val="bottom"/>
            <w:tcBorders>
              <w:right w:val="single" w:sz="8" w:color="auto"/>
            </w:tcBorders>
            <w:gridSpan w:val="2"/>
          </w:tcPr>
          <w:p>
            <w:pPr>
              <w:ind w:left="20"/>
              <w:spacing w:after="0"/>
              <w:rPr>
                <w:sz w:val="20"/>
                <w:szCs w:val="20"/>
                <w:color w:val="auto"/>
              </w:rPr>
            </w:pPr>
            <w:r>
              <w:rPr>
                <w:rFonts w:ascii="Calibri" w:cs="Calibri" w:eastAsia="Calibri" w:hAnsi="Calibri"/>
                <w:sz w:val="14"/>
                <w:szCs w:val="14"/>
                <w:color w:val="auto"/>
              </w:rPr>
              <w:t>Commitee*)</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200" w:type="dxa"/>
            <w:vAlign w:val="bottom"/>
            <w:tcBorders>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left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1"/>
        </w:trPr>
        <w:tc>
          <w:tcPr>
            <w:tcW w:w="1200" w:type="dxa"/>
            <w:vAlign w:val="bottom"/>
          </w:tcPr>
          <w:p>
            <w:pPr>
              <w:ind w:left="20"/>
              <w:spacing w:after="0"/>
              <w:rPr>
                <w:sz w:val="20"/>
                <w:szCs w:val="20"/>
                <w:color w:val="auto"/>
              </w:rPr>
            </w:pPr>
            <w:r>
              <w:rPr>
                <w:rFonts w:ascii="Arial" w:cs="Arial" w:eastAsia="Arial" w:hAnsi="Arial"/>
                <w:sz w:val="14"/>
                <w:szCs w:val="14"/>
                <w:b w:val="1"/>
                <w:bCs w:val="1"/>
                <w:color w:val="959595"/>
              </w:rPr>
              <w:t>6</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-7028815</wp:posOffset>
            </wp:positionV>
            <wp:extent cx="625475" cy="5911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5475" cy="59118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-7045960</wp:posOffset>
            </wp:positionV>
            <wp:extent cx="625475" cy="6261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5475" cy="62611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-7037705</wp:posOffset>
            </wp:positionV>
            <wp:extent cx="625475" cy="6261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5475" cy="62611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-7037705</wp:posOffset>
            </wp:positionV>
            <wp:extent cx="625475" cy="6261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5475" cy="62611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-5725795</wp:posOffset>
            </wp:positionV>
            <wp:extent cx="625475" cy="6254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5475" cy="62547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-5725795</wp:posOffset>
            </wp:positionV>
            <wp:extent cx="625475" cy="6254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5475" cy="62547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-5725795</wp:posOffset>
            </wp:positionV>
            <wp:extent cx="625475" cy="6254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5475" cy="62547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-5725795</wp:posOffset>
            </wp:positionV>
            <wp:extent cx="625475" cy="6254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5475" cy="6254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-4157345</wp:posOffset>
            </wp:positionV>
            <wp:extent cx="625475" cy="6254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5475" cy="62547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-4157345</wp:posOffset>
            </wp:positionV>
            <wp:extent cx="625475" cy="6254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5475" cy="62547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-4157345</wp:posOffset>
            </wp:positionV>
            <wp:extent cx="625475" cy="6254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5475" cy="6254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-2459990</wp:posOffset>
            </wp:positionV>
            <wp:extent cx="625475" cy="6254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5475" cy="62547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-2459990</wp:posOffset>
            </wp:positionV>
            <wp:extent cx="625475" cy="6254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5475" cy="62547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-454025</wp:posOffset>
            </wp:positionV>
            <wp:extent cx="1071880" cy="180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Board Composition and Effectiveness</w:t>
      </w:r>
    </w:p>
    <w:p>
      <w:pPr>
        <w:spacing w:after="0" w:line="144" w:lineRule="exact"/>
        <w:rPr>
          <w:sz w:val="20"/>
          <w:szCs w:val="20"/>
          <w:color w:val="auto"/>
        </w:rPr>
      </w:pPr>
    </w:p>
    <w:p>
      <w:pPr>
        <w:ind w:right="60"/>
        <w:spacing w:after="0" w:line="253" w:lineRule="auto"/>
        <w:rPr>
          <w:sz w:val="20"/>
          <w:szCs w:val="20"/>
          <w:color w:val="auto"/>
        </w:rPr>
      </w:pPr>
      <w:r>
        <w:rPr>
          <w:rFonts w:ascii="Calibri" w:cs="Calibri" w:eastAsia="Calibri" w:hAnsi="Calibri"/>
          <w:sz w:val="17"/>
          <w:szCs w:val="17"/>
          <w:color w:val="auto"/>
        </w:rPr>
        <w:t>Our Board seeks to operate with the highest degree of efectveness, supportng a dynamic boardroom culture that encourages diverse, independent thought and intelligent debate on critcal maters to achieve a higher level of success for the Company and its stockholders. This requires the right mix of people who bring diverse perspectves, characteristcs, business and professional experiences, and competencies, as well as professional integrity, sound judgment and collegiality. This provides the foundaton for robust dialogue, informed advice and collaboraton in the boardroom.</w:t>
      </w:r>
    </w:p>
    <w:p>
      <w:pPr>
        <w:spacing w:after="0" w:line="110" w:lineRule="exact"/>
        <w:rPr>
          <w:sz w:val="20"/>
          <w:szCs w:val="20"/>
          <w:color w:val="auto"/>
        </w:rPr>
      </w:pPr>
    </w:p>
    <w:p>
      <w:pPr>
        <w:ind w:right="20"/>
        <w:spacing w:after="0" w:line="258" w:lineRule="auto"/>
        <w:rPr>
          <w:sz w:val="20"/>
          <w:szCs w:val="20"/>
          <w:color w:val="auto"/>
        </w:rPr>
      </w:pPr>
      <w:r>
        <w:rPr>
          <w:rFonts w:ascii="Calibri" w:cs="Calibri" w:eastAsia="Calibri" w:hAnsi="Calibri"/>
          <w:sz w:val="17"/>
          <w:szCs w:val="17"/>
          <w:color w:val="auto"/>
        </w:rPr>
        <w:t>The 13 director nominees are all incumbent directors. Through the annual self-evaluaton process, including one-on-one discussions with the independent Lead Director, the Board determined that the director nominees possess the skills and experience to contnue providing efectve oversight of the Company. Each director nominee was originally selected through our Board Nominaton process described on page 27 and contnues to be well-qualifed to serve the Company’s and stockholders’ interests. The strategic skills, core competencies and certain atributes of the nominees are set forth on the following page followed by individual biographies. In additon, each nominee has demonstrated their commitment to devote sufcient tme to their service on the Board and are in compliance with our overboarding policy. All nominees other than Jim Taiclet, our Chairman, President and CEO, are independent.</w:t>
      </w:r>
    </w:p>
    <w:p>
      <w:pPr>
        <w:sectPr>
          <w:pgSz w:w="11900" w:h="16838" w:orient="portrait"/>
          <w:cols w:equalWidth="0" w:num="1">
            <w:col w:w="11240"/>
          </w:cols>
          <w:pgMar w:left="320" w:top="230" w:right="3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29"/>
          <w:szCs w:val="29"/>
          <w:color w:val="003478"/>
        </w:rPr>
        <w:t>Commitment to Board Diversity</w:t>
      </w:r>
    </w:p>
    <w:p>
      <w:pPr>
        <w:spacing w:after="0" w:line="198" w:lineRule="exact"/>
        <w:rPr>
          <w:sz w:val="20"/>
          <w:szCs w:val="20"/>
          <w:color w:val="auto"/>
        </w:rPr>
      </w:pPr>
    </w:p>
    <w:p>
      <w:pPr>
        <w:ind w:left="20" w:right="20"/>
        <w:spacing w:after="0" w:line="255" w:lineRule="auto"/>
        <w:rPr>
          <w:sz w:val="20"/>
          <w:szCs w:val="20"/>
          <w:color w:val="auto"/>
        </w:rPr>
      </w:pPr>
      <w:r>
        <w:rPr>
          <w:rFonts w:ascii="Calibri" w:cs="Calibri" w:eastAsia="Calibri" w:hAnsi="Calibri"/>
          <w:sz w:val="17"/>
          <w:szCs w:val="17"/>
          <w:color w:val="auto"/>
        </w:rPr>
        <w:t>At Lockheed Martn, we recognize diversity and inclusion as a business imperatve and strategic asset to our investors. We believe that our business accomplishments are a result of the eforts of our employees around the world, and that a diverse employee populaton will result in a beter understanding of our customers’ needs. Our success with a diverse workforce also informs our views about the value of a board of directors that has persons of diverse skills, experiences and backgrounds. Diversity in skills and backgrounds ensures that the widest range of optons and viewpoints are expressed in the boardroom. To this end, the Board seeks to identfy candidates with areas of knowledge or experience that will expand or complement the Board’s existng expertse in overseeing a technologically-advanced global security and aerospace company.</w:t>
      </w:r>
    </w:p>
    <w:p>
      <w:pPr>
        <w:spacing w:after="0" w:line="113" w:lineRule="exact"/>
        <w:rPr>
          <w:sz w:val="20"/>
          <w:szCs w:val="20"/>
          <w:color w:val="auto"/>
        </w:rPr>
      </w:pPr>
    </w:p>
    <w:p>
      <w:pPr>
        <w:ind w:left="20"/>
        <w:spacing w:after="0" w:line="257" w:lineRule="auto"/>
        <w:rPr>
          <w:sz w:val="20"/>
          <w:szCs w:val="20"/>
          <w:color w:val="auto"/>
        </w:rPr>
      </w:pPr>
      <w:r>
        <w:rPr>
          <w:rFonts w:ascii="Calibri" w:cs="Calibri" w:eastAsia="Calibri" w:hAnsi="Calibri"/>
          <w:sz w:val="17"/>
          <w:szCs w:val="17"/>
          <w:color w:val="auto"/>
        </w:rPr>
        <w:t>In September 2022, the Board amended the Corporate Governance Guidelines (Governance Guidelines) to make explicit the Governance Commitee’s commitment to actvely seeking out highly-qualifed women and individuals from minority groups as well as candidates with diverse backgrounds, experiences and skills as part of each search the Company undertakes. The Nominatng and Corporate Governance Commitee implements these guidelines in the identfcaton and review of Board candidates and assesses the efectveness of these guidelines by including questons regarding the diversity of the Board membership in the Board’s annual self-evaluaton. The current compositon of our Board and recent refreshment refects those eforts and the importance of diversity to our Board. Over the past fve years, our Board’s gender and racial/ethnic diversity has been enhanced with the additons of Pat Yarrington (2021), Debra Reed-Klages (2019), Vicki Hollub (2018) and Jeh Johnson (2018). We have also added two veterans over the past fve years and new Board members have collectvely enhanced each of the core competencies and strategic skills outlined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Board Attendance</w:t>
      </w:r>
    </w:p>
    <w:p>
      <w:pPr>
        <w:spacing w:after="0" w:line="198" w:lineRule="exact"/>
        <w:rPr>
          <w:sz w:val="20"/>
          <w:szCs w:val="20"/>
          <w:color w:val="auto"/>
        </w:rPr>
      </w:pPr>
    </w:p>
    <w:p>
      <w:pPr>
        <w:ind w:left="20" w:right="40"/>
        <w:spacing w:after="0" w:line="255" w:lineRule="auto"/>
        <w:rPr>
          <w:sz w:val="20"/>
          <w:szCs w:val="20"/>
          <w:color w:val="auto"/>
        </w:rPr>
      </w:pPr>
      <w:r>
        <w:rPr>
          <w:rFonts w:ascii="Calibri" w:cs="Calibri" w:eastAsia="Calibri" w:hAnsi="Calibri"/>
          <w:sz w:val="17"/>
          <w:szCs w:val="17"/>
          <w:color w:val="auto"/>
        </w:rPr>
        <w:t>Our Board is commited to their Board service. In 2022, there were six Board meetngs. Directors are expected to atend all Board meetngs and meetngs of the commitees on which they serve. All directors on the Board during 2022 atended more than 75 percent of the total Board and commitee meetngs to which they were assigned and overall atendance of the Board as a whole was 99 percent. Board members are also encouraged to atend the annual meetng of stockholders and all director nominees for the 2023 Annual Meetng atended the 2022 Annual Meetng.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65"/>
          <w:szCs w:val="65"/>
          <w:color w:val="003478"/>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-523875</wp:posOffset>
            </wp:positionV>
            <wp:extent cx="1619885" cy="33858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19885" cy="3385820"/>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Gender and Ethnic</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Diversity</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3478"/>
        </w:rPr>
        <w:t xml:space="preserve">31% </w:t>
      </w:r>
      <w:r>
        <w:rPr>
          <w:rFonts w:ascii="Arial" w:cs="Arial" w:eastAsia="Arial" w:hAnsi="Arial"/>
          <w:sz w:val="17"/>
          <w:szCs w:val="17"/>
          <w:color w:val="000000"/>
        </w:rPr>
        <w:t>Women</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3478"/>
        </w:rPr>
        <w:t xml:space="preserve">8% </w:t>
      </w:r>
      <w:r>
        <w:rPr>
          <w:rFonts w:ascii="Arial" w:cs="Arial" w:eastAsia="Arial" w:hAnsi="Arial"/>
          <w:sz w:val="17"/>
          <w:szCs w:val="17"/>
          <w:color w:val="000000"/>
        </w:rPr>
        <w:t>African American</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64"/>
          <w:szCs w:val="64"/>
          <w:color w:val="003478"/>
        </w:rPr>
        <w:t xml:space="preserve">38% </w:t>
      </w:r>
      <w:r>
        <w:rPr>
          <w:rFonts w:ascii="Arial" w:cs="Arial" w:eastAsia="Arial" w:hAnsi="Arial"/>
          <w:sz w:val="17"/>
          <w:szCs w:val="17"/>
          <w:color w:val="000000"/>
        </w:rPr>
        <w:t>Veterans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1609090</wp:posOffset>
            </wp:positionV>
            <wp:extent cx="1619885"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1988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65"/>
          <w:szCs w:val="65"/>
          <w:color w:val="003478"/>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-455295</wp:posOffset>
            </wp:positionV>
            <wp:extent cx="1619885" cy="12598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19885" cy="1259840"/>
                    </a:xfrm>
                    <a:prstGeom prst="rect">
                      <a:avLst/>
                    </a:prstGeom>
                    <a:noFill/>
                  </pic:spPr>
                </pic:pic>
              </a:graphicData>
            </a:graphic>
          </wp:anchor>
        </w:drawing>
      </w:r>
    </w:p>
    <w:p>
      <w:pPr>
        <w:spacing w:after="0" w:line="52" w:lineRule="exact"/>
        <w:rPr>
          <w:sz w:val="20"/>
          <w:szCs w:val="20"/>
          <w:color w:val="auto"/>
        </w:rPr>
      </w:pPr>
    </w:p>
    <w:p>
      <w:pPr>
        <w:ind w:left="20" w:right="660"/>
        <w:spacing w:after="0" w:line="276" w:lineRule="auto"/>
        <w:rPr>
          <w:sz w:val="20"/>
          <w:szCs w:val="20"/>
          <w:color w:val="auto"/>
        </w:rPr>
      </w:pPr>
      <w:r>
        <w:rPr>
          <w:rFonts w:ascii="Arial" w:cs="Arial" w:eastAsia="Arial" w:hAnsi="Arial"/>
          <w:sz w:val="17"/>
          <w:szCs w:val="17"/>
          <w:color w:val="auto"/>
        </w:rPr>
        <w:t>Average attendance of directors as a group at Board and committee meetings during 2022</w:t>
      </w:r>
    </w:p>
    <w:p>
      <w:pPr>
        <w:spacing w:after="0" w:line="200" w:lineRule="exact"/>
        <w:rPr>
          <w:sz w:val="20"/>
          <w:szCs w:val="20"/>
          <w:color w:val="auto"/>
        </w:rPr>
      </w:pPr>
    </w:p>
    <w:p>
      <w:pPr>
        <w:sectPr>
          <w:pgSz w:w="11900" w:h="16838" w:orient="portrait"/>
          <w:cols w:equalWidth="0" w:num="2">
            <w:col w:w="8180" w:space="660"/>
            <w:col w:w="240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9340" w:val="left"/>
          <w:tab w:leader="none" w:pos="1112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9"/>
          <w:szCs w:val="29"/>
          <w:color w:val="003478"/>
        </w:rPr>
        <w:t>Director Nominees’ Strategic Skills, Core Competencies and Attributes</w:t>
      </w:r>
    </w:p>
    <w:p>
      <w:pPr>
        <w:spacing w:after="0" w:line="49" w:lineRule="exact"/>
        <w:rPr>
          <w:sz w:val="20"/>
          <w:szCs w:val="20"/>
          <w:color w:val="auto"/>
        </w:rPr>
      </w:pPr>
    </w:p>
    <w:p>
      <w:pPr>
        <w:spacing w:after="0" w:line="237" w:lineRule="auto"/>
        <w:rPr>
          <w:sz w:val="20"/>
          <w:szCs w:val="20"/>
          <w:color w:val="auto"/>
        </w:rPr>
      </w:pPr>
      <w:r>
        <w:rPr>
          <w:rFonts w:ascii="Calibri" w:cs="Calibri" w:eastAsia="Calibri" w:hAnsi="Calibri"/>
          <w:sz w:val="17"/>
          <w:szCs w:val="17"/>
          <w:color w:val="auto"/>
        </w:rPr>
        <w:t>The following chart summarizes the strategic skills and core competencies that the Board considers valuable to efectve governance and successful oversight of our corporate strategy and illustrates how the director nominees individually and collectvely represent these key skills and competencies. Descriptons of the skills and competencies are on the following page. The lack of an indicator for a partcular item does not mean that the director does not possess that skill or competency; rather, the indicator represents that the item is a core skill or competency of that director. The chart also provides the personal atributes of the director nominees. Director nominees are listed by tenure in descending order from lef to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155575</wp:posOffset>
            </wp:positionV>
            <wp:extent cx="4869180" cy="62750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69180" cy="627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0" w:type="dxa"/>
            <w:vAlign w:val="bottom"/>
            <w:tcBorders>
              <w:top w:val="single" w:sz="8" w:color="003478"/>
            </w:tcBorders>
            <w:shd w:val="clear" w:color="auto" w:fill="003478"/>
          </w:tcPr>
          <w:p>
            <w:pPr>
              <w:spacing w:after="0"/>
              <w:rPr>
                <w:sz w:val="17"/>
                <w:szCs w:val="17"/>
                <w:color w:val="auto"/>
              </w:rPr>
            </w:pPr>
          </w:p>
        </w:tc>
        <w:tc>
          <w:tcPr>
            <w:tcW w:w="820" w:type="dxa"/>
            <w:vAlign w:val="bottom"/>
            <w:tcBorders>
              <w:top w:val="single" w:sz="8" w:color="003478"/>
              <w:right w:val="single" w:sz="8" w:color="939598"/>
            </w:tcBorders>
          </w:tcPr>
          <w:p>
            <w:pPr>
              <w:spacing w:after="0"/>
              <w:rPr>
                <w:sz w:val="17"/>
                <w:szCs w:val="17"/>
                <w:color w:val="auto"/>
              </w:rPr>
            </w:pPr>
          </w:p>
        </w:tc>
        <w:tc>
          <w:tcPr>
            <w:tcW w:w="1840" w:type="dxa"/>
            <w:vAlign w:val="bottom"/>
            <w:tcBorders>
              <w:top w:val="single" w:sz="8" w:color="003478"/>
            </w:tcBorders>
          </w:tcPr>
          <w:p>
            <w:pPr>
              <w:spacing w:after="0"/>
              <w:rPr>
                <w:sz w:val="20"/>
                <w:szCs w:val="20"/>
                <w:color w:val="auto"/>
              </w:rPr>
            </w:pPr>
            <w:r>
              <w:rPr>
                <w:rFonts w:ascii="Calibri" w:cs="Calibri" w:eastAsia="Calibri" w:hAnsi="Calibri"/>
                <w:sz w:val="14"/>
                <w:szCs w:val="14"/>
                <w:color w:val="auto"/>
              </w:rPr>
              <w:t>21st Century Security /</w:t>
            </w:r>
          </w:p>
        </w:tc>
        <w:tc>
          <w:tcPr>
            <w:tcW w:w="580" w:type="dxa"/>
            <w:vAlign w:val="bottom"/>
            <w:tcBorders>
              <w:top w:val="single" w:sz="8" w:color="003478"/>
            </w:tcBorders>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00" w:type="dxa"/>
            <w:vAlign w:val="bottom"/>
            <w:tcBorders>
              <w:top w:val="single" w:sz="8" w:color="E5E6EF"/>
            </w:tcBorders>
            <w:shd w:val="clear" w:color="auto" w:fill="E5E6EF"/>
          </w:tcPr>
          <w:p>
            <w:pPr>
              <w:spacing w:after="0"/>
              <w:rPr>
                <w:sz w:val="17"/>
                <w:szCs w:val="17"/>
                <w:color w:val="auto"/>
              </w:rPr>
            </w:pPr>
          </w:p>
        </w:tc>
        <w:tc>
          <w:tcPr>
            <w:tcW w:w="600" w:type="dxa"/>
            <w:vAlign w:val="bottom"/>
            <w:tcBorders>
              <w:top w:val="single" w:sz="8" w:color="E5E6EF"/>
            </w:tcBorders>
            <w:shd w:val="clear" w:color="auto" w:fill="E5E6EF"/>
          </w:tcPr>
          <w:p>
            <w:pPr>
              <w:spacing w:after="0"/>
              <w:rPr>
                <w:sz w:val="17"/>
                <w:szCs w:val="17"/>
                <w:color w:val="auto"/>
              </w:rPr>
            </w:pPr>
          </w:p>
        </w:tc>
        <w:tc>
          <w:tcPr>
            <w:tcW w:w="580" w:type="dxa"/>
            <w:vAlign w:val="bottom"/>
            <w:tcBorders>
              <w:top w:val="single" w:sz="8" w:color="E5E6EF"/>
            </w:tcBorders>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20" w:type="dxa"/>
            <w:vAlign w:val="bottom"/>
            <w:tcBorders>
              <w:top w:val="single" w:sz="8" w:color="E5E6EF"/>
            </w:tcBorders>
            <w:shd w:val="clear" w:color="auto" w:fill="E5E6EF"/>
          </w:tcPr>
          <w:p>
            <w:pPr>
              <w:spacing w:after="0"/>
              <w:rPr>
                <w:sz w:val="17"/>
                <w:szCs w:val="17"/>
                <w:color w:val="auto"/>
              </w:rPr>
            </w:pPr>
          </w:p>
        </w:tc>
        <w:tc>
          <w:tcPr>
            <w:tcW w:w="40" w:type="dxa"/>
            <w:vAlign w:val="bottom"/>
            <w:tcBorders>
              <w:top w:val="single" w:sz="8" w:color="E5E6EF"/>
            </w:tcBorders>
            <w:shd w:val="clear" w:color="auto" w:fill="E5E6EF"/>
          </w:tcPr>
          <w:p>
            <w:pPr>
              <w:spacing w:after="0"/>
              <w:rPr>
                <w:sz w:val="17"/>
                <w:szCs w:val="17"/>
                <w:color w:val="auto"/>
              </w:rPr>
            </w:pPr>
          </w:p>
        </w:tc>
        <w:tc>
          <w:tcPr>
            <w:tcW w:w="560" w:type="dxa"/>
            <w:vAlign w:val="bottom"/>
            <w:tcBorders>
              <w:top w:val="single" w:sz="8" w:color="E5E6EF"/>
            </w:tcBorders>
            <w:shd w:val="clear" w:color="auto" w:fill="E5E6EF"/>
          </w:tcPr>
          <w:p>
            <w:pPr>
              <w:spacing w:after="0"/>
              <w:rPr>
                <w:sz w:val="17"/>
                <w:szCs w:val="17"/>
                <w:color w:val="auto"/>
              </w:rPr>
            </w:pPr>
          </w:p>
        </w:tc>
        <w:tc>
          <w:tcPr>
            <w:tcW w:w="620" w:type="dxa"/>
            <w:vAlign w:val="bottom"/>
            <w:tcBorders>
              <w:top w:val="single" w:sz="8" w:color="E5E6EF"/>
            </w:tcBorders>
            <w:shd w:val="clear" w:color="auto" w:fill="E5E6EF"/>
          </w:tcPr>
          <w:p>
            <w:pPr>
              <w:spacing w:after="0"/>
              <w:rPr>
                <w:sz w:val="17"/>
                <w:szCs w:val="17"/>
                <w:color w:val="auto"/>
              </w:rPr>
            </w:pPr>
          </w:p>
        </w:tc>
        <w:tc>
          <w:tcPr>
            <w:tcW w:w="600" w:type="dxa"/>
            <w:vAlign w:val="bottom"/>
            <w:tcBorders>
              <w:top w:val="single" w:sz="8" w:color="E5E6EF"/>
            </w:tcBorders>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tcBorders>
              <w:top w:val="single" w:sz="8" w:color="E5E6EF"/>
            </w:tcBorders>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tcBorders>
              <w:top w:val="single" w:sz="8" w:color="E5E6EF"/>
            </w:tcBorders>
            <w:shd w:val="clear" w:color="auto" w:fill="E5E6EF"/>
          </w:tcPr>
          <w:p>
            <w:pPr>
              <w:spacing w:after="0"/>
              <w:rPr>
                <w:sz w:val="17"/>
                <w:szCs w:val="17"/>
                <w:color w:val="auto"/>
              </w:rPr>
            </w:pPr>
          </w:p>
        </w:tc>
        <w:tc>
          <w:tcPr>
            <w:tcW w:w="600" w:type="dxa"/>
            <w:vAlign w:val="bottom"/>
            <w:tcBorders>
              <w:top w:val="single" w:sz="8" w:color="E5E6EF"/>
            </w:tcBorders>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tcBorders>
              <w:top w:val="single" w:sz="8" w:color="E5E6EF"/>
            </w:tcBorders>
            <w:shd w:val="clear" w:color="auto" w:fill="E5E6EF"/>
          </w:tcPr>
          <w:p>
            <w:pPr>
              <w:spacing w:after="0"/>
              <w:rPr>
                <w:sz w:val="17"/>
                <w:szCs w:val="17"/>
                <w:color w:val="auto"/>
              </w:rPr>
            </w:pPr>
          </w:p>
        </w:tc>
        <w:tc>
          <w:tcPr>
            <w:tcW w:w="620" w:type="dxa"/>
            <w:vAlign w:val="bottom"/>
            <w:tcBorders>
              <w:top w:val="single" w:sz="8" w:color="E5E6EF"/>
            </w:tcBorders>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20" w:type="dxa"/>
            <w:vAlign w:val="bottom"/>
            <w:tcBorders>
              <w:top w:val="single" w:sz="8" w:color="003478"/>
            </w:tcBorders>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540" w:type="dxa"/>
            <w:vAlign w:val="bottom"/>
            <w:shd w:val="clear" w:color="auto" w:fill="003478"/>
          </w:tcPr>
          <w:p>
            <w:pPr>
              <w:spacing w:after="0"/>
              <w:rPr>
                <w:sz w:val="10"/>
                <w:szCs w:val="10"/>
                <w:color w:val="auto"/>
              </w:rPr>
            </w:pPr>
          </w:p>
        </w:tc>
        <w:tc>
          <w:tcPr>
            <w:tcW w:w="820" w:type="dxa"/>
            <w:vAlign w:val="bottom"/>
            <w:tcBorders>
              <w:right w:val="single" w:sz="8" w:color="939598"/>
            </w:tcBorders>
          </w:tcPr>
          <w:p>
            <w:pPr>
              <w:spacing w:after="0"/>
              <w:rPr>
                <w:sz w:val="10"/>
                <w:szCs w:val="10"/>
                <w:color w:val="auto"/>
              </w:rPr>
            </w:pPr>
          </w:p>
        </w:tc>
        <w:tc>
          <w:tcPr>
            <w:tcW w:w="1840" w:type="dxa"/>
            <w:vAlign w:val="bottom"/>
            <w:vMerge w:val="restart"/>
          </w:tcPr>
          <w:p>
            <w:pPr>
              <w:spacing w:after="0"/>
              <w:rPr>
                <w:sz w:val="20"/>
                <w:szCs w:val="20"/>
                <w:color w:val="auto"/>
              </w:rPr>
            </w:pPr>
            <w:r>
              <w:rPr>
                <w:rFonts w:ascii="Calibri" w:cs="Calibri" w:eastAsia="Calibri" w:hAnsi="Calibri"/>
                <w:sz w:val="14"/>
                <w:szCs w:val="14"/>
                <w:color w:val="auto"/>
              </w:rPr>
              <w:t>Def. Ind. Transformaton</w:t>
            </w:r>
          </w:p>
        </w:tc>
        <w:tc>
          <w:tcPr>
            <w:tcW w:w="580" w:type="dxa"/>
            <w:vAlign w:val="bottom"/>
            <w:vMerge w:val="continue"/>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580" w:type="dxa"/>
            <w:vAlign w:val="bottom"/>
            <w:vMerge w:val="continue"/>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40" w:type="dxa"/>
            <w:vAlign w:val="bottom"/>
            <w:shd w:val="clear" w:color="auto" w:fill="E5E6EF"/>
          </w:tcPr>
          <w:p>
            <w:pPr>
              <w:spacing w:after="0"/>
              <w:rPr>
                <w:sz w:val="10"/>
                <w:szCs w:val="10"/>
                <w:color w:val="auto"/>
              </w:rPr>
            </w:pPr>
          </w:p>
        </w:tc>
        <w:tc>
          <w:tcPr>
            <w:tcW w:w="560" w:type="dxa"/>
            <w:vAlign w:val="bottom"/>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40" w:type="dxa"/>
            <w:vAlign w:val="bottom"/>
            <w:shd w:val="clear" w:color="auto" w:fill="003478"/>
          </w:tcPr>
          <w:p>
            <w:pPr>
              <w:spacing w:after="0"/>
              <w:rPr>
                <w:sz w:val="4"/>
                <w:szCs w:val="4"/>
                <w:color w:val="auto"/>
              </w:rPr>
            </w:pPr>
          </w:p>
        </w:tc>
        <w:tc>
          <w:tcPr>
            <w:tcW w:w="820" w:type="dxa"/>
            <w:vAlign w:val="bottom"/>
            <w:tcBorders>
              <w:right w:val="single" w:sz="8" w:color="939598"/>
            </w:tcBorders>
          </w:tcPr>
          <w:p>
            <w:pPr>
              <w:spacing w:after="0"/>
              <w:rPr>
                <w:sz w:val="4"/>
                <w:szCs w:val="4"/>
                <w:color w:val="auto"/>
              </w:rPr>
            </w:pPr>
          </w:p>
        </w:tc>
        <w:tc>
          <w:tcPr>
            <w:tcW w:w="1840" w:type="dxa"/>
            <w:vAlign w:val="bottom"/>
            <w:vMerge w:val="continue"/>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40" w:type="dxa"/>
            <w:vAlign w:val="bottom"/>
            <w:shd w:val="clear" w:color="auto" w:fill="E5E6EF"/>
          </w:tcPr>
          <w:p>
            <w:pPr>
              <w:spacing w:after="0"/>
              <w:rPr>
                <w:sz w:val="4"/>
                <w:szCs w:val="4"/>
                <w:color w:val="auto"/>
              </w:rPr>
            </w:pPr>
          </w:p>
        </w:tc>
        <w:tc>
          <w:tcPr>
            <w:tcW w:w="56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540" w:type="dxa"/>
            <w:vAlign w:val="bottom"/>
            <w:tcBorders>
              <w:bottom w:val="single" w:sz="8" w:color="003478"/>
            </w:tcBorders>
            <w:shd w:val="clear" w:color="auto" w:fill="003478"/>
          </w:tcPr>
          <w:p>
            <w:pPr>
              <w:spacing w:after="0"/>
              <w:rPr>
                <w:sz w:val="9"/>
                <w:szCs w:val="9"/>
                <w:color w:val="auto"/>
              </w:rPr>
            </w:pPr>
          </w:p>
        </w:tc>
        <w:tc>
          <w:tcPr>
            <w:tcW w:w="820" w:type="dxa"/>
            <w:vAlign w:val="bottom"/>
            <w:tcBorders>
              <w:right w:val="single" w:sz="8" w:color="939598"/>
            </w:tcBorders>
            <w:vMerge w:val="restart"/>
          </w:tcPr>
          <w:p>
            <w:pPr>
              <w:ind w:left="20"/>
              <w:spacing w:after="0" w:line="169" w:lineRule="exact"/>
              <w:rPr>
                <w:sz w:val="20"/>
                <w:szCs w:val="20"/>
                <w:color w:val="auto"/>
              </w:rPr>
            </w:pPr>
            <w:r>
              <w:rPr>
                <w:rFonts w:ascii="Calibri" w:cs="Calibri" w:eastAsia="Calibri" w:hAnsi="Calibri"/>
                <w:sz w:val="14"/>
                <w:szCs w:val="14"/>
                <w:b w:val="1"/>
                <w:bCs w:val="1"/>
                <w:color w:val="003478"/>
              </w:rPr>
              <w:t>Lead</w:t>
            </w:r>
          </w:p>
        </w:tc>
        <w:tc>
          <w:tcPr>
            <w:tcW w:w="1840" w:type="dxa"/>
            <w:vAlign w:val="bottom"/>
            <w:tcBorders>
              <w:bottom w:val="single" w:sz="8" w:color="939598"/>
            </w:tcBorders>
          </w:tcPr>
          <w:p>
            <w:pPr>
              <w:spacing w:after="0"/>
              <w:rPr>
                <w:sz w:val="9"/>
                <w:szCs w:val="9"/>
                <w:color w:val="auto"/>
              </w:rPr>
            </w:pPr>
          </w:p>
        </w:tc>
        <w:tc>
          <w:tcPr>
            <w:tcW w:w="58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58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40" w:type="dxa"/>
            <w:vAlign w:val="bottom"/>
            <w:tcBorders>
              <w:bottom w:val="single" w:sz="8" w:color="939598"/>
            </w:tcBorders>
            <w:shd w:val="clear" w:color="auto" w:fill="E5E6EF"/>
          </w:tcPr>
          <w:p>
            <w:pPr>
              <w:spacing w:after="0"/>
              <w:rPr>
                <w:sz w:val="9"/>
                <w:szCs w:val="9"/>
                <w:color w:val="auto"/>
              </w:rPr>
            </w:pPr>
          </w:p>
        </w:tc>
        <w:tc>
          <w:tcPr>
            <w:tcW w:w="56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2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540" w:type="dxa"/>
            <w:vAlign w:val="bottom"/>
            <w:shd w:val="clear" w:color="auto" w:fill="003478"/>
          </w:tcPr>
          <w:p>
            <w:pPr>
              <w:spacing w:after="0"/>
              <w:rPr>
                <w:sz w:val="2"/>
                <w:szCs w:val="2"/>
                <w:color w:val="auto"/>
              </w:rPr>
            </w:pPr>
          </w:p>
        </w:tc>
        <w:tc>
          <w:tcPr>
            <w:tcW w:w="820" w:type="dxa"/>
            <w:vAlign w:val="bottom"/>
            <w:tcBorders>
              <w:right w:val="single" w:sz="8" w:color="939598"/>
            </w:tcBorders>
            <w:vMerge w:val="continue"/>
          </w:tcPr>
          <w:p>
            <w:pPr>
              <w:spacing w:after="0"/>
              <w:rPr>
                <w:sz w:val="2"/>
                <w:szCs w:val="2"/>
                <w:color w:val="auto"/>
              </w:rPr>
            </w:pPr>
          </w:p>
        </w:tc>
        <w:tc>
          <w:tcPr>
            <w:tcW w:w="1840" w:type="dxa"/>
            <w:vAlign w:val="bottom"/>
            <w:vMerge w:val="restart"/>
          </w:tcPr>
          <w:p>
            <w:pPr>
              <w:spacing w:after="0"/>
              <w:rPr>
                <w:sz w:val="20"/>
                <w:szCs w:val="20"/>
                <w:color w:val="auto"/>
              </w:rPr>
            </w:pPr>
            <w:r>
              <w:rPr>
                <w:rFonts w:ascii="Calibri" w:cs="Calibri" w:eastAsia="Calibri" w:hAnsi="Calibri"/>
                <w:sz w:val="14"/>
                <w:szCs w:val="14"/>
                <w:color w:val="auto"/>
              </w:rPr>
              <w:t>5G.MIL / Digital &amp;</w:t>
            </w:r>
          </w:p>
        </w:tc>
        <w:tc>
          <w:tcPr>
            <w:tcW w:w="580" w:type="dxa"/>
            <w:vAlign w:val="bottom"/>
            <w:shd w:val="clear" w:color="auto" w:fill="E5E6EF"/>
          </w:tcPr>
          <w:p>
            <w:pPr>
              <w:spacing w:after="0"/>
              <w:rPr>
                <w:sz w:val="2"/>
                <w:szCs w:val="2"/>
                <w:color w:val="auto"/>
              </w:rPr>
            </w:pPr>
          </w:p>
        </w:tc>
        <w:tc>
          <w:tcPr>
            <w:tcW w:w="600" w:type="dxa"/>
            <w:vAlign w:val="bottom"/>
            <w:shd w:val="clear" w:color="auto" w:fill="E5E6EF"/>
          </w:tcPr>
          <w:p>
            <w:pPr>
              <w:spacing w:after="0"/>
              <w:rPr>
                <w:sz w:val="2"/>
                <w:szCs w:val="2"/>
                <w:color w:val="auto"/>
              </w:rPr>
            </w:pPr>
          </w:p>
        </w:tc>
        <w:tc>
          <w:tcPr>
            <w:tcW w:w="600" w:type="dxa"/>
            <w:vAlign w:val="bottom"/>
            <w:shd w:val="clear" w:color="auto" w:fill="E5E6EF"/>
          </w:tcPr>
          <w:p>
            <w:pPr>
              <w:spacing w:after="0"/>
              <w:rPr>
                <w:sz w:val="2"/>
                <w:szCs w:val="2"/>
                <w:color w:val="auto"/>
              </w:rPr>
            </w:pPr>
          </w:p>
        </w:tc>
        <w:tc>
          <w:tcPr>
            <w:tcW w:w="580" w:type="dxa"/>
            <w:vAlign w:val="bottom"/>
            <w:shd w:val="clear" w:color="auto" w:fill="E5E6EF"/>
          </w:tcPr>
          <w:p>
            <w:pPr>
              <w:spacing w:after="0"/>
              <w:rPr>
                <w:sz w:val="2"/>
                <w:szCs w:val="2"/>
                <w:color w:val="auto"/>
              </w:rPr>
            </w:pPr>
          </w:p>
        </w:tc>
        <w:tc>
          <w:tcPr>
            <w:tcW w:w="620" w:type="dxa"/>
            <w:vAlign w:val="bottom"/>
            <w:shd w:val="clear" w:color="auto" w:fill="E5E6EF"/>
          </w:tcPr>
          <w:p>
            <w:pPr>
              <w:spacing w:after="0"/>
              <w:rPr>
                <w:sz w:val="2"/>
                <w:szCs w:val="2"/>
                <w:color w:val="auto"/>
              </w:rPr>
            </w:pPr>
          </w:p>
        </w:tc>
        <w:tc>
          <w:tcPr>
            <w:tcW w:w="40" w:type="dxa"/>
            <w:vAlign w:val="bottom"/>
            <w:shd w:val="clear" w:color="auto" w:fill="E5E6EF"/>
          </w:tcPr>
          <w:p>
            <w:pPr>
              <w:spacing w:after="0"/>
              <w:rPr>
                <w:sz w:val="2"/>
                <w:szCs w:val="2"/>
                <w:color w:val="auto"/>
              </w:rPr>
            </w:pPr>
          </w:p>
        </w:tc>
        <w:tc>
          <w:tcPr>
            <w:tcW w:w="560" w:type="dxa"/>
            <w:vAlign w:val="bottom"/>
            <w:shd w:val="clear" w:color="auto" w:fill="E5E6EF"/>
          </w:tcPr>
          <w:p>
            <w:pPr>
              <w:spacing w:after="0"/>
              <w:rPr>
                <w:sz w:val="2"/>
                <w:szCs w:val="2"/>
                <w:color w:val="auto"/>
              </w:rPr>
            </w:pPr>
          </w:p>
        </w:tc>
        <w:tc>
          <w:tcPr>
            <w:tcW w:w="620" w:type="dxa"/>
            <w:vAlign w:val="bottom"/>
            <w:shd w:val="clear" w:color="auto" w:fill="E5E6EF"/>
          </w:tcPr>
          <w:p>
            <w:pPr>
              <w:spacing w:after="0"/>
              <w:rPr>
                <w:sz w:val="2"/>
                <w:szCs w:val="2"/>
                <w:color w:val="auto"/>
              </w:rPr>
            </w:pPr>
          </w:p>
        </w:tc>
        <w:tc>
          <w:tcPr>
            <w:tcW w:w="600" w:type="dxa"/>
            <w:vAlign w:val="bottom"/>
            <w:shd w:val="clear" w:color="auto" w:fill="E5E6EF"/>
          </w:tcPr>
          <w:p>
            <w:pPr>
              <w:spacing w:after="0"/>
              <w:rPr>
                <w:sz w:val="2"/>
                <w:szCs w:val="2"/>
                <w:color w:val="auto"/>
              </w:rPr>
            </w:pP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spacing w:after="0"/>
              <w:rPr>
                <w:sz w:val="2"/>
                <w:szCs w:val="2"/>
                <w:color w:val="auto"/>
              </w:rPr>
            </w:pPr>
          </w:p>
        </w:tc>
        <w:tc>
          <w:tcPr>
            <w:tcW w:w="600" w:type="dxa"/>
            <w:vAlign w:val="bottom"/>
            <w:shd w:val="clear" w:color="auto" w:fill="E5E6EF"/>
          </w:tcPr>
          <w:p>
            <w:pPr>
              <w:spacing w:after="0"/>
              <w:rPr>
                <w:sz w:val="2"/>
                <w:szCs w:val="2"/>
                <w:color w:val="auto"/>
              </w:rPr>
            </w:pPr>
          </w:p>
        </w:tc>
        <w:tc>
          <w:tcPr>
            <w:tcW w:w="600" w:type="dxa"/>
            <w:vAlign w:val="bottom"/>
            <w:shd w:val="clear" w:color="auto" w:fill="E5E6EF"/>
          </w:tcPr>
          <w:p>
            <w:pPr>
              <w:spacing w:after="0"/>
              <w:rPr>
                <w:sz w:val="2"/>
                <w:szCs w:val="2"/>
                <w:color w:val="auto"/>
              </w:rPr>
            </w:pP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shd w:val="clear" w:color="auto" w:fill="003478"/>
          </w:tcPr>
          <w:p>
            <w:pPr>
              <w:spacing w:after="0"/>
              <w:rPr>
                <w:sz w:val="15"/>
                <w:szCs w:val="15"/>
                <w:color w:val="auto"/>
              </w:rPr>
            </w:pPr>
          </w:p>
        </w:tc>
        <w:tc>
          <w:tcPr>
            <w:tcW w:w="820" w:type="dxa"/>
            <w:vAlign w:val="bottom"/>
            <w:tcBorders>
              <w:right w:val="single" w:sz="8" w:color="939598"/>
            </w:tcBorders>
          </w:tcPr>
          <w:p>
            <w:pPr>
              <w:spacing w:after="0"/>
              <w:rPr>
                <w:sz w:val="15"/>
                <w:szCs w:val="15"/>
                <w:color w:val="auto"/>
              </w:rPr>
            </w:pPr>
          </w:p>
        </w:tc>
        <w:tc>
          <w:tcPr>
            <w:tcW w:w="1840" w:type="dxa"/>
            <w:vAlign w:val="bottom"/>
            <w:vMerge w:val="continue"/>
          </w:tcPr>
          <w:p>
            <w:pPr>
              <w:spacing w:after="0"/>
              <w:rPr>
                <w:sz w:val="15"/>
                <w:szCs w:val="15"/>
                <w:color w:val="auto"/>
              </w:rPr>
            </w:pPr>
          </w:p>
        </w:tc>
        <w:tc>
          <w:tcPr>
            <w:tcW w:w="580" w:type="dxa"/>
            <w:vAlign w:val="bottom"/>
            <w:shd w:val="clear" w:color="auto" w:fill="E5E6EF"/>
          </w:tcPr>
          <w:p>
            <w:pPr>
              <w:spacing w:after="0"/>
              <w:rPr>
                <w:sz w:val="15"/>
                <w:szCs w:val="15"/>
                <w:color w:val="auto"/>
              </w:rPr>
            </w:pPr>
          </w:p>
        </w:tc>
        <w:tc>
          <w:tcPr>
            <w:tcW w:w="600" w:type="dxa"/>
            <w:vAlign w:val="bottom"/>
            <w:shd w:val="clear" w:color="auto" w:fill="E5E6EF"/>
          </w:tcPr>
          <w:p>
            <w:pPr>
              <w:spacing w:after="0"/>
              <w:rPr>
                <w:sz w:val="15"/>
                <w:szCs w:val="15"/>
                <w:color w:val="auto"/>
              </w:rPr>
            </w:pPr>
          </w:p>
        </w:tc>
        <w:tc>
          <w:tcPr>
            <w:tcW w:w="600" w:type="dxa"/>
            <w:vAlign w:val="bottom"/>
            <w:shd w:val="clear" w:color="auto" w:fill="E5E6EF"/>
          </w:tcPr>
          <w:p>
            <w:pPr>
              <w:spacing w:after="0"/>
              <w:rPr>
                <w:sz w:val="15"/>
                <w:szCs w:val="15"/>
                <w:color w:val="auto"/>
              </w:rPr>
            </w:pPr>
          </w:p>
        </w:tc>
        <w:tc>
          <w:tcPr>
            <w:tcW w:w="580" w:type="dxa"/>
            <w:vAlign w:val="bottom"/>
            <w:shd w:val="clear" w:color="auto" w:fill="E5E6EF"/>
          </w:tcPr>
          <w:p>
            <w:pPr>
              <w:spacing w:after="0"/>
              <w:rPr>
                <w:sz w:val="15"/>
                <w:szCs w:val="15"/>
                <w:color w:val="auto"/>
              </w:rPr>
            </w:pPr>
          </w:p>
        </w:tc>
        <w:tc>
          <w:tcPr>
            <w:tcW w:w="620" w:type="dxa"/>
            <w:vAlign w:val="bottom"/>
            <w:shd w:val="clear" w:color="auto" w:fill="E5E6EF"/>
          </w:tcPr>
          <w:p>
            <w:pPr>
              <w:spacing w:after="0"/>
              <w:rPr>
                <w:sz w:val="15"/>
                <w:szCs w:val="15"/>
                <w:color w:val="auto"/>
              </w:rPr>
            </w:pPr>
          </w:p>
        </w:tc>
        <w:tc>
          <w:tcPr>
            <w:tcW w:w="40" w:type="dxa"/>
            <w:vAlign w:val="bottom"/>
            <w:shd w:val="clear" w:color="auto" w:fill="E5E6EF"/>
          </w:tcPr>
          <w:p>
            <w:pPr>
              <w:spacing w:after="0"/>
              <w:rPr>
                <w:sz w:val="15"/>
                <w:szCs w:val="15"/>
                <w:color w:val="auto"/>
              </w:rPr>
            </w:pPr>
          </w:p>
        </w:tc>
        <w:tc>
          <w:tcPr>
            <w:tcW w:w="560" w:type="dxa"/>
            <w:vAlign w:val="bottom"/>
            <w:shd w:val="clear" w:color="auto" w:fill="E5E6EF"/>
          </w:tcPr>
          <w:p>
            <w:pPr>
              <w:spacing w:after="0"/>
              <w:rPr>
                <w:sz w:val="15"/>
                <w:szCs w:val="15"/>
                <w:color w:val="auto"/>
              </w:rPr>
            </w:pPr>
          </w:p>
        </w:tc>
        <w:tc>
          <w:tcPr>
            <w:tcW w:w="620" w:type="dxa"/>
            <w:vAlign w:val="bottom"/>
            <w:shd w:val="clear" w:color="auto" w:fill="E5E6EF"/>
          </w:tcPr>
          <w:p>
            <w:pPr>
              <w:spacing w:after="0"/>
              <w:rPr>
                <w:sz w:val="15"/>
                <w:szCs w:val="15"/>
                <w:color w:val="auto"/>
              </w:rPr>
            </w:pPr>
          </w:p>
        </w:tc>
        <w:tc>
          <w:tcPr>
            <w:tcW w:w="600" w:type="dxa"/>
            <w:vAlign w:val="bottom"/>
            <w:shd w:val="clear" w:color="auto" w:fill="E5E6EF"/>
          </w:tcPr>
          <w:p>
            <w:pPr>
              <w:spacing w:after="0"/>
              <w:rPr>
                <w:sz w:val="15"/>
                <w:szCs w:val="15"/>
                <w:color w:val="auto"/>
              </w:rPr>
            </w:pPr>
          </w:p>
        </w:tc>
        <w:tc>
          <w:tcPr>
            <w:tcW w:w="600" w:type="dxa"/>
            <w:vAlign w:val="bottom"/>
            <w:vMerge w:val="continue"/>
            <w:shd w:val="clear" w:color="auto" w:fill="E5E6EF"/>
          </w:tcPr>
          <w:p>
            <w:pPr>
              <w:spacing w:after="0"/>
              <w:rPr>
                <w:sz w:val="15"/>
                <w:szCs w:val="15"/>
                <w:color w:val="auto"/>
              </w:rPr>
            </w:pPr>
          </w:p>
        </w:tc>
        <w:tc>
          <w:tcPr>
            <w:tcW w:w="620" w:type="dxa"/>
            <w:vAlign w:val="bottom"/>
            <w:shd w:val="clear" w:color="auto" w:fill="E5E6EF"/>
          </w:tcPr>
          <w:p>
            <w:pPr>
              <w:spacing w:after="0"/>
              <w:rPr>
                <w:sz w:val="15"/>
                <w:szCs w:val="15"/>
                <w:color w:val="auto"/>
              </w:rPr>
            </w:pPr>
          </w:p>
        </w:tc>
        <w:tc>
          <w:tcPr>
            <w:tcW w:w="600" w:type="dxa"/>
            <w:vAlign w:val="bottom"/>
            <w:shd w:val="clear" w:color="auto" w:fill="E5E6EF"/>
          </w:tcPr>
          <w:p>
            <w:pPr>
              <w:spacing w:after="0"/>
              <w:rPr>
                <w:sz w:val="15"/>
                <w:szCs w:val="15"/>
                <w:color w:val="auto"/>
              </w:rPr>
            </w:pPr>
          </w:p>
        </w:tc>
        <w:tc>
          <w:tcPr>
            <w:tcW w:w="600" w:type="dxa"/>
            <w:vAlign w:val="bottom"/>
            <w:shd w:val="clear" w:color="auto" w:fill="E5E6EF"/>
          </w:tcPr>
          <w:p>
            <w:pPr>
              <w:spacing w:after="0"/>
              <w:rPr>
                <w:sz w:val="15"/>
                <w:szCs w:val="15"/>
                <w:color w:val="auto"/>
              </w:rPr>
            </w:pPr>
          </w:p>
        </w:tc>
        <w:tc>
          <w:tcPr>
            <w:tcW w:w="620" w:type="dxa"/>
            <w:vAlign w:val="bottom"/>
            <w:vMerge w:val="continue"/>
            <w:shd w:val="clear" w:color="auto" w:fill="E5E6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540" w:type="dxa"/>
            <w:vAlign w:val="bottom"/>
            <w:shd w:val="clear" w:color="auto" w:fill="003478"/>
          </w:tcPr>
          <w:p>
            <w:pPr>
              <w:spacing w:after="0"/>
              <w:rPr>
                <w:sz w:val="10"/>
                <w:szCs w:val="10"/>
                <w:color w:val="auto"/>
              </w:rPr>
            </w:pPr>
          </w:p>
        </w:tc>
        <w:tc>
          <w:tcPr>
            <w:tcW w:w="820" w:type="dxa"/>
            <w:vAlign w:val="bottom"/>
            <w:tcBorders>
              <w:right w:val="single" w:sz="8" w:color="939598"/>
            </w:tcBorders>
          </w:tcPr>
          <w:p>
            <w:pPr>
              <w:spacing w:after="0"/>
              <w:rPr>
                <w:sz w:val="10"/>
                <w:szCs w:val="10"/>
                <w:color w:val="auto"/>
              </w:rPr>
            </w:pPr>
          </w:p>
        </w:tc>
        <w:tc>
          <w:tcPr>
            <w:tcW w:w="1840" w:type="dxa"/>
            <w:vAlign w:val="bottom"/>
            <w:vMerge w:val="restart"/>
          </w:tcPr>
          <w:p>
            <w:pPr>
              <w:spacing w:after="0"/>
              <w:rPr>
                <w:sz w:val="20"/>
                <w:szCs w:val="20"/>
                <w:color w:val="auto"/>
              </w:rPr>
            </w:pPr>
            <w:r>
              <w:rPr>
                <w:rFonts w:ascii="Calibri" w:cs="Calibri" w:eastAsia="Calibri" w:hAnsi="Calibri"/>
                <w:sz w:val="14"/>
                <w:szCs w:val="14"/>
                <w:color w:val="auto"/>
              </w:rPr>
              <w:t>Networking Open Archit.</w:t>
            </w:r>
          </w:p>
        </w:tc>
        <w:tc>
          <w:tcPr>
            <w:tcW w:w="580" w:type="dxa"/>
            <w:vAlign w:val="bottom"/>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580" w:type="dxa"/>
            <w:vAlign w:val="bottom"/>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40" w:type="dxa"/>
            <w:vAlign w:val="bottom"/>
            <w:shd w:val="clear" w:color="auto" w:fill="E5E6EF"/>
          </w:tcPr>
          <w:p>
            <w:pPr>
              <w:spacing w:after="0"/>
              <w:rPr>
                <w:sz w:val="10"/>
                <w:szCs w:val="10"/>
                <w:color w:val="auto"/>
              </w:rPr>
            </w:pPr>
          </w:p>
        </w:tc>
        <w:tc>
          <w:tcPr>
            <w:tcW w:w="560" w:type="dxa"/>
            <w:vAlign w:val="bottom"/>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40" w:type="dxa"/>
            <w:vAlign w:val="bottom"/>
            <w:shd w:val="clear" w:color="auto" w:fill="003478"/>
          </w:tcPr>
          <w:p>
            <w:pPr>
              <w:spacing w:after="0"/>
              <w:rPr>
                <w:sz w:val="4"/>
                <w:szCs w:val="4"/>
                <w:color w:val="auto"/>
              </w:rPr>
            </w:pPr>
          </w:p>
        </w:tc>
        <w:tc>
          <w:tcPr>
            <w:tcW w:w="820" w:type="dxa"/>
            <w:vAlign w:val="bottom"/>
            <w:tcBorders>
              <w:right w:val="single" w:sz="8" w:color="939598"/>
            </w:tcBorders>
          </w:tcPr>
          <w:p>
            <w:pPr>
              <w:spacing w:after="0"/>
              <w:rPr>
                <w:sz w:val="4"/>
                <w:szCs w:val="4"/>
                <w:color w:val="auto"/>
              </w:rPr>
            </w:pPr>
          </w:p>
        </w:tc>
        <w:tc>
          <w:tcPr>
            <w:tcW w:w="1840" w:type="dxa"/>
            <w:vAlign w:val="bottom"/>
            <w:vMerge w:val="continue"/>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40" w:type="dxa"/>
            <w:vAlign w:val="bottom"/>
            <w:shd w:val="clear" w:color="auto" w:fill="E5E6EF"/>
          </w:tcPr>
          <w:p>
            <w:pPr>
              <w:spacing w:after="0"/>
              <w:rPr>
                <w:sz w:val="4"/>
                <w:szCs w:val="4"/>
                <w:color w:val="auto"/>
              </w:rPr>
            </w:pPr>
          </w:p>
        </w:tc>
        <w:tc>
          <w:tcPr>
            <w:tcW w:w="56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540" w:type="dxa"/>
            <w:vAlign w:val="bottom"/>
            <w:tcBorders>
              <w:bottom w:val="single" w:sz="8" w:color="003478"/>
            </w:tcBorders>
            <w:shd w:val="clear" w:color="auto" w:fill="003478"/>
          </w:tcPr>
          <w:p>
            <w:pPr>
              <w:spacing w:after="0"/>
              <w:rPr>
                <w:sz w:val="11"/>
                <w:szCs w:val="11"/>
                <w:color w:val="auto"/>
              </w:rPr>
            </w:pPr>
          </w:p>
        </w:tc>
        <w:tc>
          <w:tcPr>
            <w:tcW w:w="820" w:type="dxa"/>
            <w:vAlign w:val="bottom"/>
            <w:tcBorders>
              <w:bottom w:val="single" w:sz="8" w:color="939598"/>
              <w:right w:val="single" w:sz="8" w:color="939598"/>
            </w:tcBorders>
          </w:tcPr>
          <w:p>
            <w:pPr>
              <w:spacing w:after="0"/>
              <w:rPr>
                <w:sz w:val="11"/>
                <w:szCs w:val="11"/>
                <w:color w:val="auto"/>
              </w:rPr>
            </w:pPr>
          </w:p>
        </w:tc>
        <w:tc>
          <w:tcPr>
            <w:tcW w:w="1840" w:type="dxa"/>
            <w:vAlign w:val="bottom"/>
            <w:tcBorders>
              <w:bottom w:val="single" w:sz="8" w:color="939598"/>
            </w:tcBorders>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40" w:type="dxa"/>
            <w:vAlign w:val="bottom"/>
            <w:tcBorders>
              <w:bottom w:val="single" w:sz="8" w:color="939598"/>
            </w:tcBorders>
            <w:shd w:val="clear" w:color="auto" w:fill="E5E6EF"/>
          </w:tcPr>
          <w:p>
            <w:pPr>
              <w:spacing w:after="0"/>
              <w:rPr>
                <w:sz w:val="11"/>
                <w:szCs w:val="11"/>
                <w:color w:val="auto"/>
              </w:rPr>
            </w:pPr>
          </w:p>
        </w:tc>
        <w:tc>
          <w:tcPr>
            <w:tcW w:w="56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40" w:type="dxa"/>
            <w:vAlign w:val="bottom"/>
            <w:shd w:val="clear" w:color="auto" w:fill="003478"/>
          </w:tcPr>
          <w:p>
            <w:pPr>
              <w:spacing w:after="0"/>
              <w:rPr>
                <w:sz w:val="15"/>
                <w:szCs w:val="15"/>
                <w:color w:val="auto"/>
              </w:rPr>
            </w:pPr>
          </w:p>
        </w:tc>
        <w:tc>
          <w:tcPr>
            <w:tcW w:w="820" w:type="dxa"/>
            <w:vAlign w:val="bottom"/>
            <w:tcBorders>
              <w:right w:val="single" w:sz="8" w:color="939598"/>
            </w:tcBorders>
          </w:tcPr>
          <w:p>
            <w:pPr>
              <w:spacing w:after="0"/>
              <w:rPr>
                <w:sz w:val="15"/>
                <w:szCs w:val="15"/>
                <w:color w:val="auto"/>
              </w:rPr>
            </w:pPr>
          </w:p>
        </w:tc>
        <w:tc>
          <w:tcPr>
            <w:tcW w:w="1840" w:type="dxa"/>
            <w:vAlign w:val="bottom"/>
          </w:tcPr>
          <w:p>
            <w:pPr>
              <w:spacing w:after="0"/>
              <w:rPr>
                <w:sz w:val="20"/>
                <w:szCs w:val="20"/>
                <w:color w:val="auto"/>
              </w:rPr>
            </w:pPr>
            <w:r>
              <w:rPr>
                <w:rFonts w:ascii="Calibri" w:cs="Calibri" w:eastAsia="Calibri" w:hAnsi="Calibri"/>
                <w:sz w:val="14"/>
                <w:szCs w:val="14"/>
                <w:color w:val="auto"/>
              </w:rPr>
              <w:t>AI, Autonomy,</w:t>
            </w:r>
          </w:p>
        </w:tc>
        <w:tc>
          <w:tcPr>
            <w:tcW w:w="580" w:type="dxa"/>
            <w:vAlign w:val="bottom"/>
            <w:shd w:val="clear" w:color="auto" w:fill="E5E6EF"/>
          </w:tcPr>
          <w:p>
            <w:pPr>
              <w:spacing w:after="0"/>
              <w:rPr>
                <w:sz w:val="15"/>
                <w:szCs w:val="15"/>
                <w:color w:val="auto"/>
              </w:rPr>
            </w:pPr>
          </w:p>
        </w:tc>
        <w:tc>
          <w:tcPr>
            <w:tcW w:w="600" w:type="dxa"/>
            <w:vAlign w:val="bottom"/>
            <w:shd w:val="clear" w:color="auto" w:fill="E5E6EF"/>
          </w:tcPr>
          <w:p>
            <w:pPr>
              <w:spacing w:after="0"/>
              <w:rPr>
                <w:sz w:val="15"/>
                <w:szCs w:val="15"/>
                <w:color w:val="auto"/>
              </w:rPr>
            </w:pPr>
          </w:p>
        </w:tc>
        <w:tc>
          <w:tcPr>
            <w:tcW w:w="600" w:type="dxa"/>
            <w:vAlign w:val="bottom"/>
            <w:shd w:val="clear" w:color="auto" w:fill="E5E6EF"/>
          </w:tcPr>
          <w:p>
            <w:pPr>
              <w:spacing w:after="0"/>
              <w:rPr>
                <w:sz w:val="15"/>
                <w:szCs w:val="15"/>
                <w:color w:val="auto"/>
              </w:rPr>
            </w:pPr>
          </w:p>
        </w:tc>
        <w:tc>
          <w:tcPr>
            <w:tcW w:w="580" w:type="dxa"/>
            <w:vAlign w:val="bottom"/>
            <w:shd w:val="clear" w:color="auto" w:fill="E5E6EF"/>
          </w:tcPr>
          <w:p>
            <w:pPr>
              <w:spacing w:after="0"/>
              <w:rPr>
                <w:sz w:val="15"/>
                <w:szCs w:val="15"/>
                <w:color w:val="auto"/>
              </w:rPr>
            </w:pPr>
          </w:p>
        </w:tc>
        <w:tc>
          <w:tcPr>
            <w:tcW w:w="620" w:type="dxa"/>
            <w:vAlign w:val="bottom"/>
            <w:shd w:val="clear" w:color="auto" w:fill="E5E6EF"/>
          </w:tcPr>
          <w:p>
            <w:pPr>
              <w:spacing w:after="0"/>
              <w:rPr>
                <w:sz w:val="15"/>
                <w:szCs w:val="15"/>
                <w:color w:val="auto"/>
              </w:rPr>
            </w:pPr>
          </w:p>
        </w:tc>
        <w:tc>
          <w:tcPr>
            <w:tcW w:w="40" w:type="dxa"/>
            <w:vAlign w:val="bottom"/>
            <w:shd w:val="clear" w:color="auto" w:fill="E5E6EF"/>
          </w:tcPr>
          <w:p>
            <w:pPr>
              <w:spacing w:after="0"/>
              <w:rPr>
                <w:sz w:val="15"/>
                <w:szCs w:val="15"/>
                <w:color w:val="auto"/>
              </w:rPr>
            </w:pPr>
          </w:p>
        </w:tc>
        <w:tc>
          <w:tcPr>
            <w:tcW w:w="560" w:type="dxa"/>
            <w:vAlign w:val="bottom"/>
            <w:shd w:val="clear" w:color="auto" w:fill="E5E6EF"/>
          </w:tcPr>
          <w:p>
            <w:pPr>
              <w:spacing w:after="0"/>
              <w:rPr>
                <w:sz w:val="15"/>
                <w:szCs w:val="15"/>
                <w:color w:val="auto"/>
              </w:rPr>
            </w:pPr>
          </w:p>
        </w:tc>
        <w:tc>
          <w:tcPr>
            <w:tcW w:w="620" w:type="dxa"/>
            <w:vAlign w:val="bottom"/>
            <w:shd w:val="clear" w:color="auto" w:fill="E5E6EF"/>
          </w:tcPr>
          <w:p>
            <w:pPr>
              <w:spacing w:after="0"/>
              <w:rPr>
                <w:sz w:val="15"/>
                <w:szCs w:val="15"/>
                <w:color w:val="auto"/>
              </w:rPr>
            </w:pPr>
          </w:p>
        </w:tc>
        <w:tc>
          <w:tcPr>
            <w:tcW w:w="600" w:type="dxa"/>
            <w:vAlign w:val="bottom"/>
            <w:shd w:val="clear" w:color="auto" w:fill="E5E6EF"/>
          </w:tcPr>
          <w:p>
            <w:pPr>
              <w:spacing w:after="0"/>
              <w:rPr>
                <w:sz w:val="15"/>
                <w:szCs w:val="15"/>
                <w:color w:val="auto"/>
              </w:rPr>
            </w:pPr>
          </w:p>
        </w:tc>
        <w:tc>
          <w:tcPr>
            <w:tcW w:w="600" w:type="dxa"/>
            <w:vAlign w:val="bottom"/>
            <w:shd w:val="clear" w:color="auto" w:fill="E5E6EF"/>
          </w:tcPr>
          <w:p>
            <w:pPr>
              <w:spacing w:after="0"/>
              <w:rPr>
                <w:sz w:val="15"/>
                <w:szCs w:val="15"/>
                <w:color w:val="auto"/>
              </w:rPr>
            </w:pPr>
          </w:p>
        </w:tc>
        <w:tc>
          <w:tcPr>
            <w:tcW w:w="620" w:type="dxa"/>
            <w:vAlign w:val="bottom"/>
            <w:shd w:val="clear" w:color="auto" w:fill="E5E6EF"/>
          </w:tcPr>
          <w:p>
            <w:pPr>
              <w:spacing w:after="0"/>
              <w:rPr>
                <w:sz w:val="15"/>
                <w:szCs w:val="15"/>
                <w:color w:val="auto"/>
              </w:rPr>
            </w:pPr>
          </w:p>
        </w:tc>
        <w:tc>
          <w:tcPr>
            <w:tcW w:w="600" w:type="dxa"/>
            <w:vAlign w:val="bottom"/>
            <w:shd w:val="clear" w:color="auto" w:fill="E5E6EF"/>
          </w:tcPr>
          <w:p>
            <w:pPr>
              <w:spacing w:after="0"/>
              <w:rPr>
                <w:sz w:val="15"/>
                <w:szCs w:val="15"/>
                <w:color w:val="auto"/>
              </w:rPr>
            </w:pPr>
          </w:p>
        </w:tc>
        <w:tc>
          <w:tcPr>
            <w:tcW w:w="600" w:type="dxa"/>
            <w:vAlign w:val="bottom"/>
            <w:shd w:val="clear" w:color="auto" w:fill="E5E6EF"/>
          </w:tcPr>
          <w:p>
            <w:pPr>
              <w:spacing w:after="0"/>
              <w:rPr>
                <w:sz w:val="15"/>
                <w:szCs w:val="15"/>
                <w:color w:val="auto"/>
              </w:rPr>
            </w:pPr>
          </w:p>
        </w:tc>
        <w:tc>
          <w:tcPr>
            <w:tcW w:w="620" w:type="dxa"/>
            <w:vAlign w:val="bottom"/>
            <w:shd w:val="clear" w:color="auto" w:fill="E5E6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40" w:type="dxa"/>
            <w:vAlign w:val="bottom"/>
            <w:shd w:val="clear" w:color="auto" w:fill="003478"/>
          </w:tcPr>
          <w:p>
            <w:pPr>
              <w:spacing w:after="0"/>
              <w:rPr>
                <w:sz w:val="14"/>
                <w:szCs w:val="14"/>
                <w:color w:val="auto"/>
              </w:rPr>
            </w:pPr>
          </w:p>
        </w:tc>
        <w:tc>
          <w:tcPr>
            <w:tcW w:w="820" w:type="dxa"/>
            <w:vAlign w:val="bottom"/>
            <w:tcBorders>
              <w:right w:val="single" w:sz="8" w:color="939598"/>
            </w:tcBorders>
          </w:tcPr>
          <w:p>
            <w:pPr>
              <w:spacing w:after="0"/>
              <w:rPr>
                <w:sz w:val="14"/>
                <w:szCs w:val="14"/>
                <w:color w:val="auto"/>
              </w:rPr>
            </w:pPr>
          </w:p>
        </w:tc>
        <w:tc>
          <w:tcPr>
            <w:tcW w:w="1840" w:type="dxa"/>
            <w:vAlign w:val="bottom"/>
          </w:tcPr>
          <w:p>
            <w:pPr>
              <w:spacing w:after="0" w:line="163" w:lineRule="exact"/>
              <w:rPr>
                <w:sz w:val="20"/>
                <w:szCs w:val="20"/>
                <w:color w:val="auto"/>
              </w:rPr>
            </w:pPr>
            <w:r>
              <w:rPr>
                <w:rFonts w:ascii="Calibri" w:cs="Calibri" w:eastAsia="Calibri" w:hAnsi="Calibri"/>
                <w:sz w:val="14"/>
                <w:szCs w:val="14"/>
                <w:color w:val="auto"/>
              </w:rPr>
              <w:t>Advanced Comms,</w:t>
            </w:r>
          </w:p>
        </w:tc>
        <w:tc>
          <w:tcPr>
            <w:tcW w:w="580" w:type="dxa"/>
            <w:vAlign w:val="bottom"/>
            <w:shd w:val="clear" w:color="auto" w:fill="E5E6EF"/>
          </w:tcPr>
          <w:p>
            <w:pPr>
              <w:jc w:val="center"/>
              <w:spacing w:after="0" w:line="163" w:lineRule="exact"/>
              <w:rPr>
                <w:sz w:val="20"/>
                <w:szCs w:val="20"/>
                <w:color w:val="auto"/>
              </w:rPr>
            </w:pPr>
            <w:r>
              <w:rPr>
                <w:rFonts w:ascii="Wingdings" w:cs="Wingdings" w:eastAsia="Wingdings" w:hAnsi="Wingdings"/>
                <w:sz w:val="17"/>
                <w:szCs w:val="17"/>
                <w:b w:val="1"/>
                <w:bCs w:val="1"/>
                <w:color w:val="003478"/>
              </w:rPr>
              <w:t>l</w:t>
            </w:r>
          </w:p>
        </w:tc>
        <w:tc>
          <w:tcPr>
            <w:tcW w:w="600" w:type="dxa"/>
            <w:vAlign w:val="bottom"/>
            <w:shd w:val="clear" w:color="auto" w:fill="E5E6EF"/>
          </w:tcPr>
          <w:p>
            <w:pPr>
              <w:spacing w:after="0"/>
              <w:rPr>
                <w:sz w:val="14"/>
                <w:szCs w:val="14"/>
                <w:color w:val="auto"/>
              </w:rPr>
            </w:pPr>
          </w:p>
        </w:tc>
        <w:tc>
          <w:tcPr>
            <w:tcW w:w="600" w:type="dxa"/>
            <w:vAlign w:val="bottom"/>
            <w:shd w:val="clear" w:color="auto" w:fill="E5E6EF"/>
          </w:tcPr>
          <w:p>
            <w:pPr>
              <w:spacing w:after="0"/>
              <w:rPr>
                <w:sz w:val="14"/>
                <w:szCs w:val="14"/>
                <w:color w:val="auto"/>
              </w:rPr>
            </w:pPr>
          </w:p>
        </w:tc>
        <w:tc>
          <w:tcPr>
            <w:tcW w:w="580" w:type="dxa"/>
            <w:vAlign w:val="bottom"/>
            <w:shd w:val="clear" w:color="auto" w:fill="E5E6EF"/>
          </w:tcPr>
          <w:p>
            <w:pPr>
              <w:spacing w:after="0"/>
              <w:rPr>
                <w:sz w:val="14"/>
                <w:szCs w:val="14"/>
                <w:color w:val="auto"/>
              </w:rPr>
            </w:pPr>
          </w:p>
        </w:tc>
        <w:tc>
          <w:tcPr>
            <w:tcW w:w="620" w:type="dxa"/>
            <w:vAlign w:val="bottom"/>
            <w:shd w:val="clear" w:color="auto" w:fill="E5E6EF"/>
          </w:tcPr>
          <w:p>
            <w:pPr>
              <w:jc w:val="center"/>
              <w:spacing w:after="0" w:line="163" w:lineRule="exact"/>
              <w:rPr>
                <w:sz w:val="20"/>
                <w:szCs w:val="20"/>
                <w:color w:val="auto"/>
              </w:rPr>
            </w:pPr>
            <w:r>
              <w:rPr>
                <w:rFonts w:ascii="Wingdings" w:cs="Wingdings" w:eastAsia="Wingdings" w:hAnsi="Wingdings"/>
                <w:sz w:val="17"/>
                <w:szCs w:val="17"/>
                <w:b w:val="1"/>
                <w:bCs w:val="1"/>
                <w:color w:val="003478"/>
                <w:w w:val="94"/>
              </w:rPr>
              <w:t>l</w:t>
            </w:r>
          </w:p>
        </w:tc>
        <w:tc>
          <w:tcPr>
            <w:tcW w:w="40" w:type="dxa"/>
            <w:vAlign w:val="bottom"/>
            <w:shd w:val="clear" w:color="auto" w:fill="E5E6EF"/>
          </w:tcPr>
          <w:p>
            <w:pPr>
              <w:spacing w:after="0"/>
              <w:rPr>
                <w:sz w:val="14"/>
                <w:szCs w:val="14"/>
                <w:color w:val="auto"/>
              </w:rPr>
            </w:pPr>
          </w:p>
        </w:tc>
        <w:tc>
          <w:tcPr>
            <w:tcW w:w="560" w:type="dxa"/>
            <w:vAlign w:val="bottom"/>
            <w:shd w:val="clear" w:color="auto" w:fill="E5E6EF"/>
          </w:tcPr>
          <w:p>
            <w:pPr>
              <w:spacing w:after="0"/>
              <w:rPr>
                <w:sz w:val="14"/>
                <w:szCs w:val="14"/>
                <w:color w:val="auto"/>
              </w:rPr>
            </w:pPr>
          </w:p>
        </w:tc>
        <w:tc>
          <w:tcPr>
            <w:tcW w:w="620" w:type="dxa"/>
            <w:vAlign w:val="bottom"/>
            <w:shd w:val="clear" w:color="auto" w:fill="E5E6EF"/>
          </w:tcPr>
          <w:p>
            <w:pPr>
              <w:spacing w:after="0"/>
              <w:rPr>
                <w:sz w:val="14"/>
                <w:szCs w:val="14"/>
                <w:color w:val="auto"/>
              </w:rPr>
            </w:pPr>
          </w:p>
        </w:tc>
        <w:tc>
          <w:tcPr>
            <w:tcW w:w="600" w:type="dxa"/>
            <w:vAlign w:val="bottom"/>
            <w:shd w:val="clear" w:color="auto" w:fill="E5E6EF"/>
          </w:tcPr>
          <w:p>
            <w:pPr>
              <w:spacing w:after="0"/>
              <w:rPr>
                <w:sz w:val="14"/>
                <w:szCs w:val="14"/>
                <w:color w:val="auto"/>
              </w:rPr>
            </w:pPr>
          </w:p>
        </w:tc>
        <w:tc>
          <w:tcPr>
            <w:tcW w:w="600" w:type="dxa"/>
            <w:vAlign w:val="bottom"/>
            <w:shd w:val="clear" w:color="auto" w:fill="E5E6EF"/>
          </w:tcPr>
          <w:p>
            <w:pPr>
              <w:jc w:val="center"/>
              <w:spacing w:after="0" w:line="163" w:lineRule="exact"/>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spacing w:after="0"/>
              <w:rPr>
                <w:sz w:val="14"/>
                <w:szCs w:val="14"/>
                <w:color w:val="auto"/>
              </w:rPr>
            </w:pPr>
          </w:p>
        </w:tc>
        <w:tc>
          <w:tcPr>
            <w:tcW w:w="600" w:type="dxa"/>
            <w:vAlign w:val="bottom"/>
            <w:shd w:val="clear" w:color="auto" w:fill="E5E6EF"/>
          </w:tcPr>
          <w:p>
            <w:pPr>
              <w:jc w:val="center"/>
              <w:spacing w:after="0" w:line="163" w:lineRule="exact"/>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14"/>
                <w:szCs w:val="14"/>
                <w:color w:val="auto"/>
              </w:rPr>
            </w:pPr>
          </w:p>
        </w:tc>
        <w:tc>
          <w:tcPr>
            <w:tcW w:w="620" w:type="dxa"/>
            <w:vAlign w:val="bottom"/>
            <w:shd w:val="clear" w:color="auto" w:fill="E5E6EF"/>
          </w:tcPr>
          <w:p>
            <w:pPr>
              <w:jc w:val="center"/>
              <w:spacing w:after="0" w:line="163" w:lineRule="exact"/>
              <w:rPr>
                <w:sz w:val="20"/>
                <w:szCs w:val="20"/>
                <w:color w:val="auto"/>
              </w:rPr>
            </w:pPr>
            <w:r>
              <w:rPr>
                <w:rFonts w:ascii="Wingdings" w:cs="Wingdings" w:eastAsia="Wingdings" w:hAnsi="Wingdings"/>
                <w:sz w:val="17"/>
                <w:szCs w:val="17"/>
                <w:b w:val="1"/>
                <w:bCs w:val="1"/>
                <w:color w:val="003478"/>
                <w:w w:val="94"/>
              </w:rPr>
              <w:t>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 w:type="dxa"/>
            <w:vAlign w:val="bottom"/>
            <w:shd w:val="clear" w:color="auto" w:fill="003478"/>
          </w:tcPr>
          <w:p>
            <w:pPr>
              <w:spacing w:after="0"/>
              <w:rPr>
                <w:sz w:val="14"/>
                <w:szCs w:val="14"/>
                <w:color w:val="auto"/>
              </w:rPr>
            </w:pPr>
          </w:p>
        </w:tc>
        <w:tc>
          <w:tcPr>
            <w:tcW w:w="820" w:type="dxa"/>
            <w:vAlign w:val="bottom"/>
            <w:tcBorders>
              <w:right w:val="single" w:sz="8" w:color="939598"/>
            </w:tcBorders>
            <w:vMerge w:val="restart"/>
          </w:tcPr>
          <w:p>
            <w:pPr>
              <w:ind w:left="20"/>
              <w:spacing w:after="0"/>
              <w:rPr>
                <w:sz w:val="20"/>
                <w:szCs w:val="20"/>
                <w:color w:val="auto"/>
              </w:rPr>
            </w:pPr>
            <w:r>
              <w:rPr>
                <w:rFonts w:ascii="Calibri" w:cs="Calibri" w:eastAsia="Calibri" w:hAnsi="Calibri"/>
                <w:sz w:val="14"/>
                <w:szCs w:val="14"/>
                <w:b w:val="1"/>
                <w:bCs w:val="1"/>
                <w:color w:val="003478"/>
              </w:rPr>
              <w:t>Innovate</w:t>
            </w:r>
          </w:p>
        </w:tc>
        <w:tc>
          <w:tcPr>
            <w:tcW w:w="1840" w:type="dxa"/>
            <w:vAlign w:val="bottom"/>
          </w:tcPr>
          <w:p>
            <w:pPr>
              <w:spacing w:after="0"/>
              <w:rPr>
                <w:sz w:val="20"/>
                <w:szCs w:val="20"/>
                <w:color w:val="auto"/>
              </w:rPr>
            </w:pPr>
            <w:r>
              <w:rPr>
                <w:rFonts w:ascii="Calibri" w:cs="Calibri" w:eastAsia="Calibri" w:hAnsi="Calibri"/>
                <w:sz w:val="14"/>
                <w:szCs w:val="14"/>
                <w:color w:val="auto"/>
              </w:rPr>
              <w:t>Hypersonics, Space</w:t>
            </w:r>
          </w:p>
        </w:tc>
        <w:tc>
          <w:tcPr>
            <w:tcW w:w="580" w:type="dxa"/>
            <w:vAlign w:val="bottom"/>
            <w:shd w:val="clear" w:color="auto" w:fill="E5E6EF"/>
          </w:tcPr>
          <w:p>
            <w:pPr>
              <w:spacing w:after="0"/>
              <w:rPr>
                <w:sz w:val="14"/>
                <w:szCs w:val="14"/>
                <w:color w:val="auto"/>
              </w:rPr>
            </w:pPr>
          </w:p>
        </w:tc>
        <w:tc>
          <w:tcPr>
            <w:tcW w:w="600" w:type="dxa"/>
            <w:vAlign w:val="bottom"/>
            <w:shd w:val="clear" w:color="auto" w:fill="E5E6EF"/>
          </w:tcPr>
          <w:p>
            <w:pPr>
              <w:spacing w:after="0"/>
              <w:rPr>
                <w:sz w:val="14"/>
                <w:szCs w:val="14"/>
                <w:color w:val="auto"/>
              </w:rPr>
            </w:pPr>
          </w:p>
        </w:tc>
        <w:tc>
          <w:tcPr>
            <w:tcW w:w="600" w:type="dxa"/>
            <w:vAlign w:val="bottom"/>
            <w:shd w:val="clear" w:color="auto" w:fill="E5E6EF"/>
          </w:tcPr>
          <w:p>
            <w:pPr>
              <w:spacing w:after="0"/>
              <w:rPr>
                <w:sz w:val="14"/>
                <w:szCs w:val="14"/>
                <w:color w:val="auto"/>
              </w:rPr>
            </w:pPr>
          </w:p>
        </w:tc>
        <w:tc>
          <w:tcPr>
            <w:tcW w:w="580" w:type="dxa"/>
            <w:vAlign w:val="bottom"/>
            <w:shd w:val="clear" w:color="auto" w:fill="E5E6EF"/>
          </w:tcPr>
          <w:p>
            <w:pPr>
              <w:spacing w:after="0"/>
              <w:rPr>
                <w:sz w:val="14"/>
                <w:szCs w:val="14"/>
                <w:color w:val="auto"/>
              </w:rPr>
            </w:pPr>
          </w:p>
        </w:tc>
        <w:tc>
          <w:tcPr>
            <w:tcW w:w="620" w:type="dxa"/>
            <w:vAlign w:val="bottom"/>
            <w:shd w:val="clear" w:color="auto" w:fill="E5E6EF"/>
          </w:tcPr>
          <w:p>
            <w:pPr>
              <w:spacing w:after="0"/>
              <w:rPr>
                <w:sz w:val="14"/>
                <w:szCs w:val="14"/>
                <w:color w:val="auto"/>
              </w:rPr>
            </w:pPr>
          </w:p>
        </w:tc>
        <w:tc>
          <w:tcPr>
            <w:tcW w:w="40" w:type="dxa"/>
            <w:vAlign w:val="bottom"/>
            <w:shd w:val="clear" w:color="auto" w:fill="E5E6EF"/>
          </w:tcPr>
          <w:p>
            <w:pPr>
              <w:spacing w:after="0"/>
              <w:rPr>
                <w:sz w:val="14"/>
                <w:szCs w:val="14"/>
                <w:color w:val="auto"/>
              </w:rPr>
            </w:pPr>
          </w:p>
        </w:tc>
        <w:tc>
          <w:tcPr>
            <w:tcW w:w="560" w:type="dxa"/>
            <w:vAlign w:val="bottom"/>
            <w:shd w:val="clear" w:color="auto" w:fill="E5E6EF"/>
          </w:tcPr>
          <w:p>
            <w:pPr>
              <w:spacing w:after="0"/>
              <w:rPr>
                <w:sz w:val="14"/>
                <w:szCs w:val="14"/>
                <w:color w:val="auto"/>
              </w:rPr>
            </w:pPr>
          </w:p>
        </w:tc>
        <w:tc>
          <w:tcPr>
            <w:tcW w:w="620" w:type="dxa"/>
            <w:vAlign w:val="bottom"/>
            <w:shd w:val="clear" w:color="auto" w:fill="E5E6EF"/>
          </w:tcPr>
          <w:p>
            <w:pPr>
              <w:spacing w:after="0"/>
              <w:rPr>
                <w:sz w:val="14"/>
                <w:szCs w:val="14"/>
                <w:color w:val="auto"/>
              </w:rPr>
            </w:pPr>
          </w:p>
        </w:tc>
        <w:tc>
          <w:tcPr>
            <w:tcW w:w="600" w:type="dxa"/>
            <w:vAlign w:val="bottom"/>
            <w:shd w:val="clear" w:color="auto" w:fill="E5E6EF"/>
          </w:tcPr>
          <w:p>
            <w:pPr>
              <w:spacing w:after="0"/>
              <w:rPr>
                <w:sz w:val="14"/>
                <w:szCs w:val="14"/>
                <w:color w:val="auto"/>
              </w:rPr>
            </w:pPr>
          </w:p>
        </w:tc>
        <w:tc>
          <w:tcPr>
            <w:tcW w:w="600" w:type="dxa"/>
            <w:vAlign w:val="bottom"/>
            <w:shd w:val="clear" w:color="auto" w:fill="E5E6EF"/>
          </w:tcPr>
          <w:p>
            <w:pPr>
              <w:spacing w:after="0"/>
              <w:rPr>
                <w:sz w:val="14"/>
                <w:szCs w:val="14"/>
                <w:color w:val="auto"/>
              </w:rPr>
            </w:pPr>
          </w:p>
        </w:tc>
        <w:tc>
          <w:tcPr>
            <w:tcW w:w="620" w:type="dxa"/>
            <w:vAlign w:val="bottom"/>
            <w:shd w:val="clear" w:color="auto" w:fill="E5E6EF"/>
          </w:tcPr>
          <w:p>
            <w:pPr>
              <w:spacing w:after="0"/>
              <w:rPr>
                <w:sz w:val="14"/>
                <w:szCs w:val="14"/>
                <w:color w:val="auto"/>
              </w:rPr>
            </w:pPr>
          </w:p>
        </w:tc>
        <w:tc>
          <w:tcPr>
            <w:tcW w:w="600" w:type="dxa"/>
            <w:vAlign w:val="bottom"/>
            <w:shd w:val="clear" w:color="auto" w:fill="E5E6EF"/>
          </w:tcPr>
          <w:p>
            <w:pPr>
              <w:spacing w:after="0"/>
              <w:rPr>
                <w:sz w:val="14"/>
                <w:szCs w:val="14"/>
                <w:color w:val="auto"/>
              </w:rPr>
            </w:pPr>
          </w:p>
        </w:tc>
        <w:tc>
          <w:tcPr>
            <w:tcW w:w="600" w:type="dxa"/>
            <w:vAlign w:val="bottom"/>
            <w:shd w:val="clear" w:color="auto" w:fill="E5E6EF"/>
          </w:tcPr>
          <w:p>
            <w:pPr>
              <w:spacing w:after="0"/>
              <w:rPr>
                <w:sz w:val="14"/>
                <w:szCs w:val="14"/>
                <w:color w:val="auto"/>
              </w:rPr>
            </w:pPr>
          </w:p>
        </w:tc>
        <w:tc>
          <w:tcPr>
            <w:tcW w:w="620" w:type="dxa"/>
            <w:vAlign w:val="bottom"/>
            <w:shd w:val="clear" w:color="auto" w:fill="E5E6E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540" w:type="dxa"/>
            <w:vAlign w:val="bottom"/>
            <w:tcBorders>
              <w:bottom w:val="single" w:sz="8" w:color="003478"/>
            </w:tcBorders>
            <w:shd w:val="clear" w:color="auto" w:fill="003478"/>
          </w:tcPr>
          <w:p>
            <w:pPr>
              <w:spacing w:after="0"/>
              <w:rPr>
                <w:sz w:val="8"/>
                <w:szCs w:val="8"/>
                <w:color w:val="auto"/>
              </w:rPr>
            </w:pPr>
          </w:p>
        </w:tc>
        <w:tc>
          <w:tcPr>
            <w:tcW w:w="820" w:type="dxa"/>
            <w:vAlign w:val="bottom"/>
            <w:tcBorders>
              <w:right w:val="single" w:sz="8" w:color="939598"/>
            </w:tcBorders>
            <w:vMerge w:val="continue"/>
          </w:tcPr>
          <w:p>
            <w:pPr>
              <w:spacing w:after="0"/>
              <w:rPr>
                <w:sz w:val="8"/>
                <w:szCs w:val="8"/>
                <w:color w:val="auto"/>
              </w:rPr>
            </w:pPr>
          </w:p>
        </w:tc>
        <w:tc>
          <w:tcPr>
            <w:tcW w:w="1840" w:type="dxa"/>
            <w:vAlign w:val="bottom"/>
            <w:tcBorders>
              <w:bottom w:val="single" w:sz="8" w:color="939598"/>
            </w:tcBorders>
          </w:tcPr>
          <w:p>
            <w:pPr>
              <w:spacing w:after="0"/>
              <w:rPr>
                <w:sz w:val="8"/>
                <w:szCs w:val="8"/>
                <w:color w:val="auto"/>
              </w:rPr>
            </w:pPr>
          </w:p>
        </w:tc>
        <w:tc>
          <w:tcPr>
            <w:tcW w:w="580" w:type="dxa"/>
            <w:vAlign w:val="bottom"/>
            <w:tcBorders>
              <w:bottom w:val="single" w:sz="8" w:color="939598"/>
            </w:tcBorders>
            <w:shd w:val="clear" w:color="auto" w:fill="E5E6EF"/>
          </w:tcPr>
          <w:p>
            <w:pPr>
              <w:spacing w:after="0"/>
              <w:rPr>
                <w:sz w:val="8"/>
                <w:szCs w:val="8"/>
                <w:color w:val="auto"/>
              </w:rPr>
            </w:pPr>
          </w:p>
        </w:tc>
        <w:tc>
          <w:tcPr>
            <w:tcW w:w="600" w:type="dxa"/>
            <w:vAlign w:val="bottom"/>
            <w:tcBorders>
              <w:bottom w:val="single" w:sz="8" w:color="939598"/>
            </w:tcBorders>
            <w:shd w:val="clear" w:color="auto" w:fill="E5E6EF"/>
          </w:tcPr>
          <w:p>
            <w:pPr>
              <w:spacing w:after="0"/>
              <w:rPr>
                <w:sz w:val="8"/>
                <w:szCs w:val="8"/>
                <w:color w:val="auto"/>
              </w:rPr>
            </w:pPr>
          </w:p>
        </w:tc>
        <w:tc>
          <w:tcPr>
            <w:tcW w:w="600" w:type="dxa"/>
            <w:vAlign w:val="bottom"/>
            <w:tcBorders>
              <w:bottom w:val="single" w:sz="8" w:color="939598"/>
            </w:tcBorders>
            <w:shd w:val="clear" w:color="auto" w:fill="E5E6EF"/>
          </w:tcPr>
          <w:p>
            <w:pPr>
              <w:spacing w:after="0"/>
              <w:rPr>
                <w:sz w:val="8"/>
                <w:szCs w:val="8"/>
                <w:color w:val="auto"/>
              </w:rPr>
            </w:pPr>
          </w:p>
        </w:tc>
        <w:tc>
          <w:tcPr>
            <w:tcW w:w="580" w:type="dxa"/>
            <w:vAlign w:val="bottom"/>
            <w:tcBorders>
              <w:bottom w:val="single" w:sz="8" w:color="939598"/>
            </w:tcBorders>
            <w:shd w:val="clear" w:color="auto" w:fill="E5E6EF"/>
          </w:tcPr>
          <w:p>
            <w:pPr>
              <w:spacing w:after="0"/>
              <w:rPr>
                <w:sz w:val="8"/>
                <w:szCs w:val="8"/>
                <w:color w:val="auto"/>
              </w:rPr>
            </w:pPr>
          </w:p>
        </w:tc>
        <w:tc>
          <w:tcPr>
            <w:tcW w:w="620" w:type="dxa"/>
            <w:vAlign w:val="bottom"/>
            <w:tcBorders>
              <w:bottom w:val="single" w:sz="8" w:color="939598"/>
            </w:tcBorders>
            <w:shd w:val="clear" w:color="auto" w:fill="E5E6EF"/>
          </w:tcPr>
          <w:p>
            <w:pPr>
              <w:spacing w:after="0"/>
              <w:rPr>
                <w:sz w:val="8"/>
                <w:szCs w:val="8"/>
                <w:color w:val="auto"/>
              </w:rPr>
            </w:pPr>
          </w:p>
        </w:tc>
        <w:tc>
          <w:tcPr>
            <w:tcW w:w="40" w:type="dxa"/>
            <w:vAlign w:val="bottom"/>
            <w:tcBorders>
              <w:bottom w:val="single" w:sz="8" w:color="939598"/>
            </w:tcBorders>
            <w:shd w:val="clear" w:color="auto" w:fill="E5E6EF"/>
          </w:tcPr>
          <w:p>
            <w:pPr>
              <w:spacing w:after="0"/>
              <w:rPr>
                <w:sz w:val="8"/>
                <w:szCs w:val="8"/>
                <w:color w:val="auto"/>
              </w:rPr>
            </w:pPr>
          </w:p>
        </w:tc>
        <w:tc>
          <w:tcPr>
            <w:tcW w:w="560" w:type="dxa"/>
            <w:vAlign w:val="bottom"/>
            <w:tcBorders>
              <w:bottom w:val="single" w:sz="8" w:color="939598"/>
            </w:tcBorders>
            <w:shd w:val="clear" w:color="auto" w:fill="E5E6EF"/>
          </w:tcPr>
          <w:p>
            <w:pPr>
              <w:spacing w:after="0"/>
              <w:rPr>
                <w:sz w:val="8"/>
                <w:szCs w:val="8"/>
                <w:color w:val="auto"/>
              </w:rPr>
            </w:pPr>
          </w:p>
        </w:tc>
        <w:tc>
          <w:tcPr>
            <w:tcW w:w="620" w:type="dxa"/>
            <w:vAlign w:val="bottom"/>
            <w:tcBorders>
              <w:bottom w:val="single" w:sz="8" w:color="939598"/>
            </w:tcBorders>
            <w:shd w:val="clear" w:color="auto" w:fill="E5E6EF"/>
          </w:tcPr>
          <w:p>
            <w:pPr>
              <w:spacing w:after="0"/>
              <w:rPr>
                <w:sz w:val="8"/>
                <w:szCs w:val="8"/>
                <w:color w:val="auto"/>
              </w:rPr>
            </w:pPr>
          </w:p>
        </w:tc>
        <w:tc>
          <w:tcPr>
            <w:tcW w:w="600" w:type="dxa"/>
            <w:vAlign w:val="bottom"/>
            <w:tcBorders>
              <w:bottom w:val="single" w:sz="8" w:color="939598"/>
            </w:tcBorders>
            <w:shd w:val="clear" w:color="auto" w:fill="E5E6EF"/>
          </w:tcPr>
          <w:p>
            <w:pPr>
              <w:spacing w:after="0"/>
              <w:rPr>
                <w:sz w:val="8"/>
                <w:szCs w:val="8"/>
                <w:color w:val="auto"/>
              </w:rPr>
            </w:pPr>
          </w:p>
        </w:tc>
        <w:tc>
          <w:tcPr>
            <w:tcW w:w="600" w:type="dxa"/>
            <w:vAlign w:val="bottom"/>
            <w:tcBorders>
              <w:bottom w:val="single" w:sz="8" w:color="939598"/>
            </w:tcBorders>
            <w:shd w:val="clear" w:color="auto" w:fill="E5E6EF"/>
          </w:tcPr>
          <w:p>
            <w:pPr>
              <w:spacing w:after="0"/>
              <w:rPr>
                <w:sz w:val="8"/>
                <w:szCs w:val="8"/>
                <w:color w:val="auto"/>
              </w:rPr>
            </w:pPr>
          </w:p>
        </w:tc>
        <w:tc>
          <w:tcPr>
            <w:tcW w:w="620" w:type="dxa"/>
            <w:vAlign w:val="bottom"/>
            <w:tcBorders>
              <w:bottom w:val="single" w:sz="8" w:color="939598"/>
            </w:tcBorders>
            <w:shd w:val="clear" w:color="auto" w:fill="E5E6EF"/>
          </w:tcPr>
          <w:p>
            <w:pPr>
              <w:spacing w:after="0"/>
              <w:rPr>
                <w:sz w:val="8"/>
                <w:szCs w:val="8"/>
                <w:color w:val="auto"/>
              </w:rPr>
            </w:pPr>
          </w:p>
        </w:tc>
        <w:tc>
          <w:tcPr>
            <w:tcW w:w="600" w:type="dxa"/>
            <w:vAlign w:val="bottom"/>
            <w:tcBorders>
              <w:bottom w:val="single" w:sz="8" w:color="939598"/>
            </w:tcBorders>
            <w:shd w:val="clear" w:color="auto" w:fill="E5E6EF"/>
          </w:tcPr>
          <w:p>
            <w:pPr>
              <w:spacing w:after="0"/>
              <w:rPr>
                <w:sz w:val="8"/>
                <w:szCs w:val="8"/>
                <w:color w:val="auto"/>
              </w:rPr>
            </w:pPr>
          </w:p>
        </w:tc>
        <w:tc>
          <w:tcPr>
            <w:tcW w:w="600" w:type="dxa"/>
            <w:vAlign w:val="bottom"/>
            <w:tcBorders>
              <w:bottom w:val="single" w:sz="8" w:color="939598"/>
            </w:tcBorders>
            <w:shd w:val="clear" w:color="auto" w:fill="E5E6EF"/>
          </w:tcPr>
          <w:p>
            <w:pPr>
              <w:spacing w:after="0"/>
              <w:rPr>
                <w:sz w:val="8"/>
                <w:szCs w:val="8"/>
                <w:color w:val="auto"/>
              </w:rPr>
            </w:pPr>
          </w:p>
        </w:tc>
        <w:tc>
          <w:tcPr>
            <w:tcW w:w="620" w:type="dxa"/>
            <w:vAlign w:val="bottom"/>
            <w:tcBorders>
              <w:bottom w:val="single" w:sz="8" w:color="939598"/>
            </w:tcBorders>
            <w:shd w:val="clear" w:color="auto" w:fill="E5E6EF"/>
          </w:tcPr>
          <w:p>
            <w:pPr>
              <w:spacing w:after="0"/>
              <w:rPr>
                <w:sz w:val="8"/>
                <w:szCs w:val="8"/>
                <w:color w:val="auto"/>
              </w:rPr>
            </w:pPr>
          </w:p>
        </w:tc>
        <w:tc>
          <w:tcPr>
            <w:tcW w:w="20" w:type="dxa"/>
            <w:vAlign w:val="bottom"/>
            <w:tcBorders>
              <w:bottom w:val="single" w:sz="8" w:color="939598"/>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540" w:type="dxa"/>
            <w:vAlign w:val="bottom"/>
            <w:shd w:val="clear" w:color="auto" w:fill="003478"/>
          </w:tcPr>
          <w:p>
            <w:pPr>
              <w:spacing w:after="0"/>
              <w:rPr>
                <w:sz w:val="18"/>
                <w:szCs w:val="18"/>
                <w:color w:val="auto"/>
              </w:rPr>
            </w:pPr>
          </w:p>
        </w:tc>
        <w:tc>
          <w:tcPr>
            <w:tcW w:w="820" w:type="dxa"/>
            <w:vAlign w:val="bottom"/>
            <w:tcBorders>
              <w:right w:val="single" w:sz="8" w:color="939598"/>
            </w:tcBorders>
          </w:tcPr>
          <w:p>
            <w:pPr>
              <w:spacing w:after="0"/>
              <w:rPr>
                <w:sz w:val="18"/>
                <w:szCs w:val="18"/>
                <w:color w:val="auto"/>
              </w:rPr>
            </w:pPr>
          </w:p>
        </w:tc>
        <w:tc>
          <w:tcPr>
            <w:tcW w:w="1840" w:type="dxa"/>
            <w:vAlign w:val="bottom"/>
          </w:tcPr>
          <w:p>
            <w:pPr>
              <w:spacing w:after="0"/>
              <w:rPr>
                <w:sz w:val="20"/>
                <w:szCs w:val="20"/>
                <w:color w:val="auto"/>
              </w:rPr>
            </w:pPr>
            <w:r>
              <w:rPr>
                <w:rFonts w:ascii="Calibri" w:cs="Calibri" w:eastAsia="Calibri" w:hAnsi="Calibri"/>
                <w:sz w:val="14"/>
                <w:szCs w:val="14"/>
                <w:color w:val="auto"/>
              </w:rPr>
              <w:t>Business and Digital</w:t>
            </w:r>
          </w:p>
        </w:tc>
        <w:tc>
          <w:tcPr>
            <w:tcW w:w="580" w:type="dxa"/>
            <w:vAlign w:val="bottom"/>
            <w:shd w:val="clear" w:color="auto" w:fill="E5E6EF"/>
          </w:tcPr>
          <w:p>
            <w:pPr>
              <w:spacing w:after="0"/>
              <w:rPr>
                <w:sz w:val="18"/>
                <w:szCs w:val="18"/>
                <w:color w:val="auto"/>
              </w:rPr>
            </w:pPr>
          </w:p>
        </w:tc>
        <w:tc>
          <w:tcPr>
            <w:tcW w:w="600" w:type="dxa"/>
            <w:vAlign w:val="bottom"/>
            <w:shd w:val="clear" w:color="auto" w:fill="E5E6EF"/>
          </w:tcPr>
          <w:p>
            <w:pPr>
              <w:spacing w:after="0"/>
              <w:rPr>
                <w:sz w:val="18"/>
                <w:szCs w:val="18"/>
                <w:color w:val="auto"/>
              </w:rPr>
            </w:pP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58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20" w:type="dxa"/>
            <w:vAlign w:val="bottom"/>
            <w:shd w:val="clear" w:color="auto" w:fill="E5E6EF"/>
          </w:tcPr>
          <w:p>
            <w:pPr>
              <w:spacing w:after="0"/>
              <w:rPr>
                <w:sz w:val="18"/>
                <w:szCs w:val="18"/>
                <w:color w:val="auto"/>
              </w:rPr>
            </w:pPr>
          </w:p>
        </w:tc>
        <w:tc>
          <w:tcPr>
            <w:tcW w:w="40" w:type="dxa"/>
            <w:vAlign w:val="bottom"/>
            <w:shd w:val="clear" w:color="auto" w:fill="E5E6EF"/>
          </w:tcPr>
          <w:p>
            <w:pPr>
              <w:spacing w:after="0"/>
              <w:rPr>
                <w:sz w:val="18"/>
                <w:szCs w:val="18"/>
                <w:color w:val="auto"/>
              </w:rPr>
            </w:pPr>
          </w:p>
        </w:tc>
        <w:tc>
          <w:tcPr>
            <w:tcW w:w="560" w:type="dxa"/>
            <w:vAlign w:val="bottom"/>
            <w:shd w:val="clear" w:color="auto" w:fill="E5E6EF"/>
          </w:tcPr>
          <w:p>
            <w:pPr>
              <w:spacing w:after="0"/>
              <w:rPr>
                <w:sz w:val="18"/>
                <w:szCs w:val="18"/>
                <w:color w:val="auto"/>
              </w:rPr>
            </w:pPr>
          </w:p>
        </w:tc>
        <w:tc>
          <w:tcPr>
            <w:tcW w:w="620" w:type="dxa"/>
            <w:vAlign w:val="bottom"/>
            <w:shd w:val="clear" w:color="auto" w:fill="E5E6EF"/>
          </w:tcPr>
          <w:p>
            <w:pPr>
              <w:spacing w:after="0"/>
              <w:rPr>
                <w:sz w:val="18"/>
                <w:szCs w:val="18"/>
                <w:color w:val="auto"/>
              </w:rPr>
            </w:pPr>
          </w:p>
        </w:tc>
        <w:tc>
          <w:tcPr>
            <w:tcW w:w="600" w:type="dxa"/>
            <w:vAlign w:val="bottom"/>
            <w:shd w:val="clear" w:color="auto" w:fill="E5E6EF"/>
          </w:tcPr>
          <w:p>
            <w:pPr>
              <w:spacing w:after="0"/>
              <w:rPr>
                <w:sz w:val="18"/>
                <w:szCs w:val="18"/>
                <w:color w:val="auto"/>
              </w:rPr>
            </w:pP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spacing w:after="0"/>
              <w:rPr>
                <w:sz w:val="18"/>
                <w:szCs w:val="18"/>
                <w:color w:val="auto"/>
              </w:rPr>
            </w:pPr>
          </w:p>
        </w:tc>
        <w:tc>
          <w:tcPr>
            <w:tcW w:w="600" w:type="dxa"/>
            <w:vAlign w:val="bottom"/>
            <w:shd w:val="clear" w:color="auto" w:fill="E5E6EF"/>
          </w:tcPr>
          <w:p>
            <w:pPr>
              <w:spacing w:after="0"/>
              <w:rPr>
                <w:sz w:val="18"/>
                <w:szCs w:val="18"/>
                <w:color w:val="auto"/>
              </w:rPr>
            </w:pP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540" w:type="dxa"/>
            <w:vAlign w:val="bottom"/>
            <w:shd w:val="clear" w:color="auto" w:fill="003478"/>
          </w:tcPr>
          <w:p>
            <w:pPr>
              <w:spacing w:after="0"/>
              <w:rPr>
                <w:sz w:val="10"/>
                <w:szCs w:val="10"/>
                <w:color w:val="auto"/>
              </w:rPr>
            </w:pPr>
          </w:p>
        </w:tc>
        <w:tc>
          <w:tcPr>
            <w:tcW w:w="820" w:type="dxa"/>
            <w:vAlign w:val="bottom"/>
            <w:tcBorders>
              <w:right w:val="single" w:sz="8" w:color="939598"/>
            </w:tcBorders>
          </w:tcPr>
          <w:p>
            <w:pPr>
              <w:spacing w:after="0"/>
              <w:rPr>
                <w:sz w:val="10"/>
                <w:szCs w:val="10"/>
                <w:color w:val="auto"/>
              </w:rPr>
            </w:pPr>
          </w:p>
        </w:tc>
        <w:tc>
          <w:tcPr>
            <w:tcW w:w="1840" w:type="dxa"/>
            <w:vAlign w:val="bottom"/>
            <w:vMerge w:val="restart"/>
          </w:tcPr>
          <w:p>
            <w:pPr>
              <w:spacing w:after="0"/>
              <w:rPr>
                <w:sz w:val="20"/>
                <w:szCs w:val="20"/>
                <w:color w:val="auto"/>
              </w:rPr>
            </w:pPr>
            <w:r>
              <w:rPr>
                <w:rFonts w:ascii="Calibri" w:cs="Calibri" w:eastAsia="Calibri" w:hAnsi="Calibri"/>
                <w:sz w:val="14"/>
                <w:szCs w:val="14"/>
                <w:color w:val="auto"/>
              </w:rPr>
              <w:t>Transformaton</w:t>
            </w:r>
          </w:p>
        </w:tc>
        <w:tc>
          <w:tcPr>
            <w:tcW w:w="580" w:type="dxa"/>
            <w:vAlign w:val="bottom"/>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580" w:type="dxa"/>
            <w:vAlign w:val="bottom"/>
            <w:vMerge w:val="continue"/>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40" w:type="dxa"/>
            <w:vAlign w:val="bottom"/>
            <w:shd w:val="clear" w:color="auto" w:fill="E5E6EF"/>
          </w:tcPr>
          <w:p>
            <w:pPr>
              <w:spacing w:after="0"/>
              <w:rPr>
                <w:sz w:val="10"/>
                <w:szCs w:val="10"/>
                <w:color w:val="auto"/>
              </w:rPr>
            </w:pPr>
          </w:p>
        </w:tc>
        <w:tc>
          <w:tcPr>
            <w:tcW w:w="560" w:type="dxa"/>
            <w:vAlign w:val="bottom"/>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40" w:type="dxa"/>
            <w:vAlign w:val="bottom"/>
            <w:shd w:val="clear" w:color="auto" w:fill="003478"/>
          </w:tcPr>
          <w:p>
            <w:pPr>
              <w:spacing w:after="0"/>
              <w:rPr>
                <w:sz w:val="4"/>
                <w:szCs w:val="4"/>
                <w:color w:val="auto"/>
              </w:rPr>
            </w:pPr>
          </w:p>
        </w:tc>
        <w:tc>
          <w:tcPr>
            <w:tcW w:w="820" w:type="dxa"/>
            <w:vAlign w:val="bottom"/>
            <w:tcBorders>
              <w:right w:val="single" w:sz="8" w:color="939598"/>
            </w:tcBorders>
          </w:tcPr>
          <w:p>
            <w:pPr>
              <w:spacing w:after="0"/>
              <w:rPr>
                <w:sz w:val="4"/>
                <w:szCs w:val="4"/>
                <w:color w:val="auto"/>
              </w:rPr>
            </w:pPr>
          </w:p>
        </w:tc>
        <w:tc>
          <w:tcPr>
            <w:tcW w:w="1840" w:type="dxa"/>
            <w:vAlign w:val="bottom"/>
            <w:vMerge w:val="continue"/>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40" w:type="dxa"/>
            <w:vAlign w:val="bottom"/>
            <w:shd w:val="clear" w:color="auto" w:fill="E5E6EF"/>
          </w:tcPr>
          <w:p>
            <w:pPr>
              <w:spacing w:after="0"/>
              <w:rPr>
                <w:sz w:val="4"/>
                <w:szCs w:val="4"/>
                <w:color w:val="auto"/>
              </w:rPr>
            </w:pPr>
          </w:p>
        </w:tc>
        <w:tc>
          <w:tcPr>
            <w:tcW w:w="56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540" w:type="dxa"/>
            <w:vAlign w:val="bottom"/>
            <w:tcBorders>
              <w:bottom w:val="single" w:sz="8" w:color="003478"/>
            </w:tcBorders>
            <w:shd w:val="clear" w:color="auto" w:fill="003478"/>
          </w:tcPr>
          <w:p>
            <w:pPr>
              <w:spacing w:after="0"/>
              <w:rPr>
                <w:sz w:val="11"/>
                <w:szCs w:val="11"/>
                <w:color w:val="auto"/>
              </w:rPr>
            </w:pPr>
          </w:p>
        </w:tc>
        <w:tc>
          <w:tcPr>
            <w:tcW w:w="820" w:type="dxa"/>
            <w:vAlign w:val="bottom"/>
            <w:tcBorders>
              <w:bottom w:val="single" w:sz="8" w:color="939598"/>
              <w:right w:val="single" w:sz="8" w:color="939598"/>
            </w:tcBorders>
          </w:tcPr>
          <w:p>
            <w:pPr>
              <w:spacing w:after="0"/>
              <w:rPr>
                <w:sz w:val="11"/>
                <w:szCs w:val="11"/>
                <w:color w:val="auto"/>
              </w:rPr>
            </w:pPr>
          </w:p>
        </w:tc>
        <w:tc>
          <w:tcPr>
            <w:tcW w:w="1840" w:type="dxa"/>
            <w:vAlign w:val="bottom"/>
            <w:tcBorders>
              <w:bottom w:val="single" w:sz="8" w:color="939598"/>
            </w:tcBorders>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40" w:type="dxa"/>
            <w:vAlign w:val="bottom"/>
            <w:tcBorders>
              <w:bottom w:val="single" w:sz="8" w:color="939598"/>
            </w:tcBorders>
            <w:shd w:val="clear" w:color="auto" w:fill="E5E6EF"/>
          </w:tcPr>
          <w:p>
            <w:pPr>
              <w:spacing w:after="0"/>
              <w:rPr>
                <w:sz w:val="11"/>
                <w:szCs w:val="11"/>
                <w:color w:val="auto"/>
              </w:rPr>
            </w:pPr>
          </w:p>
        </w:tc>
        <w:tc>
          <w:tcPr>
            <w:tcW w:w="56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40" w:type="dxa"/>
            <w:vAlign w:val="bottom"/>
            <w:shd w:val="clear" w:color="auto" w:fill="003478"/>
          </w:tcPr>
          <w:p>
            <w:pPr>
              <w:spacing w:after="0"/>
              <w:rPr>
                <w:sz w:val="18"/>
                <w:szCs w:val="18"/>
                <w:color w:val="auto"/>
              </w:rPr>
            </w:pPr>
          </w:p>
        </w:tc>
        <w:tc>
          <w:tcPr>
            <w:tcW w:w="820" w:type="dxa"/>
            <w:vAlign w:val="bottom"/>
            <w:tcBorders>
              <w:right w:val="single" w:sz="8" w:color="939598"/>
            </w:tcBorders>
          </w:tcPr>
          <w:p>
            <w:pPr>
              <w:spacing w:after="0"/>
              <w:rPr>
                <w:sz w:val="18"/>
                <w:szCs w:val="18"/>
                <w:color w:val="auto"/>
              </w:rPr>
            </w:pPr>
          </w:p>
        </w:tc>
        <w:tc>
          <w:tcPr>
            <w:tcW w:w="1840" w:type="dxa"/>
            <w:vAlign w:val="bottom"/>
          </w:tcPr>
          <w:p>
            <w:pPr>
              <w:spacing w:after="0"/>
              <w:rPr>
                <w:sz w:val="20"/>
                <w:szCs w:val="20"/>
                <w:color w:val="auto"/>
              </w:rPr>
            </w:pPr>
            <w:r>
              <w:rPr>
                <w:rFonts w:ascii="Calibri" w:cs="Calibri" w:eastAsia="Calibri" w:hAnsi="Calibri"/>
                <w:sz w:val="14"/>
                <w:szCs w:val="14"/>
                <w:color w:val="auto"/>
              </w:rPr>
              <w:t>Operatonal Executon</w:t>
            </w:r>
          </w:p>
        </w:tc>
        <w:tc>
          <w:tcPr>
            <w:tcW w:w="58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58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40" w:type="dxa"/>
            <w:vAlign w:val="bottom"/>
            <w:shd w:val="clear" w:color="auto" w:fill="E5E6EF"/>
          </w:tcPr>
          <w:p>
            <w:pPr>
              <w:spacing w:after="0"/>
              <w:rPr>
                <w:sz w:val="18"/>
                <w:szCs w:val="18"/>
                <w:color w:val="auto"/>
              </w:rPr>
            </w:pPr>
          </w:p>
        </w:tc>
        <w:tc>
          <w:tcPr>
            <w:tcW w:w="56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540" w:type="dxa"/>
            <w:vAlign w:val="bottom"/>
            <w:shd w:val="clear" w:color="auto" w:fill="003478"/>
          </w:tcPr>
          <w:p>
            <w:pPr>
              <w:spacing w:after="0"/>
              <w:rPr>
                <w:sz w:val="10"/>
                <w:szCs w:val="10"/>
                <w:color w:val="auto"/>
              </w:rPr>
            </w:pPr>
          </w:p>
        </w:tc>
        <w:tc>
          <w:tcPr>
            <w:tcW w:w="820" w:type="dxa"/>
            <w:vAlign w:val="bottom"/>
            <w:tcBorders>
              <w:right w:val="single" w:sz="8" w:color="939598"/>
            </w:tcBorders>
          </w:tcPr>
          <w:p>
            <w:pPr>
              <w:spacing w:after="0"/>
              <w:rPr>
                <w:sz w:val="10"/>
                <w:szCs w:val="10"/>
                <w:color w:val="auto"/>
              </w:rPr>
            </w:pPr>
          </w:p>
        </w:tc>
        <w:tc>
          <w:tcPr>
            <w:tcW w:w="1840" w:type="dxa"/>
            <w:vAlign w:val="bottom"/>
            <w:vMerge w:val="restart"/>
          </w:tcPr>
          <w:p>
            <w:pPr>
              <w:spacing w:after="0"/>
              <w:rPr>
                <w:sz w:val="20"/>
                <w:szCs w:val="20"/>
                <w:color w:val="auto"/>
              </w:rPr>
            </w:pPr>
            <w:r>
              <w:rPr>
                <w:rFonts w:ascii="Calibri" w:cs="Calibri" w:eastAsia="Calibri" w:hAnsi="Calibri"/>
                <w:sz w:val="14"/>
                <w:szCs w:val="14"/>
                <w:color w:val="auto"/>
              </w:rPr>
              <w:t>and Efciency</w:t>
            </w:r>
          </w:p>
        </w:tc>
        <w:tc>
          <w:tcPr>
            <w:tcW w:w="58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580" w:type="dxa"/>
            <w:vAlign w:val="bottom"/>
            <w:vMerge w:val="continue"/>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40" w:type="dxa"/>
            <w:vAlign w:val="bottom"/>
            <w:shd w:val="clear" w:color="auto" w:fill="E5E6EF"/>
          </w:tcPr>
          <w:p>
            <w:pPr>
              <w:spacing w:after="0"/>
              <w:rPr>
                <w:sz w:val="10"/>
                <w:szCs w:val="10"/>
                <w:color w:val="auto"/>
              </w:rPr>
            </w:pPr>
          </w:p>
        </w:tc>
        <w:tc>
          <w:tcPr>
            <w:tcW w:w="560" w:type="dxa"/>
            <w:vAlign w:val="bottom"/>
            <w:vMerge w:val="continue"/>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40" w:type="dxa"/>
            <w:vAlign w:val="bottom"/>
            <w:shd w:val="clear" w:color="auto" w:fill="003478"/>
          </w:tcPr>
          <w:p>
            <w:pPr>
              <w:spacing w:after="0"/>
              <w:rPr>
                <w:sz w:val="4"/>
                <w:szCs w:val="4"/>
                <w:color w:val="auto"/>
              </w:rPr>
            </w:pPr>
          </w:p>
        </w:tc>
        <w:tc>
          <w:tcPr>
            <w:tcW w:w="820" w:type="dxa"/>
            <w:vAlign w:val="bottom"/>
            <w:tcBorders>
              <w:right w:val="single" w:sz="8" w:color="939598"/>
            </w:tcBorders>
          </w:tcPr>
          <w:p>
            <w:pPr>
              <w:spacing w:after="0"/>
              <w:rPr>
                <w:sz w:val="4"/>
                <w:szCs w:val="4"/>
                <w:color w:val="auto"/>
              </w:rPr>
            </w:pPr>
          </w:p>
        </w:tc>
        <w:tc>
          <w:tcPr>
            <w:tcW w:w="1840" w:type="dxa"/>
            <w:vAlign w:val="bottom"/>
            <w:vMerge w:val="continue"/>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40" w:type="dxa"/>
            <w:vAlign w:val="bottom"/>
            <w:shd w:val="clear" w:color="auto" w:fill="E5E6EF"/>
          </w:tcPr>
          <w:p>
            <w:pPr>
              <w:spacing w:after="0"/>
              <w:rPr>
                <w:sz w:val="4"/>
                <w:szCs w:val="4"/>
                <w:color w:val="auto"/>
              </w:rPr>
            </w:pPr>
          </w:p>
        </w:tc>
        <w:tc>
          <w:tcPr>
            <w:tcW w:w="56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540" w:type="dxa"/>
            <w:vAlign w:val="bottom"/>
            <w:tcBorders>
              <w:bottom w:val="single" w:sz="8" w:color="003478"/>
            </w:tcBorders>
            <w:shd w:val="clear" w:color="auto" w:fill="003478"/>
          </w:tcPr>
          <w:p>
            <w:pPr>
              <w:spacing w:after="0"/>
              <w:rPr>
                <w:sz w:val="11"/>
                <w:szCs w:val="11"/>
                <w:color w:val="auto"/>
              </w:rPr>
            </w:pPr>
          </w:p>
        </w:tc>
        <w:tc>
          <w:tcPr>
            <w:tcW w:w="820" w:type="dxa"/>
            <w:vAlign w:val="bottom"/>
            <w:tcBorders>
              <w:right w:val="single" w:sz="8" w:color="939598"/>
            </w:tcBorders>
            <w:vMerge w:val="restart"/>
          </w:tcPr>
          <w:p>
            <w:pPr>
              <w:ind w:left="20"/>
              <w:spacing w:after="0"/>
              <w:rPr>
                <w:sz w:val="20"/>
                <w:szCs w:val="20"/>
                <w:color w:val="auto"/>
              </w:rPr>
            </w:pPr>
            <w:r>
              <w:rPr>
                <w:rFonts w:ascii="Calibri" w:cs="Calibri" w:eastAsia="Calibri" w:hAnsi="Calibri"/>
                <w:sz w:val="14"/>
                <w:szCs w:val="14"/>
                <w:b w:val="1"/>
                <w:bCs w:val="1"/>
                <w:color w:val="003478"/>
              </w:rPr>
              <w:t>Drive</w:t>
            </w:r>
          </w:p>
        </w:tc>
        <w:tc>
          <w:tcPr>
            <w:tcW w:w="1840" w:type="dxa"/>
            <w:vAlign w:val="bottom"/>
            <w:tcBorders>
              <w:bottom w:val="single" w:sz="8" w:color="939598"/>
            </w:tcBorders>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40" w:type="dxa"/>
            <w:vAlign w:val="bottom"/>
            <w:tcBorders>
              <w:bottom w:val="single" w:sz="8" w:color="939598"/>
            </w:tcBorders>
            <w:shd w:val="clear" w:color="auto" w:fill="E5E6EF"/>
          </w:tcPr>
          <w:p>
            <w:pPr>
              <w:spacing w:after="0"/>
              <w:rPr>
                <w:sz w:val="11"/>
                <w:szCs w:val="11"/>
                <w:color w:val="auto"/>
              </w:rPr>
            </w:pPr>
          </w:p>
        </w:tc>
        <w:tc>
          <w:tcPr>
            <w:tcW w:w="56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540" w:type="dxa"/>
            <w:vAlign w:val="bottom"/>
            <w:shd w:val="clear" w:color="auto" w:fill="003478"/>
          </w:tcPr>
          <w:p>
            <w:pPr>
              <w:spacing w:after="0"/>
              <w:rPr>
                <w:sz w:val="3"/>
                <w:szCs w:val="3"/>
                <w:color w:val="auto"/>
              </w:rPr>
            </w:pPr>
          </w:p>
        </w:tc>
        <w:tc>
          <w:tcPr>
            <w:tcW w:w="820" w:type="dxa"/>
            <w:vAlign w:val="bottom"/>
            <w:tcBorders>
              <w:right w:val="single" w:sz="8" w:color="939598"/>
            </w:tcBorders>
            <w:vMerge w:val="continue"/>
          </w:tcPr>
          <w:p>
            <w:pPr>
              <w:spacing w:after="0"/>
              <w:rPr>
                <w:sz w:val="3"/>
                <w:szCs w:val="3"/>
                <w:color w:val="auto"/>
              </w:rPr>
            </w:pPr>
          </w:p>
        </w:tc>
        <w:tc>
          <w:tcPr>
            <w:tcW w:w="1840" w:type="dxa"/>
            <w:vAlign w:val="bottom"/>
            <w:vMerge w:val="restart"/>
          </w:tcPr>
          <w:p>
            <w:pPr>
              <w:spacing w:after="0"/>
              <w:rPr>
                <w:sz w:val="20"/>
                <w:szCs w:val="20"/>
                <w:color w:val="auto"/>
              </w:rPr>
            </w:pPr>
            <w:r>
              <w:rPr>
                <w:rFonts w:ascii="Calibri" w:cs="Calibri" w:eastAsia="Calibri" w:hAnsi="Calibri"/>
                <w:sz w:val="14"/>
                <w:szCs w:val="14"/>
                <w:color w:val="auto"/>
              </w:rPr>
              <w:t>Supply Chain Excellence</w:t>
            </w:r>
          </w:p>
        </w:tc>
        <w:tc>
          <w:tcPr>
            <w:tcW w:w="580" w:type="dxa"/>
            <w:vAlign w:val="bottom"/>
            <w:shd w:val="clear" w:color="auto" w:fill="E5E6EF"/>
          </w:tcPr>
          <w:p>
            <w:pPr>
              <w:spacing w:after="0"/>
              <w:rPr>
                <w:sz w:val="3"/>
                <w:szCs w:val="3"/>
                <w:color w:val="auto"/>
              </w:rPr>
            </w:pP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58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20" w:type="dxa"/>
            <w:vAlign w:val="bottom"/>
            <w:shd w:val="clear" w:color="auto" w:fill="E5E6EF"/>
          </w:tcPr>
          <w:p>
            <w:pPr>
              <w:spacing w:after="0"/>
              <w:rPr>
                <w:sz w:val="3"/>
                <w:szCs w:val="3"/>
                <w:color w:val="auto"/>
              </w:rPr>
            </w:pPr>
          </w:p>
        </w:tc>
        <w:tc>
          <w:tcPr>
            <w:tcW w:w="40" w:type="dxa"/>
            <w:vAlign w:val="bottom"/>
            <w:shd w:val="clear" w:color="auto" w:fill="E5E6EF"/>
          </w:tcPr>
          <w:p>
            <w:pPr>
              <w:spacing w:after="0"/>
              <w:rPr>
                <w:sz w:val="3"/>
                <w:szCs w:val="3"/>
                <w:color w:val="auto"/>
              </w:rPr>
            </w:pPr>
          </w:p>
        </w:tc>
        <w:tc>
          <w:tcPr>
            <w:tcW w:w="560" w:type="dxa"/>
            <w:vAlign w:val="bottom"/>
            <w:shd w:val="clear" w:color="auto" w:fill="E5E6EF"/>
          </w:tcPr>
          <w:p>
            <w:pPr>
              <w:spacing w:after="0"/>
              <w:rPr>
                <w:sz w:val="3"/>
                <w:szCs w:val="3"/>
                <w:color w:val="auto"/>
              </w:rPr>
            </w:pP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3"/>
                <w:szCs w:val="3"/>
                <w:color w:val="auto"/>
              </w:rPr>
            </w:pP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3"/>
                <w:szCs w:val="3"/>
                <w:color w:val="auto"/>
              </w:rPr>
            </w:pPr>
          </w:p>
        </w:tc>
        <w:tc>
          <w:tcPr>
            <w:tcW w:w="600" w:type="dxa"/>
            <w:vAlign w:val="bottom"/>
            <w:shd w:val="clear" w:color="auto" w:fill="E5E6EF"/>
          </w:tcPr>
          <w:p>
            <w:pPr>
              <w:spacing w:after="0"/>
              <w:rPr>
                <w:sz w:val="3"/>
                <w:szCs w:val="3"/>
                <w:color w:val="auto"/>
              </w:rPr>
            </w:pPr>
          </w:p>
        </w:tc>
        <w:tc>
          <w:tcPr>
            <w:tcW w:w="620" w:type="dxa"/>
            <w:vAlign w:val="bottom"/>
            <w:shd w:val="clear" w:color="auto" w:fill="E5E6E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40" w:type="dxa"/>
            <w:vAlign w:val="bottom"/>
            <w:shd w:val="clear" w:color="auto" w:fill="003478"/>
          </w:tcPr>
          <w:p>
            <w:pPr>
              <w:spacing w:after="0"/>
              <w:rPr>
                <w:sz w:val="24"/>
                <w:szCs w:val="24"/>
                <w:color w:val="auto"/>
              </w:rPr>
            </w:pPr>
          </w:p>
        </w:tc>
        <w:tc>
          <w:tcPr>
            <w:tcW w:w="820" w:type="dxa"/>
            <w:vAlign w:val="bottom"/>
            <w:tcBorders>
              <w:right w:val="single" w:sz="8" w:color="939598"/>
            </w:tcBorders>
          </w:tcPr>
          <w:p>
            <w:pPr>
              <w:spacing w:after="0"/>
              <w:rPr>
                <w:sz w:val="24"/>
                <w:szCs w:val="24"/>
                <w:color w:val="auto"/>
              </w:rPr>
            </w:pPr>
          </w:p>
        </w:tc>
        <w:tc>
          <w:tcPr>
            <w:tcW w:w="1840" w:type="dxa"/>
            <w:vAlign w:val="bottom"/>
            <w:vMerge w:val="continue"/>
          </w:tcPr>
          <w:p>
            <w:pPr>
              <w:spacing w:after="0"/>
              <w:rPr>
                <w:sz w:val="24"/>
                <w:szCs w:val="24"/>
                <w:color w:val="auto"/>
              </w:rPr>
            </w:pPr>
          </w:p>
        </w:tc>
        <w:tc>
          <w:tcPr>
            <w:tcW w:w="580" w:type="dxa"/>
            <w:vAlign w:val="bottom"/>
            <w:shd w:val="clear" w:color="auto" w:fill="E5E6EF"/>
          </w:tcPr>
          <w:p>
            <w:pPr>
              <w:spacing w:after="0"/>
              <w:rPr>
                <w:sz w:val="24"/>
                <w:szCs w:val="24"/>
                <w:color w:val="auto"/>
              </w:rPr>
            </w:pPr>
          </w:p>
        </w:tc>
        <w:tc>
          <w:tcPr>
            <w:tcW w:w="600" w:type="dxa"/>
            <w:vAlign w:val="bottom"/>
            <w:vMerge w:val="continue"/>
            <w:shd w:val="clear" w:color="auto" w:fill="E5E6EF"/>
          </w:tcPr>
          <w:p>
            <w:pPr>
              <w:spacing w:after="0"/>
              <w:rPr>
                <w:sz w:val="24"/>
                <w:szCs w:val="24"/>
                <w:color w:val="auto"/>
              </w:rPr>
            </w:pPr>
          </w:p>
        </w:tc>
        <w:tc>
          <w:tcPr>
            <w:tcW w:w="600" w:type="dxa"/>
            <w:vAlign w:val="bottom"/>
            <w:vMerge w:val="continue"/>
            <w:shd w:val="clear" w:color="auto" w:fill="E5E6EF"/>
          </w:tcPr>
          <w:p>
            <w:pPr>
              <w:spacing w:after="0"/>
              <w:rPr>
                <w:sz w:val="24"/>
                <w:szCs w:val="24"/>
                <w:color w:val="auto"/>
              </w:rPr>
            </w:pPr>
          </w:p>
        </w:tc>
        <w:tc>
          <w:tcPr>
            <w:tcW w:w="580" w:type="dxa"/>
            <w:vAlign w:val="bottom"/>
            <w:vMerge w:val="continue"/>
            <w:shd w:val="clear" w:color="auto" w:fill="E5E6EF"/>
          </w:tcPr>
          <w:p>
            <w:pPr>
              <w:spacing w:after="0"/>
              <w:rPr>
                <w:sz w:val="24"/>
                <w:szCs w:val="24"/>
                <w:color w:val="auto"/>
              </w:rPr>
            </w:pPr>
          </w:p>
        </w:tc>
        <w:tc>
          <w:tcPr>
            <w:tcW w:w="620" w:type="dxa"/>
            <w:vAlign w:val="bottom"/>
            <w:shd w:val="clear" w:color="auto" w:fill="E5E6EF"/>
          </w:tcPr>
          <w:p>
            <w:pPr>
              <w:spacing w:after="0"/>
              <w:rPr>
                <w:sz w:val="24"/>
                <w:szCs w:val="24"/>
                <w:color w:val="auto"/>
              </w:rPr>
            </w:pPr>
          </w:p>
        </w:tc>
        <w:tc>
          <w:tcPr>
            <w:tcW w:w="40" w:type="dxa"/>
            <w:vAlign w:val="bottom"/>
            <w:shd w:val="clear" w:color="auto" w:fill="E5E6EF"/>
          </w:tcPr>
          <w:p>
            <w:pPr>
              <w:spacing w:after="0"/>
              <w:rPr>
                <w:sz w:val="24"/>
                <w:szCs w:val="24"/>
                <w:color w:val="auto"/>
              </w:rPr>
            </w:pPr>
          </w:p>
        </w:tc>
        <w:tc>
          <w:tcPr>
            <w:tcW w:w="560" w:type="dxa"/>
            <w:vAlign w:val="bottom"/>
            <w:shd w:val="clear" w:color="auto" w:fill="E5E6EF"/>
          </w:tcPr>
          <w:p>
            <w:pPr>
              <w:spacing w:after="0"/>
              <w:rPr>
                <w:sz w:val="24"/>
                <w:szCs w:val="24"/>
                <w:color w:val="auto"/>
              </w:rPr>
            </w:pPr>
          </w:p>
        </w:tc>
        <w:tc>
          <w:tcPr>
            <w:tcW w:w="620" w:type="dxa"/>
            <w:vAlign w:val="bottom"/>
            <w:vMerge w:val="continue"/>
            <w:shd w:val="clear" w:color="auto" w:fill="E5E6EF"/>
          </w:tcPr>
          <w:p>
            <w:pPr>
              <w:spacing w:after="0"/>
              <w:rPr>
                <w:sz w:val="24"/>
                <w:szCs w:val="24"/>
                <w:color w:val="auto"/>
              </w:rPr>
            </w:pPr>
          </w:p>
        </w:tc>
        <w:tc>
          <w:tcPr>
            <w:tcW w:w="600" w:type="dxa"/>
            <w:vAlign w:val="bottom"/>
            <w:shd w:val="clear" w:color="auto" w:fill="E5E6EF"/>
          </w:tcPr>
          <w:p>
            <w:pPr>
              <w:spacing w:after="0"/>
              <w:rPr>
                <w:sz w:val="24"/>
                <w:szCs w:val="24"/>
                <w:color w:val="auto"/>
              </w:rPr>
            </w:pPr>
          </w:p>
        </w:tc>
        <w:tc>
          <w:tcPr>
            <w:tcW w:w="600" w:type="dxa"/>
            <w:vAlign w:val="bottom"/>
            <w:vMerge w:val="continue"/>
            <w:shd w:val="clear" w:color="auto" w:fill="E5E6EF"/>
          </w:tcPr>
          <w:p>
            <w:pPr>
              <w:spacing w:after="0"/>
              <w:rPr>
                <w:sz w:val="24"/>
                <w:szCs w:val="24"/>
                <w:color w:val="auto"/>
              </w:rPr>
            </w:pPr>
          </w:p>
        </w:tc>
        <w:tc>
          <w:tcPr>
            <w:tcW w:w="620" w:type="dxa"/>
            <w:vAlign w:val="bottom"/>
            <w:vMerge w:val="continue"/>
            <w:shd w:val="clear" w:color="auto" w:fill="E5E6EF"/>
          </w:tcPr>
          <w:p>
            <w:pPr>
              <w:spacing w:after="0"/>
              <w:rPr>
                <w:sz w:val="24"/>
                <w:szCs w:val="24"/>
                <w:color w:val="auto"/>
              </w:rPr>
            </w:pPr>
          </w:p>
        </w:tc>
        <w:tc>
          <w:tcPr>
            <w:tcW w:w="600" w:type="dxa"/>
            <w:vAlign w:val="bottom"/>
            <w:shd w:val="clear" w:color="auto" w:fill="E5E6EF"/>
          </w:tcPr>
          <w:p>
            <w:pPr>
              <w:spacing w:after="0"/>
              <w:rPr>
                <w:sz w:val="24"/>
                <w:szCs w:val="24"/>
                <w:color w:val="auto"/>
              </w:rPr>
            </w:pPr>
          </w:p>
        </w:tc>
        <w:tc>
          <w:tcPr>
            <w:tcW w:w="600" w:type="dxa"/>
            <w:vAlign w:val="bottom"/>
            <w:shd w:val="clear" w:color="auto" w:fill="E5E6EF"/>
          </w:tcPr>
          <w:p>
            <w:pPr>
              <w:spacing w:after="0"/>
              <w:rPr>
                <w:sz w:val="24"/>
                <w:szCs w:val="24"/>
                <w:color w:val="auto"/>
              </w:rPr>
            </w:pPr>
          </w:p>
        </w:tc>
        <w:tc>
          <w:tcPr>
            <w:tcW w:w="620" w:type="dxa"/>
            <w:vAlign w:val="bottom"/>
            <w:shd w:val="clear" w:color="auto" w:fill="E5E6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0" w:type="dxa"/>
            <w:vAlign w:val="bottom"/>
            <w:tcBorders>
              <w:bottom w:val="single" w:sz="8" w:color="003478"/>
            </w:tcBorders>
            <w:shd w:val="clear" w:color="auto" w:fill="003478"/>
          </w:tcPr>
          <w:p>
            <w:pPr>
              <w:spacing w:after="0"/>
              <w:rPr>
                <w:sz w:val="15"/>
                <w:szCs w:val="15"/>
                <w:color w:val="auto"/>
              </w:rPr>
            </w:pPr>
          </w:p>
        </w:tc>
        <w:tc>
          <w:tcPr>
            <w:tcW w:w="820" w:type="dxa"/>
            <w:vAlign w:val="bottom"/>
            <w:tcBorders>
              <w:bottom w:val="single" w:sz="8" w:color="939598"/>
              <w:right w:val="single" w:sz="8" w:color="939598"/>
            </w:tcBorders>
          </w:tcPr>
          <w:p>
            <w:pPr>
              <w:spacing w:after="0"/>
              <w:rPr>
                <w:sz w:val="15"/>
                <w:szCs w:val="15"/>
                <w:color w:val="auto"/>
              </w:rPr>
            </w:pPr>
          </w:p>
        </w:tc>
        <w:tc>
          <w:tcPr>
            <w:tcW w:w="1840" w:type="dxa"/>
            <w:vAlign w:val="bottom"/>
            <w:tcBorders>
              <w:bottom w:val="single" w:sz="8" w:color="939598"/>
            </w:tcBorders>
          </w:tcPr>
          <w:p>
            <w:pPr>
              <w:spacing w:after="0"/>
              <w:rPr>
                <w:sz w:val="15"/>
                <w:szCs w:val="15"/>
                <w:color w:val="auto"/>
              </w:rPr>
            </w:pPr>
          </w:p>
        </w:tc>
        <w:tc>
          <w:tcPr>
            <w:tcW w:w="580" w:type="dxa"/>
            <w:vAlign w:val="bottom"/>
            <w:tcBorders>
              <w:bottom w:val="single" w:sz="8" w:color="939598"/>
            </w:tcBorders>
            <w:shd w:val="clear" w:color="auto" w:fill="E5E6EF"/>
          </w:tcPr>
          <w:p>
            <w:pPr>
              <w:spacing w:after="0"/>
              <w:rPr>
                <w:sz w:val="15"/>
                <w:szCs w:val="15"/>
                <w:color w:val="auto"/>
              </w:rPr>
            </w:pPr>
          </w:p>
        </w:tc>
        <w:tc>
          <w:tcPr>
            <w:tcW w:w="600" w:type="dxa"/>
            <w:vAlign w:val="bottom"/>
            <w:tcBorders>
              <w:bottom w:val="single" w:sz="8" w:color="939598"/>
            </w:tcBorders>
            <w:shd w:val="clear" w:color="auto" w:fill="E5E6EF"/>
          </w:tcPr>
          <w:p>
            <w:pPr>
              <w:spacing w:after="0"/>
              <w:rPr>
                <w:sz w:val="15"/>
                <w:szCs w:val="15"/>
                <w:color w:val="auto"/>
              </w:rPr>
            </w:pPr>
          </w:p>
        </w:tc>
        <w:tc>
          <w:tcPr>
            <w:tcW w:w="600" w:type="dxa"/>
            <w:vAlign w:val="bottom"/>
            <w:tcBorders>
              <w:bottom w:val="single" w:sz="8" w:color="939598"/>
            </w:tcBorders>
            <w:shd w:val="clear" w:color="auto" w:fill="E5E6EF"/>
          </w:tcPr>
          <w:p>
            <w:pPr>
              <w:spacing w:after="0"/>
              <w:rPr>
                <w:sz w:val="15"/>
                <w:szCs w:val="15"/>
                <w:color w:val="auto"/>
              </w:rPr>
            </w:pPr>
          </w:p>
        </w:tc>
        <w:tc>
          <w:tcPr>
            <w:tcW w:w="580" w:type="dxa"/>
            <w:vAlign w:val="bottom"/>
            <w:tcBorders>
              <w:bottom w:val="single" w:sz="8" w:color="939598"/>
            </w:tcBorders>
            <w:shd w:val="clear" w:color="auto" w:fill="E5E6EF"/>
          </w:tcPr>
          <w:p>
            <w:pPr>
              <w:spacing w:after="0"/>
              <w:rPr>
                <w:sz w:val="15"/>
                <w:szCs w:val="15"/>
                <w:color w:val="auto"/>
              </w:rPr>
            </w:pPr>
          </w:p>
        </w:tc>
        <w:tc>
          <w:tcPr>
            <w:tcW w:w="620" w:type="dxa"/>
            <w:vAlign w:val="bottom"/>
            <w:tcBorders>
              <w:bottom w:val="single" w:sz="8" w:color="939598"/>
            </w:tcBorders>
            <w:shd w:val="clear" w:color="auto" w:fill="E5E6EF"/>
          </w:tcPr>
          <w:p>
            <w:pPr>
              <w:spacing w:after="0"/>
              <w:rPr>
                <w:sz w:val="15"/>
                <w:szCs w:val="15"/>
                <w:color w:val="auto"/>
              </w:rPr>
            </w:pPr>
          </w:p>
        </w:tc>
        <w:tc>
          <w:tcPr>
            <w:tcW w:w="40" w:type="dxa"/>
            <w:vAlign w:val="bottom"/>
            <w:tcBorders>
              <w:bottom w:val="single" w:sz="8" w:color="939598"/>
            </w:tcBorders>
            <w:shd w:val="clear" w:color="auto" w:fill="E5E6EF"/>
          </w:tcPr>
          <w:p>
            <w:pPr>
              <w:spacing w:after="0"/>
              <w:rPr>
                <w:sz w:val="15"/>
                <w:szCs w:val="15"/>
                <w:color w:val="auto"/>
              </w:rPr>
            </w:pPr>
          </w:p>
        </w:tc>
        <w:tc>
          <w:tcPr>
            <w:tcW w:w="560" w:type="dxa"/>
            <w:vAlign w:val="bottom"/>
            <w:tcBorders>
              <w:bottom w:val="single" w:sz="8" w:color="939598"/>
            </w:tcBorders>
            <w:shd w:val="clear" w:color="auto" w:fill="E5E6EF"/>
          </w:tcPr>
          <w:p>
            <w:pPr>
              <w:spacing w:after="0"/>
              <w:rPr>
                <w:sz w:val="15"/>
                <w:szCs w:val="15"/>
                <w:color w:val="auto"/>
              </w:rPr>
            </w:pPr>
          </w:p>
        </w:tc>
        <w:tc>
          <w:tcPr>
            <w:tcW w:w="620" w:type="dxa"/>
            <w:vAlign w:val="bottom"/>
            <w:tcBorders>
              <w:bottom w:val="single" w:sz="8" w:color="939598"/>
            </w:tcBorders>
            <w:shd w:val="clear" w:color="auto" w:fill="E5E6EF"/>
          </w:tcPr>
          <w:p>
            <w:pPr>
              <w:spacing w:after="0"/>
              <w:rPr>
                <w:sz w:val="15"/>
                <w:szCs w:val="15"/>
                <w:color w:val="auto"/>
              </w:rPr>
            </w:pPr>
          </w:p>
        </w:tc>
        <w:tc>
          <w:tcPr>
            <w:tcW w:w="600" w:type="dxa"/>
            <w:vAlign w:val="bottom"/>
            <w:tcBorders>
              <w:bottom w:val="single" w:sz="8" w:color="939598"/>
            </w:tcBorders>
            <w:shd w:val="clear" w:color="auto" w:fill="E5E6EF"/>
          </w:tcPr>
          <w:p>
            <w:pPr>
              <w:spacing w:after="0"/>
              <w:rPr>
                <w:sz w:val="15"/>
                <w:szCs w:val="15"/>
                <w:color w:val="auto"/>
              </w:rPr>
            </w:pPr>
          </w:p>
        </w:tc>
        <w:tc>
          <w:tcPr>
            <w:tcW w:w="600" w:type="dxa"/>
            <w:vAlign w:val="bottom"/>
            <w:tcBorders>
              <w:bottom w:val="single" w:sz="8" w:color="939598"/>
            </w:tcBorders>
            <w:shd w:val="clear" w:color="auto" w:fill="E5E6EF"/>
          </w:tcPr>
          <w:p>
            <w:pPr>
              <w:spacing w:after="0"/>
              <w:rPr>
                <w:sz w:val="15"/>
                <w:szCs w:val="15"/>
                <w:color w:val="auto"/>
              </w:rPr>
            </w:pPr>
          </w:p>
        </w:tc>
        <w:tc>
          <w:tcPr>
            <w:tcW w:w="620" w:type="dxa"/>
            <w:vAlign w:val="bottom"/>
            <w:tcBorders>
              <w:bottom w:val="single" w:sz="8" w:color="939598"/>
            </w:tcBorders>
            <w:shd w:val="clear" w:color="auto" w:fill="E5E6EF"/>
          </w:tcPr>
          <w:p>
            <w:pPr>
              <w:spacing w:after="0"/>
              <w:rPr>
                <w:sz w:val="15"/>
                <w:szCs w:val="15"/>
                <w:color w:val="auto"/>
              </w:rPr>
            </w:pPr>
          </w:p>
        </w:tc>
        <w:tc>
          <w:tcPr>
            <w:tcW w:w="600" w:type="dxa"/>
            <w:vAlign w:val="bottom"/>
            <w:tcBorders>
              <w:bottom w:val="single" w:sz="8" w:color="939598"/>
            </w:tcBorders>
            <w:shd w:val="clear" w:color="auto" w:fill="E5E6EF"/>
          </w:tcPr>
          <w:p>
            <w:pPr>
              <w:spacing w:after="0"/>
              <w:rPr>
                <w:sz w:val="15"/>
                <w:szCs w:val="15"/>
                <w:color w:val="auto"/>
              </w:rPr>
            </w:pPr>
          </w:p>
        </w:tc>
        <w:tc>
          <w:tcPr>
            <w:tcW w:w="600" w:type="dxa"/>
            <w:vAlign w:val="bottom"/>
            <w:tcBorders>
              <w:bottom w:val="single" w:sz="8" w:color="939598"/>
            </w:tcBorders>
            <w:shd w:val="clear" w:color="auto" w:fill="E5E6EF"/>
          </w:tcPr>
          <w:p>
            <w:pPr>
              <w:spacing w:after="0"/>
              <w:rPr>
                <w:sz w:val="15"/>
                <w:szCs w:val="15"/>
                <w:color w:val="auto"/>
              </w:rPr>
            </w:pPr>
          </w:p>
        </w:tc>
        <w:tc>
          <w:tcPr>
            <w:tcW w:w="620" w:type="dxa"/>
            <w:vAlign w:val="bottom"/>
            <w:tcBorders>
              <w:bottom w:val="single" w:sz="8" w:color="939598"/>
            </w:tcBorders>
            <w:shd w:val="clear" w:color="auto" w:fill="E5E6EF"/>
          </w:tcPr>
          <w:p>
            <w:pPr>
              <w:spacing w:after="0"/>
              <w:rPr>
                <w:sz w:val="15"/>
                <w:szCs w:val="15"/>
                <w:color w:val="auto"/>
              </w:rPr>
            </w:pPr>
          </w:p>
        </w:tc>
        <w:tc>
          <w:tcPr>
            <w:tcW w:w="2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0" w:type="dxa"/>
            <w:vAlign w:val="bottom"/>
            <w:shd w:val="clear" w:color="auto" w:fill="003478"/>
          </w:tcPr>
          <w:p>
            <w:pPr>
              <w:spacing w:after="0"/>
              <w:rPr>
                <w:sz w:val="18"/>
                <w:szCs w:val="18"/>
                <w:color w:val="auto"/>
              </w:rPr>
            </w:pPr>
          </w:p>
        </w:tc>
        <w:tc>
          <w:tcPr>
            <w:tcW w:w="820" w:type="dxa"/>
            <w:vAlign w:val="bottom"/>
            <w:tcBorders>
              <w:right w:val="single" w:sz="8" w:color="959595"/>
            </w:tcBorders>
          </w:tcPr>
          <w:p>
            <w:pPr>
              <w:spacing w:after="0"/>
              <w:rPr>
                <w:sz w:val="18"/>
                <w:szCs w:val="18"/>
                <w:color w:val="auto"/>
              </w:rPr>
            </w:pPr>
          </w:p>
        </w:tc>
        <w:tc>
          <w:tcPr>
            <w:tcW w:w="1840" w:type="dxa"/>
            <w:vAlign w:val="bottom"/>
          </w:tcPr>
          <w:p>
            <w:pPr>
              <w:spacing w:after="0"/>
              <w:rPr>
                <w:sz w:val="20"/>
                <w:szCs w:val="20"/>
                <w:color w:val="auto"/>
              </w:rPr>
            </w:pPr>
            <w:r>
              <w:rPr>
                <w:rFonts w:ascii="Calibri" w:cs="Calibri" w:eastAsia="Calibri" w:hAnsi="Calibri"/>
                <w:sz w:val="14"/>
                <w:szCs w:val="14"/>
                <w:color w:val="auto"/>
              </w:rPr>
              <w:t>Internatonal Business</w:t>
            </w:r>
          </w:p>
        </w:tc>
        <w:tc>
          <w:tcPr>
            <w:tcW w:w="58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58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20" w:type="dxa"/>
            <w:vAlign w:val="bottom"/>
            <w:shd w:val="clear" w:color="auto" w:fill="E5E6EF"/>
          </w:tcPr>
          <w:p>
            <w:pPr>
              <w:spacing w:after="0"/>
              <w:rPr>
                <w:sz w:val="18"/>
                <w:szCs w:val="18"/>
                <w:color w:val="auto"/>
              </w:rPr>
            </w:pPr>
          </w:p>
        </w:tc>
        <w:tc>
          <w:tcPr>
            <w:tcW w:w="40" w:type="dxa"/>
            <w:vAlign w:val="bottom"/>
            <w:shd w:val="clear" w:color="auto" w:fill="E5E6EF"/>
          </w:tcPr>
          <w:p>
            <w:pPr>
              <w:spacing w:after="0"/>
              <w:rPr>
                <w:sz w:val="18"/>
                <w:szCs w:val="18"/>
                <w:color w:val="auto"/>
              </w:rPr>
            </w:pPr>
          </w:p>
        </w:tc>
        <w:tc>
          <w:tcPr>
            <w:tcW w:w="56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spacing w:after="0"/>
              <w:rPr>
                <w:sz w:val="18"/>
                <w:szCs w:val="18"/>
                <w:color w:val="auto"/>
              </w:rPr>
            </w:pP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540" w:type="dxa"/>
            <w:vAlign w:val="bottom"/>
            <w:shd w:val="clear" w:color="auto" w:fill="003478"/>
          </w:tcPr>
          <w:p>
            <w:pPr>
              <w:spacing w:after="0"/>
              <w:rPr>
                <w:sz w:val="10"/>
                <w:szCs w:val="10"/>
                <w:color w:val="auto"/>
              </w:rPr>
            </w:pPr>
          </w:p>
        </w:tc>
        <w:tc>
          <w:tcPr>
            <w:tcW w:w="820" w:type="dxa"/>
            <w:vAlign w:val="bottom"/>
            <w:tcBorders>
              <w:right w:val="single" w:sz="8" w:color="959595"/>
            </w:tcBorders>
          </w:tcPr>
          <w:p>
            <w:pPr>
              <w:spacing w:after="0"/>
              <w:rPr>
                <w:sz w:val="10"/>
                <w:szCs w:val="10"/>
                <w:color w:val="auto"/>
              </w:rPr>
            </w:pPr>
          </w:p>
        </w:tc>
        <w:tc>
          <w:tcPr>
            <w:tcW w:w="1840" w:type="dxa"/>
            <w:vAlign w:val="bottom"/>
            <w:vMerge w:val="restart"/>
          </w:tcPr>
          <w:p>
            <w:pPr>
              <w:spacing w:after="0"/>
              <w:rPr>
                <w:sz w:val="20"/>
                <w:szCs w:val="20"/>
                <w:color w:val="auto"/>
              </w:rPr>
            </w:pPr>
            <w:r>
              <w:rPr>
                <w:rFonts w:ascii="Calibri" w:cs="Calibri" w:eastAsia="Calibri" w:hAnsi="Calibri"/>
                <w:sz w:val="14"/>
                <w:szCs w:val="14"/>
                <w:color w:val="auto"/>
              </w:rPr>
              <w:t>Expansion</w:t>
            </w:r>
          </w:p>
        </w:tc>
        <w:tc>
          <w:tcPr>
            <w:tcW w:w="58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580" w:type="dxa"/>
            <w:vAlign w:val="bottom"/>
            <w:vMerge w:val="continue"/>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40" w:type="dxa"/>
            <w:vAlign w:val="bottom"/>
            <w:shd w:val="clear" w:color="auto" w:fill="E5E6EF"/>
          </w:tcPr>
          <w:p>
            <w:pPr>
              <w:spacing w:after="0"/>
              <w:rPr>
                <w:sz w:val="10"/>
                <w:szCs w:val="10"/>
                <w:color w:val="auto"/>
              </w:rPr>
            </w:pPr>
          </w:p>
        </w:tc>
        <w:tc>
          <w:tcPr>
            <w:tcW w:w="560" w:type="dxa"/>
            <w:vAlign w:val="bottom"/>
            <w:vMerge w:val="continue"/>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40" w:type="dxa"/>
            <w:vAlign w:val="bottom"/>
            <w:shd w:val="clear" w:color="auto" w:fill="003478"/>
          </w:tcPr>
          <w:p>
            <w:pPr>
              <w:spacing w:after="0"/>
              <w:rPr>
                <w:sz w:val="4"/>
                <w:szCs w:val="4"/>
                <w:color w:val="auto"/>
              </w:rPr>
            </w:pPr>
          </w:p>
        </w:tc>
        <w:tc>
          <w:tcPr>
            <w:tcW w:w="820" w:type="dxa"/>
            <w:vAlign w:val="bottom"/>
            <w:tcBorders>
              <w:right w:val="single" w:sz="8" w:color="959595"/>
            </w:tcBorders>
          </w:tcPr>
          <w:p>
            <w:pPr>
              <w:spacing w:after="0"/>
              <w:rPr>
                <w:sz w:val="4"/>
                <w:szCs w:val="4"/>
                <w:color w:val="auto"/>
              </w:rPr>
            </w:pPr>
          </w:p>
        </w:tc>
        <w:tc>
          <w:tcPr>
            <w:tcW w:w="1840" w:type="dxa"/>
            <w:vAlign w:val="bottom"/>
            <w:vMerge w:val="continue"/>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40" w:type="dxa"/>
            <w:vAlign w:val="bottom"/>
            <w:shd w:val="clear" w:color="auto" w:fill="E5E6EF"/>
          </w:tcPr>
          <w:p>
            <w:pPr>
              <w:spacing w:after="0"/>
              <w:rPr>
                <w:sz w:val="4"/>
                <w:szCs w:val="4"/>
                <w:color w:val="auto"/>
              </w:rPr>
            </w:pPr>
          </w:p>
        </w:tc>
        <w:tc>
          <w:tcPr>
            <w:tcW w:w="56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540" w:type="dxa"/>
            <w:vAlign w:val="bottom"/>
            <w:tcBorders>
              <w:bottom w:val="single" w:sz="8" w:color="003478"/>
            </w:tcBorders>
            <w:shd w:val="clear" w:color="auto" w:fill="003478"/>
          </w:tcPr>
          <w:p>
            <w:pPr>
              <w:spacing w:after="0"/>
              <w:rPr>
                <w:sz w:val="11"/>
                <w:szCs w:val="11"/>
                <w:color w:val="auto"/>
              </w:rPr>
            </w:pPr>
          </w:p>
        </w:tc>
        <w:tc>
          <w:tcPr>
            <w:tcW w:w="820" w:type="dxa"/>
            <w:vAlign w:val="bottom"/>
            <w:tcBorders>
              <w:right w:val="single" w:sz="8" w:color="959595"/>
            </w:tcBorders>
          </w:tcPr>
          <w:p>
            <w:pPr>
              <w:spacing w:after="0"/>
              <w:rPr>
                <w:sz w:val="11"/>
                <w:szCs w:val="11"/>
                <w:color w:val="auto"/>
              </w:rPr>
            </w:pPr>
          </w:p>
        </w:tc>
        <w:tc>
          <w:tcPr>
            <w:tcW w:w="1840" w:type="dxa"/>
            <w:vAlign w:val="bottom"/>
            <w:tcBorders>
              <w:bottom w:val="single" w:sz="8" w:color="939598"/>
            </w:tcBorders>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40" w:type="dxa"/>
            <w:vAlign w:val="bottom"/>
            <w:tcBorders>
              <w:bottom w:val="single" w:sz="8" w:color="939598"/>
            </w:tcBorders>
            <w:shd w:val="clear" w:color="auto" w:fill="E5E6EF"/>
          </w:tcPr>
          <w:p>
            <w:pPr>
              <w:spacing w:after="0"/>
              <w:rPr>
                <w:sz w:val="11"/>
                <w:szCs w:val="11"/>
                <w:color w:val="auto"/>
              </w:rPr>
            </w:pPr>
          </w:p>
        </w:tc>
        <w:tc>
          <w:tcPr>
            <w:tcW w:w="56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40" w:type="dxa"/>
            <w:vAlign w:val="bottom"/>
            <w:shd w:val="clear" w:color="auto" w:fill="003478"/>
          </w:tcPr>
          <w:p>
            <w:pPr>
              <w:spacing w:after="0"/>
              <w:rPr>
                <w:sz w:val="18"/>
                <w:szCs w:val="18"/>
                <w:color w:val="auto"/>
              </w:rPr>
            </w:pPr>
          </w:p>
        </w:tc>
        <w:tc>
          <w:tcPr>
            <w:tcW w:w="820" w:type="dxa"/>
            <w:vAlign w:val="bottom"/>
            <w:tcBorders>
              <w:right w:val="single" w:sz="8" w:color="959595"/>
            </w:tcBorders>
            <w:vMerge w:val="restart"/>
          </w:tcPr>
          <w:p>
            <w:pPr>
              <w:ind w:left="20"/>
              <w:spacing w:after="0"/>
              <w:rPr>
                <w:sz w:val="20"/>
                <w:szCs w:val="20"/>
                <w:color w:val="auto"/>
              </w:rPr>
            </w:pPr>
            <w:r>
              <w:rPr>
                <w:rFonts w:ascii="Calibri" w:cs="Calibri" w:eastAsia="Calibri" w:hAnsi="Calibri"/>
                <w:sz w:val="14"/>
                <w:szCs w:val="14"/>
                <w:b w:val="1"/>
                <w:bCs w:val="1"/>
                <w:color w:val="003478"/>
              </w:rPr>
              <w:t>Grow</w:t>
            </w:r>
          </w:p>
        </w:tc>
        <w:tc>
          <w:tcPr>
            <w:tcW w:w="1840" w:type="dxa"/>
            <w:vAlign w:val="bottom"/>
          </w:tcPr>
          <w:p>
            <w:pPr>
              <w:spacing w:after="0"/>
              <w:rPr>
                <w:sz w:val="20"/>
                <w:szCs w:val="20"/>
                <w:color w:val="auto"/>
              </w:rPr>
            </w:pPr>
            <w:r>
              <w:rPr>
                <w:rFonts w:ascii="Calibri" w:cs="Calibri" w:eastAsia="Calibri" w:hAnsi="Calibri"/>
                <w:sz w:val="14"/>
                <w:szCs w:val="14"/>
                <w:color w:val="auto"/>
              </w:rPr>
              <w:t>Business Model</w:t>
            </w:r>
          </w:p>
        </w:tc>
        <w:tc>
          <w:tcPr>
            <w:tcW w:w="580" w:type="dxa"/>
            <w:vAlign w:val="bottom"/>
            <w:shd w:val="clear" w:color="auto" w:fill="E5E6EF"/>
          </w:tcPr>
          <w:p>
            <w:pPr>
              <w:spacing w:after="0"/>
              <w:rPr>
                <w:sz w:val="18"/>
                <w:szCs w:val="18"/>
                <w:color w:val="auto"/>
              </w:rPr>
            </w:pP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58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20" w:type="dxa"/>
            <w:vAlign w:val="bottom"/>
            <w:shd w:val="clear" w:color="auto" w:fill="E5E6EF"/>
          </w:tcPr>
          <w:p>
            <w:pPr>
              <w:spacing w:after="0"/>
              <w:rPr>
                <w:sz w:val="18"/>
                <w:szCs w:val="18"/>
                <w:color w:val="auto"/>
              </w:rPr>
            </w:pPr>
          </w:p>
        </w:tc>
        <w:tc>
          <w:tcPr>
            <w:tcW w:w="40" w:type="dxa"/>
            <w:vAlign w:val="bottom"/>
            <w:shd w:val="clear" w:color="auto" w:fill="E5E6EF"/>
          </w:tcPr>
          <w:p>
            <w:pPr>
              <w:spacing w:after="0"/>
              <w:rPr>
                <w:sz w:val="18"/>
                <w:szCs w:val="18"/>
                <w:color w:val="auto"/>
              </w:rPr>
            </w:pPr>
          </w:p>
        </w:tc>
        <w:tc>
          <w:tcPr>
            <w:tcW w:w="56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18"/>
                <w:szCs w:val="18"/>
                <w:color w:val="auto"/>
              </w:rPr>
            </w:pP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18"/>
                <w:szCs w:val="18"/>
                <w:color w:val="auto"/>
              </w:rPr>
            </w:pPr>
          </w:p>
        </w:tc>
        <w:tc>
          <w:tcPr>
            <w:tcW w:w="600" w:type="dxa"/>
            <w:vAlign w:val="bottom"/>
            <w:shd w:val="clear" w:color="auto" w:fill="E5E6EF"/>
          </w:tcPr>
          <w:p>
            <w:pPr>
              <w:spacing w:after="0"/>
              <w:rPr>
                <w:sz w:val="18"/>
                <w:szCs w:val="18"/>
                <w:color w:val="auto"/>
              </w:rPr>
            </w:pP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540" w:type="dxa"/>
            <w:vAlign w:val="bottom"/>
            <w:shd w:val="clear" w:color="auto" w:fill="003478"/>
          </w:tcPr>
          <w:p>
            <w:pPr>
              <w:spacing w:after="0"/>
              <w:rPr>
                <w:sz w:val="10"/>
                <w:szCs w:val="10"/>
                <w:color w:val="auto"/>
              </w:rPr>
            </w:pPr>
          </w:p>
        </w:tc>
        <w:tc>
          <w:tcPr>
            <w:tcW w:w="820" w:type="dxa"/>
            <w:vAlign w:val="bottom"/>
            <w:tcBorders>
              <w:right w:val="single" w:sz="8" w:color="959595"/>
            </w:tcBorders>
            <w:vMerge w:val="continue"/>
          </w:tcPr>
          <w:p>
            <w:pPr>
              <w:spacing w:after="0"/>
              <w:rPr>
                <w:sz w:val="10"/>
                <w:szCs w:val="10"/>
                <w:color w:val="auto"/>
              </w:rPr>
            </w:pPr>
          </w:p>
        </w:tc>
        <w:tc>
          <w:tcPr>
            <w:tcW w:w="1840" w:type="dxa"/>
            <w:vAlign w:val="bottom"/>
            <w:vMerge w:val="restart"/>
          </w:tcPr>
          <w:p>
            <w:pPr>
              <w:spacing w:after="0"/>
              <w:rPr>
                <w:sz w:val="20"/>
                <w:szCs w:val="20"/>
                <w:color w:val="auto"/>
              </w:rPr>
            </w:pPr>
            <w:r>
              <w:rPr>
                <w:rFonts w:ascii="Calibri" w:cs="Calibri" w:eastAsia="Calibri" w:hAnsi="Calibri"/>
                <w:sz w:val="14"/>
                <w:szCs w:val="14"/>
                <w:color w:val="auto"/>
              </w:rPr>
              <w:t>/Commercial Partnerships</w:t>
            </w:r>
          </w:p>
        </w:tc>
        <w:tc>
          <w:tcPr>
            <w:tcW w:w="580" w:type="dxa"/>
            <w:vAlign w:val="bottom"/>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580" w:type="dxa"/>
            <w:vAlign w:val="bottom"/>
            <w:vMerge w:val="continue"/>
            <w:shd w:val="clear" w:color="auto" w:fill="E5E6EF"/>
          </w:tcPr>
          <w:p>
            <w:pPr>
              <w:spacing w:after="0"/>
              <w:rPr>
                <w:sz w:val="10"/>
                <w:szCs w:val="10"/>
                <w:color w:val="auto"/>
              </w:rPr>
            </w:pPr>
          </w:p>
        </w:tc>
        <w:tc>
          <w:tcPr>
            <w:tcW w:w="620" w:type="dxa"/>
            <w:vAlign w:val="bottom"/>
            <w:shd w:val="clear" w:color="auto" w:fill="E5E6EF"/>
          </w:tcPr>
          <w:p>
            <w:pPr>
              <w:spacing w:after="0"/>
              <w:rPr>
                <w:sz w:val="10"/>
                <w:szCs w:val="10"/>
                <w:color w:val="auto"/>
              </w:rPr>
            </w:pPr>
          </w:p>
        </w:tc>
        <w:tc>
          <w:tcPr>
            <w:tcW w:w="40" w:type="dxa"/>
            <w:vAlign w:val="bottom"/>
            <w:shd w:val="clear" w:color="auto" w:fill="E5E6EF"/>
          </w:tcPr>
          <w:p>
            <w:pPr>
              <w:spacing w:after="0"/>
              <w:rPr>
                <w:sz w:val="10"/>
                <w:szCs w:val="10"/>
                <w:color w:val="auto"/>
              </w:rPr>
            </w:pPr>
          </w:p>
        </w:tc>
        <w:tc>
          <w:tcPr>
            <w:tcW w:w="560" w:type="dxa"/>
            <w:vAlign w:val="bottom"/>
            <w:vMerge w:val="continue"/>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00" w:type="dxa"/>
            <w:vAlign w:val="bottom"/>
            <w:vMerge w:val="continue"/>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00" w:type="dxa"/>
            <w:vAlign w:val="bottom"/>
            <w:shd w:val="clear" w:color="auto" w:fill="E5E6EF"/>
          </w:tcPr>
          <w:p>
            <w:pPr>
              <w:spacing w:after="0"/>
              <w:rPr>
                <w:sz w:val="10"/>
                <w:szCs w:val="10"/>
                <w:color w:val="auto"/>
              </w:rPr>
            </w:pPr>
          </w:p>
        </w:tc>
        <w:tc>
          <w:tcPr>
            <w:tcW w:w="620" w:type="dxa"/>
            <w:vAlign w:val="bottom"/>
            <w:vMerge w:val="continue"/>
            <w:shd w:val="clear" w:color="auto" w:fill="E5E6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40" w:type="dxa"/>
            <w:vAlign w:val="bottom"/>
            <w:shd w:val="clear" w:color="auto" w:fill="003478"/>
          </w:tcPr>
          <w:p>
            <w:pPr>
              <w:spacing w:after="0"/>
              <w:rPr>
                <w:sz w:val="4"/>
                <w:szCs w:val="4"/>
                <w:color w:val="auto"/>
              </w:rPr>
            </w:pPr>
          </w:p>
        </w:tc>
        <w:tc>
          <w:tcPr>
            <w:tcW w:w="820" w:type="dxa"/>
            <w:vAlign w:val="bottom"/>
            <w:tcBorders>
              <w:right w:val="single" w:sz="8" w:color="959595"/>
            </w:tcBorders>
          </w:tcPr>
          <w:p>
            <w:pPr>
              <w:spacing w:after="0"/>
              <w:rPr>
                <w:sz w:val="4"/>
                <w:szCs w:val="4"/>
                <w:color w:val="auto"/>
              </w:rPr>
            </w:pPr>
          </w:p>
        </w:tc>
        <w:tc>
          <w:tcPr>
            <w:tcW w:w="1840" w:type="dxa"/>
            <w:vAlign w:val="bottom"/>
            <w:vMerge w:val="continue"/>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58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40" w:type="dxa"/>
            <w:vAlign w:val="bottom"/>
            <w:shd w:val="clear" w:color="auto" w:fill="E5E6EF"/>
          </w:tcPr>
          <w:p>
            <w:pPr>
              <w:spacing w:after="0"/>
              <w:rPr>
                <w:sz w:val="4"/>
                <w:szCs w:val="4"/>
                <w:color w:val="auto"/>
              </w:rPr>
            </w:pPr>
          </w:p>
        </w:tc>
        <w:tc>
          <w:tcPr>
            <w:tcW w:w="56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00" w:type="dxa"/>
            <w:vAlign w:val="bottom"/>
            <w:shd w:val="clear" w:color="auto" w:fill="E5E6EF"/>
          </w:tcPr>
          <w:p>
            <w:pPr>
              <w:spacing w:after="0"/>
              <w:rPr>
                <w:sz w:val="4"/>
                <w:szCs w:val="4"/>
                <w:color w:val="auto"/>
              </w:rPr>
            </w:pPr>
          </w:p>
        </w:tc>
        <w:tc>
          <w:tcPr>
            <w:tcW w:w="620" w:type="dxa"/>
            <w:vAlign w:val="bottom"/>
            <w:shd w:val="clear" w:color="auto" w:fill="E5E6E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540" w:type="dxa"/>
            <w:vAlign w:val="bottom"/>
            <w:tcBorders>
              <w:bottom w:val="single" w:sz="8" w:color="003478"/>
            </w:tcBorders>
            <w:shd w:val="clear" w:color="auto" w:fill="003478"/>
          </w:tcPr>
          <w:p>
            <w:pPr>
              <w:spacing w:after="0"/>
              <w:rPr>
                <w:sz w:val="11"/>
                <w:szCs w:val="11"/>
                <w:color w:val="auto"/>
              </w:rPr>
            </w:pPr>
          </w:p>
        </w:tc>
        <w:tc>
          <w:tcPr>
            <w:tcW w:w="820" w:type="dxa"/>
            <w:vAlign w:val="bottom"/>
            <w:tcBorders>
              <w:right w:val="single" w:sz="8" w:color="959595"/>
            </w:tcBorders>
          </w:tcPr>
          <w:p>
            <w:pPr>
              <w:spacing w:after="0"/>
              <w:rPr>
                <w:sz w:val="11"/>
                <w:szCs w:val="11"/>
                <w:color w:val="auto"/>
              </w:rPr>
            </w:pPr>
          </w:p>
        </w:tc>
        <w:tc>
          <w:tcPr>
            <w:tcW w:w="1840" w:type="dxa"/>
            <w:vAlign w:val="bottom"/>
            <w:tcBorders>
              <w:bottom w:val="single" w:sz="8" w:color="939598"/>
            </w:tcBorders>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40" w:type="dxa"/>
            <w:vAlign w:val="bottom"/>
            <w:tcBorders>
              <w:bottom w:val="single" w:sz="8" w:color="939598"/>
            </w:tcBorders>
            <w:shd w:val="clear" w:color="auto" w:fill="E5E6EF"/>
          </w:tcPr>
          <w:p>
            <w:pPr>
              <w:spacing w:after="0"/>
              <w:rPr>
                <w:sz w:val="11"/>
                <w:szCs w:val="11"/>
                <w:color w:val="auto"/>
              </w:rPr>
            </w:pPr>
          </w:p>
        </w:tc>
        <w:tc>
          <w:tcPr>
            <w:tcW w:w="56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540" w:type="dxa"/>
            <w:vAlign w:val="bottom"/>
            <w:shd w:val="clear" w:color="auto" w:fill="003478"/>
          </w:tcPr>
          <w:p>
            <w:pPr>
              <w:spacing w:after="0"/>
              <w:rPr>
                <w:sz w:val="24"/>
                <w:szCs w:val="24"/>
                <w:color w:val="auto"/>
              </w:rPr>
            </w:pPr>
          </w:p>
        </w:tc>
        <w:tc>
          <w:tcPr>
            <w:tcW w:w="820" w:type="dxa"/>
            <w:vAlign w:val="bottom"/>
            <w:tcBorders>
              <w:right w:val="single" w:sz="8" w:color="959595"/>
            </w:tcBorders>
          </w:tcPr>
          <w:p>
            <w:pPr>
              <w:spacing w:after="0"/>
              <w:rPr>
                <w:sz w:val="24"/>
                <w:szCs w:val="24"/>
                <w:color w:val="auto"/>
              </w:rPr>
            </w:pPr>
          </w:p>
        </w:tc>
        <w:tc>
          <w:tcPr>
            <w:tcW w:w="1840" w:type="dxa"/>
            <w:vAlign w:val="bottom"/>
          </w:tcPr>
          <w:p>
            <w:pPr>
              <w:spacing w:after="0"/>
              <w:rPr>
                <w:sz w:val="20"/>
                <w:szCs w:val="20"/>
                <w:color w:val="auto"/>
              </w:rPr>
            </w:pPr>
            <w:r>
              <w:rPr>
                <w:rFonts w:ascii="Calibri" w:cs="Calibri" w:eastAsia="Calibri" w:hAnsi="Calibri"/>
                <w:sz w:val="14"/>
                <w:szCs w:val="14"/>
                <w:color w:val="auto"/>
              </w:rPr>
              <w:t>M&amp;A Expertse</w:t>
            </w:r>
          </w:p>
        </w:tc>
        <w:tc>
          <w:tcPr>
            <w:tcW w:w="580" w:type="dxa"/>
            <w:vAlign w:val="bottom"/>
            <w:shd w:val="clear" w:color="auto" w:fill="E5E6EF"/>
          </w:tcPr>
          <w:p>
            <w:pPr>
              <w:spacing w:after="0"/>
              <w:rPr>
                <w:sz w:val="24"/>
                <w:szCs w:val="24"/>
                <w:color w:val="auto"/>
              </w:rPr>
            </w:pPr>
          </w:p>
        </w:tc>
        <w:tc>
          <w:tcPr>
            <w:tcW w:w="600" w:type="dxa"/>
            <w:vAlign w:val="bottom"/>
            <w:shd w:val="clear" w:color="auto" w:fill="E5E6EF"/>
          </w:tcPr>
          <w:p>
            <w:pPr>
              <w:spacing w:after="0"/>
              <w:rPr>
                <w:sz w:val="24"/>
                <w:szCs w:val="24"/>
                <w:color w:val="auto"/>
              </w:rPr>
            </w:pP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58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20" w:type="dxa"/>
            <w:vAlign w:val="bottom"/>
            <w:shd w:val="clear" w:color="auto" w:fill="E5E6EF"/>
          </w:tcPr>
          <w:p>
            <w:pPr>
              <w:spacing w:after="0"/>
              <w:rPr>
                <w:sz w:val="24"/>
                <w:szCs w:val="24"/>
                <w:color w:val="auto"/>
              </w:rPr>
            </w:pPr>
          </w:p>
        </w:tc>
        <w:tc>
          <w:tcPr>
            <w:tcW w:w="40" w:type="dxa"/>
            <w:vAlign w:val="bottom"/>
            <w:shd w:val="clear" w:color="auto" w:fill="E5E6EF"/>
          </w:tcPr>
          <w:p>
            <w:pPr>
              <w:spacing w:after="0"/>
              <w:rPr>
                <w:sz w:val="24"/>
                <w:szCs w:val="24"/>
                <w:color w:val="auto"/>
              </w:rPr>
            </w:pPr>
          </w:p>
        </w:tc>
        <w:tc>
          <w:tcPr>
            <w:tcW w:w="56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24"/>
                <w:szCs w:val="24"/>
                <w:color w:val="auto"/>
              </w:rPr>
            </w:pP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40" w:type="dxa"/>
            <w:vAlign w:val="bottom"/>
            <w:tcBorders>
              <w:bottom w:val="single" w:sz="8" w:color="003478"/>
            </w:tcBorders>
            <w:shd w:val="clear" w:color="auto" w:fill="003478"/>
          </w:tcPr>
          <w:p>
            <w:pPr>
              <w:spacing w:after="0"/>
              <w:rPr>
                <w:sz w:val="14"/>
                <w:szCs w:val="14"/>
                <w:color w:val="auto"/>
              </w:rPr>
            </w:pPr>
          </w:p>
        </w:tc>
        <w:tc>
          <w:tcPr>
            <w:tcW w:w="820" w:type="dxa"/>
            <w:vAlign w:val="bottom"/>
            <w:tcBorders>
              <w:bottom w:val="single" w:sz="8" w:color="003478"/>
              <w:right w:val="single" w:sz="8" w:color="959595"/>
            </w:tcBorders>
          </w:tcPr>
          <w:p>
            <w:pPr>
              <w:spacing w:after="0"/>
              <w:rPr>
                <w:sz w:val="14"/>
                <w:szCs w:val="14"/>
                <w:color w:val="auto"/>
              </w:rPr>
            </w:pPr>
          </w:p>
        </w:tc>
        <w:tc>
          <w:tcPr>
            <w:tcW w:w="1840" w:type="dxa"/>
            <w:vAlign w:val="bottom"/>
            <w:tcBorders>
              <w:bottom w:val="single" w:sz="8" w:color="003478"/>
            </w:tcBorders>
          </w:tcPr>
          <w:p>
            <w:pPr>
              <w:spacing w:after="0"/>
              <w:rPr>
                <w:sz w:val="14"/>
                <w:szCs w:val="14"/>
                <w:color w:val="auto"/>
              </w:rPr>
            </w:pPr>
          </w:p>
        </w:tc>
        <w:tc>
          <w:tcPr>
            <w:tcW w:w="580" w:type="dxa"/>
            <w:vAlign w:val="bottom"/>
            <w:tcBorders>
              <w:bottom w:val="single" w:sz="8" w:color="003478"/>
            </w:tcBorders>
            <w:shd w:val="clear" w:color="auto" w:fill="E5E6EF"/>
          </w:tcPr>
          <w:p>
            <w:pPr>
              <w:spacing w:after="0"/>
              <w:rPr>
                <w:sz w:val="14"/>
                <w:szCs w:val="14"/>
                <w:color w:val="auto"/>
              </w:rPr>
            </w:pPr>
          </w:p>
        </w:tc>
        <w:tc>
          <w:tcPr>
            <w:tcW w:w="600" w:type="dxa"/>
            <w:vAlign w:val="bottom"/>
            <w:tcBorders>
              <w:bottom w:val="single" w:sz="8" w:color="003478"/>
            </w:tcBorders>
            <w:shd w:val="clear" w:color="auto" w:fill="E5E6EF"/>
          </w:tcPr>
          <w:p>
            <w:pPr>
              <w:spacing w:after="0"/>
              <w:rPr>
                <w:sz w:val="14"/>
                <w:szCs w:val="14"/>
                <w:color w:val="auto"/>
              </w:rPr>
            </w:pPr>
          </w:p>
        </w:tc>
        <w:tc>
          <w:tcPr>
            <w:tcW w:w="600" w:type="dxa"/>
            <w:vAlign w:val="bottom"/>
            <w:tcBorders>
              <w:bottom w:val="single" w:sz="8" w:color="003478"/>
            </w:tcBorders>
            <w:shd w:val="clear" w:color="auto" w:fill="E5E6EF"/>
          </w:tcPr>
          <w:p>
            <w:pPr>
              <w:spacing w:after="0"/>
              <w:rPr>
                <w:sz w:val="14"/>
                <w:szCs w:val="14"/>
                <w:color w:val="auto"/>
              </w:rPr>
            </w:pPr>
          </w:p>
        </w:tc>
        <w:tc>
          <w:tcPr>
            <w:tcW w:w="580" w:type="dxa"/>
            <w:vAlign w:val="bottom"/>
            <w:tcBorders>
              <w:bottom w:val="single" w:sz="8" w:color="003478"/>
            </w:tcBorders>
            <w:shd w:val="clear" w:color="auto" w:fill="E5E6EF"/>
          </w:tcPr>
          <w:p>
            <w:pPr>
              <w:spacing w:after="0"/>
              <w:rPr>
                <w:sz w:val="14"/>
                <w:szCs w:val="14"/>
                <w:color w:val="auto"/>
              </w:rPr>
            </w:pPr>
          </w:p>
        </w:tc>
        <w:tc>
          <w:tcPr>
            <w:tcW w:w="620" w:type="dxa"/>
            <w:vAlign w:val="bottom"/>
            <w:tcBorders>
              <w:bottom w:val="single" w:sz="8" w:color="003478"/>
            </w:tcBorders>
            <w:shd w:val="clear" w:color="auto" w:fill="E5E6EF"/>
          </w:tcPr>
          <w:p>
            <w:pPr>
              <w:spacing w:after="0"/>
              <w:rPr>
                <w:sz w:val="14"/>
                <w:szCs w:val="14"/>
                <w:color w:val="auto"/>
              </w:rPr>
            </w:pPr>
          </w:p>
        </w:tc>
        <w:tc>
          <w:tcPr>
            <w:tcW w:w="40" w:type="dxa"/>
            <w:vAlign w:val="bottom"/>
            <w:tcBorders>
              <w:bottom w:val="single" w:sz="8" w:color="003478"/>
            </w:tcBorders>
            <w:shd w:val="clear" w:color="auto" w:fill="E5E6EF"/>
          </w:tcPr>
          <w:p>
            <w:pPr>
              <w:spacing w:after="0"/>
              <w:rPr>
                <w:sz w:val="14"/>
                <w:szCs w:val="14"/>
                <w:color w:val="auto"/>
              </w:rPr>
            </w:pPr>
          </w:p>
        </w:tc>
        <w:tc>
          <w:tcPr>
            <w:tcW w:w="560" w:type="dxa"/>
            <w:vAlign w:val="bottom"/>
            <w:tcBorders>
              <w:bottom w:val="single" w:sz="8" w:color="003478"/>
            </w:tcBorders>
            <w:shd w:val="clear" w:color="auto" w:fill="E5E6EF"/>
          </w:tcPr>
          <w:p>
            <w:pPr>
              <w:spacing w:after="0"/>
              <w:rPr>
                <w:sz w:val="14"/>
                <w:szCs w:val="14"/>
                <w:color w:val="auto"/>
              </w:rPr>
            </w:pPr>
          </w:p>
        </w:tc>
        <w:tc>
          <w:tcPr>
            <w:tcW w:w="620" w:type="dxa"/>
            <w:vAlign w:val="bottom"/>
            <w:tcBorders>
              <w:bottom w:val="single" w:sz="8" w:color="003478"/>
            </w:tcBorders>
            <w:shd w:val="clear" w:color="auto" w:fill="E5E6EF"/>
          </w:tcPr>
          <w:p>
            <w:pPr>
              <w:spacing w:after="0"/>
              <w:rPr>
                <w:sz w:val="14"/>
                <w:szCs w:val="14"/>
                <w:color w:val="auto"/>
              </w:rPr>
            </w:pPr>
          </w:p>
        </w:tc>
        <w:tc>
          <w:tcPr>
            <w:tcW w:w="600" w:type="dxa"/>
            <w:vAlign w:val="bottom"/>
            <w:tcBorders>
              <w:bottom w:val="single" w:sz="8" w:color="003478"/>
            </w:tcBorders>
            <w:shd w:val="clear" w:color="auto" w:fill="E5E6EF"/>
          </w:tcPr>
          <w:p>
            <w:pPr>
              <w:spacing w:after="0"/>
              <w:rPr>
                <w:sz w:val="14"/>
                <w:szCs w:val="14"/>
                <w:color w:val="auto"/>
              </w:rPr>
            </w:pPr>
          </w:p>
        </w:tc>
        <w:tc>
          <w:tcPr>
            <w:tcW w:w="600" w:type="dxa"/>
            <w:vAlign w:val="bottom"/>
            <w:tcBorders>
              <w:bottom w:val="single" w:sz="8" w:color="003478"/>
            </w:tcBorders>
            <w:shd w:val="clear" w:color="auto" w:fill="E5E6EF"/>
          </w:tcPr>
          <w:p>
            <w:pPr>
              <w:spacing w:after="0"/>
              <w:rPr>
                <w:sz w:val="14"/>
                <w:szCs w:val="14"/>
                <w:color w:val="auto"/>
              </w:rPr>
            </w:pPr>
          </w:p>
        </w:tc>
        <w:tc>
          <w:tcPr>
            <w:tcW w:w="620" w:type="dxa"/>
            <w:vAlign w:val="bottom"/>
            <w:tcBorders>
              <w:bottom w:val="single" w:sz="8" w:color="003478"/>
            </w:tcBorders>
            <w:shd w:val="clear" w:color="auto" w:fill="E5E6EF"/>
          </w:tcPr>
          <w:p>
            <w:pPr>
              <w:spacing w:after="0"/>
              <w:rPr>
                <w:sz w:val="14"/>
                <w:szCs w:val="14"/>
                <w:color w:val="auto"/>
              </w:rPr>
            </w:pPr>
          </w:p>
        </w:tc>
        <w:tc>
          <w:tcPr>
            <w:tcW w:w="600" w:type="dxa"/>
            <w:vAlign w:val="bottom"/>
            <w:tcBorders>
              <w:bottom w:val="single" w:sz="8" w:color="003478"/>
            </w:tcBorders>
            <w:shd w:val="clear" w:color="auto" w:fill="E5E6EF"/>
          </w:tcPr>
          <w:p>
            <w:pPr>
              <w:spacing w:after="0"/>
              <w:rPr>
                <w:sz w:val="14"/>
                <w:szCs w:val="14"/>
                <w:color w:val="auto"/>
              </w:rPr>
            </w:pPr>
          </w:p>
        </w:tc>
        <w:tc>
          <w:tcPr>
            <w:tcW w:w="600" w:type="dxa"/>
            <w:vAlign w:val="bottom"/>
            <w:tcBorders>
              <w:bottom w:val="single" w:sz="8" w:color="003478"/>
            </w:tcBorders>
            <w:shd w:val="clear" w:color="auto" w:fill="E5E6EF"/>
          </w:tcPr>
          <w:p>
            <w:pPr>
              <w:spacing w:after="0"/>
              <w:rPr>
                <w:sz w:val="14"/>
                <w:szCs w:val="14"/>
                <w:color w:val="auto"/>
              </w:rPr>
            </w:pPr>
          </w:p>
        </w:tc>
        <w:tc>
          <w:tcPr>
            <w:tcW w:w="620" w:type="dxa"/>
            <w:vAlign w:val="bottom"/>
            <w:tcBorders>
              <w:bottom w:val="single" w:sz="8" w:color="003478"/>
            </w:tcBorders>
            <w:shd w:val="clear" w:color="auto" w:fill="E5E6EF"/>
          </w:tcPr>
          <w:p>
            <w:pPr>
              <w:spacing w:after="0"/>
              <w:rPr>
                <w:sz w:val="14"/>
                <w:szCs w:val="14"/>
                <w:color w:val="auto"/>
              </w:rPr>
            </w:pPr>
          </w:p>
        </w:tc>
        <w:tc>
          <w:tcPr>
            <w:tcW w:w="20" w:type="dxa"/>
            <w:vAlign w:val="bottom"/>
            <w:tcBorders>
              <w:bottom w:val="single" w:sz="8" w:color="003478"/>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40" w:type="dxa"/>
            <w:vAlign w:val="bottom"/>
            <w:shd w:val="clear" w:color="auto" w:fill="003478"/>
          </w:tcPr>
          <w:p>
            <w:pPr>
              <w:spacing w:after="0"/>
              <w:rPr>
                <w:sz w:val="19"/>
                <w:szCs w:val="19"/>
                <w:color w:val="auto"/>
              </w:rPr>
            </w:pPr>
          </w:p>
        </w:tc>
        <w:tc>
          <w:tcPr>
            <w:tcW w:w="2660" w:type="dxa"/>
            <w:vAlign w:val="bottom"/>
            <w:gridSpan w:val="2"/>
          </w:tcPr>
          <w:p>
            <w:pPr>
              <w:ind w:left="20"/>
              <w:spacing w:after="0"/>
              <w:rPr>
                <w:sz w:val="20"/>
                <w:szCs w:val="20"/>
                <w:color w:val="auto"/>
              </w:rPr>
            </w:pPr>
            <w:r>
              <w:rPr>
                <w:rFonts w:ascii="Calibri" w:cs="Calibri" w:eastAsia="Calibri" w:hAnsi="Calibri"/>
                <w:sz w:val="14"/>
                <w:szCs w:val="14"/>
                <w:color w:val="auto"/>
              </w:rPr>
              <w:t>Senior Leadership Experience</w:t>
            </w:r>
          </w:p>
        </w:tc>
        <w:tc>
          <w:tcPr>
            <w:tcW w:w="580" w:type="dxa"/>
            <w:vAlign w:val="bottom"/>
            <w:shd w:val="clear" w:color="auto" w:fill="E5E6EF"/>
          </w:tcPr>
          <w:p>
            <w:pPr>
              <w:jc w:val="center"/>
              <w:spacing w:after="0"/>
              <w:rPr>
                <w:sz w:val="20"/>
                <w:szCs w:val="20"/>
                <w:color w:val="auto"/>
              </w:rPr>
            </w:pPr>
            <w:r>
              <w:rPr>
                <w:rFonts w:ascii="Calibri" w:cs="Calibri" w:eastAsia="Calibri" w:hAnsi="Calibri"/>
                <w:sz w:val="13"/>
                <w:szCs w:val="13"/>
                <w:color w:val="auto"/>
                <w:w w:val="93"/>
              </w:rPr>
              <w:t>Four-Star</w:t>
            </w:r>
          </w:p>
        </w:tc>
        <w:tc>
          <w:tcPr>
            <w:tcW w:w="60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rPr>
              <w:t>CEO</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3"/>
                <w:szCs w:val="13"/>
                <w:color w:val="auto"/>
                <w:w w:val="95"/>
              </w:rPr>
              <w:t>Chair and</w:t>
            </w:r>
          </w:p>
        </w:tc>
        <w:tc>
          <w:tcPr>
            <w:tcW w:w="580" w:type="dxa"/>
            <w:vAlign w:val="bottom"/>
            <w:shd w:val="clear" w:color="auto" w:fill="E5E6EF"/>
          </w:tcPr>
          <w:p>
            <w:pPr>
              <w:jc w:val="center"/>
              <w:spacing w:after="0"/>
              <w:rPr>
                <w:sz w:val="20"/>
                <w:szCs w:val="20"/>
                <w:color w:val="auto"/>
              </w:rPr>
            </w:pPr>
            <w:r>
              <w:rPr>
                <w:rFonts w:ascii="Calibri" w:cs="Calibri" w:eastAsia="Calibri" w:hAnsi="Calibri"/>
                <w:sz w:val="13"/>
                <w:szCs w:val="13"/>
                <w:color w:val="auto"/>
                <w:w w:val="95"/>
              </w:rPr>
              <w:t>Chair and</w:t>
            </w:r>
          </w:p>
        </w:tc>
        <w:tc>
          <w:tcPr>
            <w:tcW w:w="620" w:type="dxa"/>
            <w:vAlign w:val="bottom"/>
            <w:shd w:val="clear" w:color="auto" w:fill="E5E6EF"/>
          </w:tcPr>
          <w:p>
            <w:pPr>
              <w:jc w:val="center"/>
              <w:spacing w:after="0"/>
              <w:rPr>
                <w:sz w:val="20"/>
                <w:szCs w:val="20"/>
                <w:color w:val="auto"/>
              </w:rPr>
            </w:pPr>
            <w:r>
              <w:rPr>
                <w:rFonts w:ascii="Calibri" w:cs="Calibri" w:eastAsia="Calibri" w:hAnsi="Calibri"/>
                <w:sz w:val="13"/>
                <w:szCs w:val="13"/>
                <w:color w:val="auto"/>
                <w:w w:val="97"/>
              </w:rPr>
              <w:t>Four-Star</w:t>
            </w:r>
          </w:p>
        </w:tc>
        <w:tc>
          <w:tcPr>
            <w:tcW w:w="40" w:type="dxa"/>
            <w:vAlign w:val="bottom"/>
            <w:shd w:val="clear" w:color="auto" w:fill="E5E6EF"/>
          </w:tcPr>
          <w:p>
            <w:pPr>
              <w:spacing w:after="0"/>
              <w:rPr>
                <w:sz w:val="19"/>
                <w:szCs w:val="19"/>
                <w:color w:val="auto"/>
              </w:rPr>
            </w:pPr>
          </w:p>
        </w:tc>
        <w:tc>
          <w:tcPr>
            <w:tcW w:w="560" w:type="dxa"/>
            <w:vAlign w:val="bottom"/>
            <w:shd w:val="clear" w:color="auto" w:fill="E5E6EF"/>
          </w:tcPr>
          <w:p>
            <w:pPr>
              <w:jc w:val="center"/>
              <w:spacing w:after="0"/>
              <w:rPr>
                <w:sz w:val="20"/>
                <w:szCs w:val="20"/>
                <w:color w:val="auto"/>
              </w:rPr>
            </w:pPr>
            <w:r>
              <w:rPr>
                <w:rFonts w:ascii="Calibri" w:cs="Calibri" w:eastAsia="Calibri" w:hAnsi="Calibri"/>
                <w:sz w:val="13"/>
                <w:szCs w:val="13"/>
                <w:color w:val="auto"/>
                <w:w w:val="99"/>
              </w:rPr>
              <w:t>Chair and</w:t>
            </w:r>
          </w:p>
        </w:tc>
        <w:tc>
          <w:tcPr>
            <w:tcW w:w="62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w w:val="91"/>
              </w:rPr>
              <w:t>CEO</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3"/>
                <w:szCs w:val="13"/>
                <w:color w:val="auto"/>
                <w:w w:val="98"/>
              </w:rPr>
              <w:t>Cabinet</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3"/>
                <w:szCs w:val="13"/>
                <w:color w:val="auto"/>
                <w:w w:val="99"/>
              </w:rPr>
              <w:t>Chair and</w:t>
            </w:r>
          </w:p>
        </w:tc>
        <w:tc>
          <w:tcPr>
            <w:tcW w:w="620" w:type="dxa"/>
            <w:vAlign w:val="bottom"/>
            <w:shd w:val="clear" w:color="auto" w:fill="E5E6EF"/>
          </w:tcPr>
          <w:p>
            <w:pPr>
              <w:jc w:val="center"/>
              <w:spacing w:after="0"/>
              <w:rPr>
                <w:sz w:val="20"/>
                <w:szCs w:val="20"/>
                <w:color w:val="auto"/>
              </w:rPr>
            </w:pPr>
            <w:r>
              <w:rPr>
                <w:rFonts w:ascii="Calibri" w:cs="Calibri" w:eastAsia="Calibri" w:hAnsi="Calibri"/>
                <w:sz w:val="13"/>
                <w:szCs w:val="13"/>
                <w:color w:val="auto"/>
                <w:w w:val="95"/>
              </w:rPr>
              <w:t>Chair and</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3"/>
                <w:szCs w:val="13"/>
                <w:color w:val="auto"/>
                <w:w w:val="93"/>
              </w:rPr>
              <w:t>Four-Star</w:t>
            </w:r>
          </w:p>
        </w:tc>
        <w:tc>
          <w:tcPr>
            <w:tcW w:w="60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rPr>
              <w:t>CFO</w:t>
            </w:r>
          </w:p>
        </w:tc>
        <w:tc>
          <w:tcPr>
            <w:tcW w:w="62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w w:val="91"/>
              </w:rPr>
              <w:t>CEO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540" w:type="dxa"/>
            <w:vAlign w:val="bottom"/>
            <w:shd w:val="clear" w:color="auto" w:fill="003478"/>
          </w:tcPr>
          <w:p>
            <w:pPr>
              <w:spacing w:after="0"/>
              <w:rPr>
                <w:sz w:val="7"/>
                <w:szCs w:val="7"/>
                <w:color w:val="auto"/>
              </w:rPr>
            </w:pPr>
          </w:p>
        </w:tc>
        <w:tc>
          <w:tcPr>
            <w:tcW w:w="2660" w:type="dxa"/>
            <w:vAlign w:val="bottom"/>
            <w:gridSpan w:val="2"/>
            <w:vMerge w:val="restart"/>
          </w:tcPr>
          <w:p>
            <w:pPr>
              <w:ind w:left="20"/>
              <w:spacing w:after="0"/>
              <w:rPr>
                <w:sz w:val="20"/>
                <w:szCs w:val="20"/>
                <w:color w:val="auto"/>
              </w:rPr>
            </w:pPr>
            <w:r>
              <w:rPr>
                <w:rFonts w:ascii="Calibri" w:cs="Calibri" w:eastAsia="Calibri" w:hAnsi="Calibri"/>
                <w:sz w:val="14"/>
                <w:szCs w:val="14"/>
                <w:color w:val="auto"/>
              </w:rPr>
              <w:t>(most senior positon held)</w:t>
            </w:r>
          </w:p>
        </w:tc>
        <w:tc>
          <w:tcPr>
            <w:tcW w:w="58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w w:val="96"/>
              </w:rPr>
              <w:t>Admiral</w:t>
            </w:r>
          </w:p>
        </w:tc>
        <w:tc>
          <w:tcPr>
            <w:tcW w:w="600" w:type="dxa"/>
            <w:vAlign w:val="bottom"/>
            <w:vMerge w:val="continue"/>
            <w:shd w:val="clear" w:color="auto" w:fill="E5E6EF"/>
          </w:tcPr>
          <w:p>
            <w:pPr>
              <w:spacing w:after="0"/>
              <w:rPr>
                <w:sz w:val="7"/>
                <w:szCs w:val="7"/>
                <w:color w:val="auto"/>
              </w:rPr>
            </w:pPr>
          </w:p>
        </w:tc>
        <w:tc>
          <w:tcPr>
            <w:tcW w:w="60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rPr>
              <w:t>CEO</w:t>
            </w:r>
          </w:p>
        </w:tc>
        <w:tc>
          <w:tcPr>
            <w:tcW w:w="58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w w:val="91"/>
              </w:rPr>
              <w:t>CEO</w:t>
            </w:r>
          </w:p>
        </w:tc>
        <w:tc>
          <w:tcPr>
            <w:tcW w:w="62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w w:val="95"/>
              </w:rPr>
              <w:t>General</w:t>
            </w:r>
          </w:p>
        </w:tc>
        <w:tc>
          <w:tcPr>
            <w:tcW w:w="40" w:type="dxa"/>
            <w:vAlign w:val="bottom"/>
            <w:shd w:val="clear" w:color="auto" w:fill="E5E6EF"/>
          </w:tcPr>
          <w:p>
            <w:pPr>
              <w:spacing w:after="0"/>
              <w:rPr>
                <w:sz w:val="7"/>
                <w:szCs w:val="7"/>
                <w:color w:val="auto"/>
              </w:rPr>
            </w:pPr>
          </w:p>
        </w:tc>
        <w:tc>
          <w:tcPr>
            <w:tcW w:w="56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rPr>
              <w:t>CEO</w:t>
            </w:r>
          </w:p>
        </w:tc>
        <w:tc>
          <w:tcPr>
            <w:tcW w:w="620" w:type="dxa"/>
            <w:vAlign w:val="bottom"/>
            <w:vMerge w:val="continue"/>
            <w:shd w:val="clear" w:color="auto" w:fill="E5E6EF"/>
          </w:tcPr>
          <w:p>
            <w:pPr>
              <w:spacing w:after="0"/>
              <w:rPr>
                <w:sz w:val="7"/>
                <w:szCs w:val="7"/>
                <w:color w:val="auto"/>
              </w:rPr>
            </w:pPr>
          </w:p>
        </w:tc>
        <w:tc>
          <w:tcPr>
            <w:tcW w:w="60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w w:val="94"/>
              </w:rPr>
              <w:t>Sec.</w:t>
            </w:r>
          </w:p>
        </w:tc>
        <w:tc>
          <w:tcPr>
            <w:tcW w:w="60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rPr>
              <w:t>CEO</w:t>
            </w:r>
          </w:p>
        </w:tc>
        <w:tc>
          <w:tcPr>
            <w:tcW w:w="62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w w:val="91"/>
              </w:rPr>
              <w:t>CEO</w:t>
            </w:r>
          </w:p>
        </w:tc>
        <w:tc>
          <w:tcPr>
            <w:tcW w:w="600" w:type="dxa"/>
            <w:vAlign w:val="bottom"/>
            <w:vMerge w:val="restart"/>
            <w:shd w:val="clear" w:color="auto" w:fill="E5E6EF"/>
          </w:tcPr>
          <w:p>
            <w:pPr>
              <w:jc w:val="center"/>
              <w:spacing w:after="0"/>
              <w:rPr>
                <w:sz w:val="20"/>
                <w:szCs w:val="20"/>
                <w:color w:val="auto"/>
              </w:rPr>
            </w:pPr>
            <w:r>
              <w:rPr>
                <w:rFonts w:ascii="Calibri" w:cs="Calibri" w:eastAsia="Calibri" w:hAnsi="Calibri"/>
                <w:sz w:val="13"/>
                <w:szCs w:val="13"/>
                <w:color w:val="auto"/>
                <w:w w:val="95"/>
              </w:rPr>
              <w:t>General</w:t>
            </w:r>
          </w:p>
        </w:tc>
        <w:tc>
          <w:tcPr>
            <w:tcW w:w="600" w:type="dxa"/>
            <w:vAlign w:val="bottom"/>
            <w:vMerge w:val="continue"/>
            <w:shd w:val="clear" w:color="auto" w:fill="E5E6EF"/>
          </w:tcPr>
          <w:p>
            <w:pPr>
              <w:spacing w:after="0"/>
              <w:rPr>
                <w:sz w:val="7"/>
                <w:szCs w:val="7"/>
                <w:color w:val="auto"/>
              </w:rPr>
            </w:pPr>
          </w:p>
        </w:tc>
        <w:tc>
          <w:tcPr>
            <w:tcW w:w="620" w:type="dxa"/>
            <w:vAlign w:val="bottom"/>
            <w:vMerge w:val="continue"/>
            <w:shd w:val="clear" w:color="auto" w:fill="E5E6E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40" w:type="dxa"/>
            <w:vAlign w:val="bottom"/>
            <w:shd w:val="clear" w:color="auto" w:fill="003478"/>
          </w:tcPr>
          <w:p>
            <w:pPr>
              <w:spacing w:after="0"/>
              <w:rPr>
                <w:sz w:val="7"/>
                <w:szCs w:val="7"/>
                <w:color w:val="auto"/>
              </w:rPr>
            </w:pPr>
          </w:p>
        </w:tc>
        <w:tc>
          <w:tcPr>
            <w:tcW w:w="2660" w:type="dxa"/>
            <w:vAlign w:val="bottom"/>
            <w:gridSpan w:val="2"/>
            <w:vMerge w:val="continue"/>
          </w:tcPr>
          <w:p>
            <w:pPr>
              <w:spacing w:after="0"/>
              <w:rPr>
                <w:sz w:val="7"/>
                <w:szCs w:val="7"/>
                <w:color w:val="auto"/>
              </w:rPr>
            </w:pPr>
          </w:p>
        </w:tc>
        <w:tc>
          <w:tcPr>
            <w:tcW w:w="580" w:type="dxa"/>
            <w:vAlign w:val="bottom"/>
            <w:vMerge w:val="continue"/>
            <w:shd w:val="clear" w:color="auto" w:fill="E5E6EF"/>
          </w:tcPr>
          <w:p>
            <w:pPr>
              <w:spacing w:after="0"/>
              <w:rPr>
                <w:sz w:val="7"/>
                <w:szCs w:val="7"/>
                <w:color w:val="auto"/>
              </w:rPr>
            </w:pPr>
          </w:p>
        </w:tc>
        <w:tc>
          <w:tcPr>
            <w:tcW w:w="600" w:type="dxa"/>
            <w:vAlign w:val="bottom"/>
            <w:shd w:val="clear" w:color="auto" w:fill="E5E6EF"/>
          </w:tcPr>
          <w:p>
            <w:pPr>
              <w:spacing w:after="0"/>
              <w:rPr>
                <w:sz w:val="7"/>
                <w:szCs w:val="7"/>
                <w:color w:val="auto"/>
              </w:rPr>
            </w:pPr>
          </w:p>
        </w:tc>
        <w:tc>
          <w:tcPr>
            <w:tcW w:w="600" w:type="dxa"/>
            <w:vAlign w:val="bottom"/>
            <w:vMerge w:val="continue"/>
            <w:shd w:val="clear" w:color="auto" w:fill="E5E6EF"/>
          </w:tcPr>
          <w:p>
            <w:pPr>
              <w:spacing w:after="0"/>
              <w:rPr>
                <w:sz w:val="7"/>
                <w:szCs w:val="7"/>
                <w:color w:val="auto"/>
              </w:rPr>
            </w:pPr>
          </w:p>
        </w:tc>
        <w:tc>
          <w:tcPr>
            <w:tcW w:w="580" w:type="dxa"/>
            <w:vAlign w:val="bottom"/>
            <w:vMerge w:val="continue"/>
            <w:shd w:val="clear" w:color="auto" w:fill="E5E6EF"/>
          </w:tcPr>
          <w:p>
            <w:pPr>
              <w:spacing w:after="0"/>
              <w:rPr>
                <w:sz w:val="7"/>
                <w:szCs w:val="7"/>
                <w:color w:val="auto"/>
              </w:rPr>
            </w:pPr>
          </w:p>
        </w:tc>
        <w:tc>
          <w:tcPr>
            <w:tcW w:w="620" w:type="dxa"/>
            <w:vAlign w:val="bottom"/>
            <w:vMerge w:val="continue"/>
            <w:shd w:val="clear" w:color="auto" w:fill="E5E6EF"/>
          </w:tcPr>
          <w:p>
            <w:pPr>
              <w:spacing w:after="0"/>
              <w:rPr>
                <w:sz w:val="7"/>
                <w:szCs w:val="7"/>
                <w:color w:val="auto"/>
              </w:rPr>
            </w:pPr>
          </w:p>
        </w:tc>
        <w:tc>
          <w:tcPr>
            <w:tcW w:w="40" w:type="dxa"/>
            <w:vAlign w:val="bottom"/>
            <w:shd w:val="clear" w:color="auto" w:fill="E5E6EF"/>
          </w:tcPr>
          <w:p>
            <w:pPr>
              <w:spacing w:after="0"/>
              <w:rPr>
                <w:sz w:val="7"/>
                <w:szCs w:val="7"/>
                <w:color w:val="auto"/>
              </w:rPr>
            </w:pPr>
          </w:p>
        </w:tc>
        <w:tc>
          <w:tcPr>
            <w:tcW w:w="560" w:type="dxa"/>
            <w:vAlign w:val="bottom"/>
            <w:vMerge w:val="continue"/>
            <w:shd w:val="clear" w:color="auto" w:fill="E5E6EF"/>
          </w:tcPr>
          <w:p>
            <w:pPr>
              <w:spacing w:after="0"/>
              <w:rPr>
                <w:sz w:val="7"/>
                <w:szCs w:val="7"/>
                <w:color w:val="auto"/>
              </w:rPr>
            </w:pPr>
          </w:p>
        </w:tc>
        <w:tc>
          <w:tcPr>
            <w:tcW w:w="620" w:type="dxa"/>
            <w:vAlign w:val="bottom"/>
            <w:shd w:val="clear" w:color="auto" w:fill="E5E6EF"/>
          </w:tcPr>
          <w:p>
            <w:pPr>
              <w:spacing w:after="0"/>
              <w:rPr>
                <w:sz w:val="7"/>
                <w:szCs w:val="7"/>
                <w:color w:val="auto"/>
              </w:rPr>
            </w:pPr>
          </w:p>
        </w:tc>
        <w:tc>
          <w:tcPr>
            <w:tcW w:w="600" w:type="dxa"/>
            <w:vAlign w:val="bottom"/>
            <w:vMerge w:val="continue"/>
            <w:shd w:val="clear" w:color="auto" w:fill="E5E6EF"/>
          </w:tcPr>
          <w:p>
            <w:pPr>
              <w:spacing w:after="0"/>
              <w:rPr>
                <w:sz w:val="7"/>
                <w:szCs w:val="7"/>
                <w:color w:val="auto"/>
              </w:rPr>
            </w:pPr>
          </w:p>
        </w:tc>
        <w:tc>
          <w:tcPr>
            <w:tcW w:w="600" w:type="dxa"/>
            <w:vAlign w:val="bottom"/>
            <w:vMerge w:val="continue"/>
            <w:shd w:val="clear" w:color="auto" w:fill="E5E6EF"/>
          </w:tcPr>
          <w:p>
            <w:pPr>
              <w:spacing w:after="0"/>
              <w:rPr>
                <w:sz w:val="7"/>
                <w:szCs w:val="7"/>
                <w:color w:val="auto"/>
              </w:rPr>
            </w:pPr>
          </w:p>
        </w:tc>
        <w:tc>
          <w:tcPr>
            <w:tcW w:w="620" w:type="dxa"/>
            <w:vAlign w:val="bottom"/>
            <w:vMerge w:val="continue"/>
            <w:shd w:val="clear" w:color="auto" w:fill="E5E6EF"/>
          </w:tcPr>
          <w:p>
            <w:pPr>
              <w:spacing w:after="0"/>
              <w:rPr>
                <w:sz w:val="7"/>
                <w:szCs w:val="7"/>
                <w:color w:val="auto"/>
              </w:rPr>
            </w:pPr>
          </w:p>
        </w:tc>
        <w:tc>
          <w:tcPr>
            <w:tcW w:w="600" w:type="dxa"/>
            <w:vAlign w:val="bottom"/>
            <w:vMerge w:val="continue"/>
            <w:shd w:val="clear" w:color="auto" w:fill="E5E6EF"/>
          </w:tcPr>
          <w:p>
            <w:pPr>
              <w:spacing w:after="0"/>
              <w:rPr>
                <w:sz w:val="7"/>
                <w:szCs w:val="7"/>
                <w:color w:val="auto"/>
              </w:rPr>
            </w:pPr>
          </w:p>
        </w:tc>
        <w:tc>
          <w:tcPr>
            <w:tcW w:w="600" w:type="dxa"/>
            <w:vAlign w:val="bottom"/>
            <w:shd w:val="clear" w:color="auto" w:fill="E5E6EF"/>
          </w:tcPr>
          <w:p>
            <w:pPr>
              <w:spacing w:after="0"/>
              <w:rPr>
                <w:sz w:val="7"/>
                <w:szCs w:val="7"/>
                <w:color w:val="auto"/>
              </w:rPr>
            </w:pPr>
          </w:p>
        </w:tc>
        <w:tc>
          <w:tcPr>
            <w:tcW w:w="620" w:type="dxa"/>
            <w:vAlign w:val="bottom"/>
            <w:shd w:val="clear" w:color="auto" w:fill="E5E6E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540" w:type="dxa"/>
            <w:vAlign w:val="bottom"/>
            <w:tcBorders>
              <w:bottom w:val="single" w:sz="8" w:color="003478"/>
            </w:tcBorders>
            <w:shd w:val="clear" w:color="auto" w:fill="003478"/>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840" w:type="dxa"/>
            <w:vAlign w:val="bottom"/>
            <w:tcBorders>
              <w:bottom w:val="single" w:sz="8" w:color="939598"/>
            </w:tcBorders>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40" w:type="dxa"/>
            <w:vAlign w:val="bottom"/>
            <w:tcBorders>
              <w:bottom w:val="single" w:sz="8" w:color="939598"/>
            </w:tcBorders>
            <w:shd w:val="clear" w:color="auto" w:fill="E5E6EF"/>
          </w:tcPr>
          <w:p>
            <w:pPr>
              <w:spacing w:after="0"/>
              <w:rPr>
                <w:sz w:val="11"/>
                <w:szCs w:val="11"/>
                <w:color w:val="auto"/>
              </w:rPr>
            </w:pPr>
          </w:p>
        </w:tc>
        <w:tc>
          <w:tcPr>
            <w:tcW w:w="56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540" w:type="dxa"/>
            <w:vAlign w:val="bottom"/>
            <w:shd w:val="clear" w:color="auto" w:fill="003478"/>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Calibri" w:cs="Calibri" w:eastAsia="Calibri" w:hAnsi="Calibri"/>
                <w:sz w:val="14"/>
                <w:szCs w:val="14"/>
                <w:color w:val="auto"/>
              </w:rPr>
              <w:t>Financial Expertse</w:t>
            </w:r>
          </w:p>
        </w:tc>
        <w:tc>
          <w:tcPr>
            <w:tcW w:w="580" w:type="dxa"/>
            <w:vAlign w:val="bottom"/>
            <w:shd w:val="clear" w:color="auto" w:fill="E5E6EF"/>
          </w:tcPr>
          <w:p>
            <w:pPr>
              <w:spacing w:after="0"/>
              <w:rPr>
                <w:sz w:val="21"/>
                <w:szCs w:val="21"/>
                <w:color w:val="auto"/>
              </w:rPr>
            </w:pP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58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20" w:type="dxa"/>
            <w:vAlign w:val="bottom"/>
            <w:shd w:val="clear" w:color="auto" w:fill="E5E6EF"/>
          </w:tcPr>
          <w:p>
            <w:pPr>
              <w:spacing w:after="0"/>
              <w:rPr>
                <w:sz w:val="21"/>
                <w:szCs w:val="21"/>
                <w:color w:val="auto"/>
              </w:rPr>
            </w:pPr>
          </w:p>
        </w:tc>
        <w:tc>
          <w:tcPr>
            <w:tcW w:w="40" w:type="dxa"/>
            <w:vAlign w:val="bottom"/>
            <w:shd w:val="clear" w:color="auto" w:fill="E5E6EF"/>
          </w:tcPr>
          <w:p>
            <w:pPr>
              <w:spacing w:after="0"/>
              <w:rPr>
                <w:sz w:val="21"/>
                <w:szCs w:val="21"/>
                <w:color w:val="auto"/>
              </w:rPr>
            </w:pPr>
          </w:p>
        </w:tc>
        <w:tc>
          <w:tcPr>
            <w:tcW w:w="56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21"/>
                <w:szCs w:val="21"/>
                <w:color w:val="auto"/>
              </w:rPr>
            </w:pP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21"/>
                <w:szCs w:val="21"/>
                <w:color w:val="auto"/>
              </w:rPr>
            </w:pP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003478"/>
            </w:tcBorders>
            <w:shd w:val="clear" w:color="auto" w:fill="003478"/>
          </w:tcPr>
          <w:p>
            <w:pPr>
              <w:spacing w:after="0"/>
              <w:rPr>
                <w:sz w:val="9"/>
                <w:szCs w:val="9"/>
                <w:color w:val="auto"/>
              </w:rPr>
            </w:pPr>
          </w:p>
        </w:tc>
        <w:tc>
          <w:tcPr>
            <w:tcW w:w="820" w:type="dxa"/>
            <w:vAlign w:val="bottom"/>
            <w:tcBorders>
              <w:bottom w:val="single" w:sz="8" w:color="939598"/>
            </w:tcBorders>
          </w:tcPr>
          <w:p>
            <w:pPr>
              <w:spacing w:after="0"/>
              <w:rPr>
                <w:sz w:val="9"/>
                <w:szCs w:val="9"/>
                <w:color w:val="auto"/>
              </w:rPr>
            </w:pPr>
          </w:p>
        </w:tc>
        <w:tc>
          <w:tcPr>
            <w:tcW w:w="1840" w:type="dxa"/>
            <w:vAlign w:val="bottom"/>
            <w:tcBorders>
              <w:bottom w:val="single" w:sz="8" w:color="939598"/>
            </w:tcBorders>
          </w:tcPr>
          <w:p>
            <w:pPr>
              <w:spacing w:after="0"/>
              <w:rPr>
                <w:sz w:val="9"/>
                <w:szCs w:val="9"/>
                <w:color w:val="auto"/>
              </w:rPr>
            </w:pPr>
          </w:p>
        </w:tc>
        <w:tc>
          <w:tcPr>
            <w:tcW w:w="58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58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40" w:type="dxa"/>
            <w:vAlign w:val="bottom"/>
            <w:tcBorders>
              <w:bottom w:val="single" w:sz="8" w:color="939598"/>
            </w:tcBorders>
            <w:shd w:val="clear" w:color="auto" w:fill="E5E6EF"/>
          </w:tcPr>
          <w:p>
            <w:pPr>
              <w:spacing w:after="0"/>
              <w:rPr>
                <w:sz w:val="9"/>
                <w:szCs w:val="9"/>
                <w:color w:val="auto"/>
              </w:rPr>
            </w:pPr>
          </w:p>
        </w:tc>
        <w:tc>
          <w:tcPr>
            <w:tcW w:w="56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2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40" w:type="dxa"/>
            <w:vAlign w:val="bottom"/>
            <w:shd w:val="clear" w:color="auto" w:fill="003478"/>
          </w:tcPr>
          <w:p>
            <w:pPr>
              <w:spacing w:after="0"/>
              <w:rPr>
                <w:sz w:val="17"/>
                <w:szCs w:val="17"/>
                <w:color w:val="auto"/>
              </w:rPr>
            </w:pPr>
          </w:p>
        </w:tc>
        <w:tc>
          <w:tcPr>
            <w:tcW w:w="2660" w:type="dxa"/>
            <w:vAlign w:val="bottom"/>
            <w:gridSpan w:val="2"/>
          </w:tcPr>
          <w:p>
            <w:pPr>
              <w:ind w:left="20"/>
              <w:spacing w:after="0"/>
              <w:rPr>
                <w:sz w:val="20"/>
                <w:szCs w:val="20"/>
                <w:color w:val="auto"/>
              </w:rPr>
            </w:pPr>
            <w:r>
              <w:rPr>
                <w:rFonts w:ascii="Calibri" w:cs="Calibri" w:eastAsia="Calibri" w:hAnsi="Calibri"/>
                <w:sz w:val="14"/>
                <w:szCs w:val="14"/>
                <w:color w:val="auto"/>
              </w:rPr>
              <w:t>Environment, Social and Governance</w:t>
            </w:r>
          </w:p>
        </w:tc>
        <w:tc>
          <w:tcPr>
            <w:tcW w:w="580" w:type="dxa"/>
            <w:vAlign w:val="bottom"/>
            <w:shd w:val="clear" w:color="auto" w:fill="E5E6EF"/>
          </w:tcPr>
          <w:p>
            <w:pPr>
              <w:spacing w:after="0"/>
              <w:rPr>
                <w:sz w:val="17"/>
                <w:szCs w:val="17"/>
                <w:color w:val="auto"/>
              </w:rPr>
            </w:pP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58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40" w:type="dxa"/>
            <w:vAlign w:val="bottom"/>
            <w:shd w:val="clear" w:color="auto" w:fill="E5E6EF"/>
          </w:tcPr>
          <w:p>
            <w:pPr>
              <w:spacing w:after="0"/>
              <w:rPr>
                <w:sz w:val="17"/>
                <w:szCs w:val="17"/>
                <w:color w:val="auto"/>
              </w:rPr>
            </w:pPr>
          </w:p>
        </w:tc>
        <w:tc>
          <w:tcPr>
            <w:tcW w:w="56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17"/>
                <w:szCs w:val="17"/>
                <w:color w:val="auto"/>
              </w:rPr>
            </w:pPr>
          </w:p>
        </w:tc>
        <w:tc>
          <w:tcPr>
            <w:tcW w:w="600" w:type="dxa"/>
            <w:vAlign w:val="bottom"/>
            <w:vMerge w:val="restart"/>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40" w:type="dxa"/>
            <w:vAlign w:val="bottom"/>
            <w:shd w:val="clear" w:color="auto" w:fill="003478"/>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Calibri" w:cs="Calibri" w:eastAsia="Calibri" w:hAnsi="Calibri"/>
                <w:sz w:val="14"/>
                <w:szCs w:val="14"/>
                <w:color w:val="auto"/>
              </w:rPr>
              <w:t>Expertse</w:t>
            </w:r>
          </w:p>
        </w:tc>
        <w:tc>
          <w:tcPr>
            <w:tcW w:w="1840" w:type="dxa"/>
            <w:vAlign w:val="bottom"/>
          </w:tcPr>
          <w:p>
            <w:pPr>
              <w:spacing w:after="0"/>
              <w:rPr>
                <w:sz w:val="9"/>
                <w:szCs w:val="9"/>
                <w:color w:val="auto"/>
              </w:rPr>
            </w:pPr>
          </w:p>
        </w:tc>
        <w:tc>
          <w:tcPr>
            <w:tcW w:w="580" w:type="dxa"/>
            <w:vAlign w:val="bottom"/>
            <w:shd w:val="clear" w:color="auto" w:fill="E5E6EF"/>
          </w:tcPr>
          <w:p>
            <w:pPr>
              <w:spacing w:after="0"/>
              <w:rPr>
                <w:sz w:val="9"/>
                <w:szCs w:val="9"/>
                <w:color w:val="auto"/>
              </w:rPr>
            </w:pPr>
          </w:p>
        </w:tc>
        <w:tc>
          <w:tcPr>
            <w:tcW w:w="600" w:type="dxa"/>
            <w:vAlign w:val="bottom"/>
            <w:vMerge w:val="continue"/>
            <w:shd w:val="clear" w:color="auto" w:fill="E5E6EF"/>
          </w:tcPr>
          <w:p>
            <w:pPr>
              <w:spacing w:after="0"/>
              <w:rPr>
                <w:sz w:val="9"/>
                <w:szCs w:val="9"/>
                <w:color w:val="auto"/>
              </w:rPr>
            </w:pPr>
          </w:p>
        </w:tc>
        <w:tc>
          <w:tcPr>
            <w:tcW w:w="600" w:type="dxa"/>
            <w:vAlign w:val="bottom"/>
            <w:vMerge w:val="continue"/>
            <w:shd w:val="clear" w:color="auto" w:fill="E5E6EF"/>
          </w:tcPr>
          <w:p>
            <w:pPr>
              <w:spacing w:after="0"/>
              <w:rPr>
                <w:sz w:val="9"/>
                <w:szCs w:val="9"/>
                <w:color w:val="auto"/>
              </w:rPr>
            </w:pPr>
          </w:p>
        </w:tc>
        <w:tc>
          <w:tcPr>
            <w:tcW w:w="580" w:type="dxa"/>
            <w:vAlign w:val="bottom"/>
            <w:vMerge w:val="continue"/>
            <w:shd w:val="clear" w:color="auto" w:fill="E5E6EF"/>
          </w:tcPr>
          <w:p>
            <w:pPr>
              <w:spacing w:after="0"/>
              <w:rPr>
                <w:sz w:val="9"/>
                <w:szCs w:val="9"/>
                <w:color w:val="auto"/>
              </w:rPr>
            </w:pPr>
          </w:p>
        </w:tc>
        <w:tc>
          <w:tcPr>
            <w:tcW w:w="620" w:type="dxa"/>
            <w:vAlign w:val="bottom"/>
            <w:vMerge w:val="continue"/>
            <w:shd w:val="clear" w:color="auto" w:fill="E5E6EF"/>
          </w:tcPr>
          <w:p>
            <w:pPr>
              <w:spacing w:after="0"/>
              <w:rPr>
                <w:sz w:val="9"/>
                <w:szCs w:val="9"/>
                <w:color w:val="auto"/>
              </w:rPr>
            </w:pPr>
          </w:p>
        </w:tc>
        <w:tc>
          <w:tcPr>
            <w:tcW w:w="40" w:type="dxa"/>
            <w:vAlign w:val="bottom"/>
            <w:shd w:val="clear" w:color="auto" w:fill="E5E6EF"/>
          </w:tcPr>
          <w:p>
            <w:pPr>
              <w:spacing w:after="0"/>
              <w:rPr>
                <w:sz w:val="9"/>
                <w:szCs w:val="9"/>
                <w:color w:val="auto"/>
              </w:rPr>
            </w:pPr>
          </w:p>
        </w:tc>
        <w:tc>
          <w:tcPr>
            <w:tcW w:w="560" w:type="dxa"/>
            <w:vAlign w:val="bottom"/>
            <w:vMerge w:val="continue"/>
            <w:shd w:val="clear" w:color="auto" w:fill="E5E6EF"/>
          </w:tcPr>
          <w:p>
            <w:pPr>
              <w:spacing w:after="0"/>
              <w:rPr>
                <w:sz w:val="9"/>
                <w:szCs w:val="9"/>
                <w:color w:val="auto"/>
              </w:rPr>
            </w:pPr>
          </w:p>
        </w:tc>
        <w:tc>
          <w:tcPr>
            <w:tcW w:w="620" w:type="dxa"/>
            <w:vAlign w:val="bottom"/>
            <w:vMerge w:val="continue"/>
            <w:shd w:val="clear" w:color="auto" w:fill="E5E6EF"/>
          </w:tcPr>
          <w:p>
            <w:pPr>
              <w:spacing w:after="0"/>
              <w:rPr>
                <w:sz w:val="9"/>
                <w:szCs w:val="9"/>
                <w:color w:val="auto"/>
              </w:rPr>
            </w:pPr>
          </w:p>
        </w:tc>
        <w:tc>
          <w:tcPr>
            <w:tcW w:w="600" w:type="dxa"/>
            <w:vAlign w:val="bottom"/>
            <w:vMerge w:val="continue"/>
            <w:shd w:val="clear" w:color="auto" w:fill="E5E6EF"/>
          </w:tcPr>
          <w:p>
            <w:pPr>
              <w:spacing w:after="0"/>
              <w:rPr>
                <w:sz w:val="9"/>
                <w:szCs w:val="9"/>
                <w:color w:val="auto"/>
              </w:rPr>
            </w:pPr>
          </w:p>
        </w:tc>
        <w:tc>
          <w:tcPr>
            <w:tcW w:w="600" w:type="dxa"/>
            <w:vAlign w:val="bottom"/>
            <w:vMerge w:val="continue"/>
            <w:shd w:val="clear" w:color="auto" w:fill="E5E6EF"/>
          </w:tcPr>
          <w:p>
            <w:pPr>
              <w:spacing w:after="0"/>
              <w:rPr>
                <w:sz w:val="9"/>
                <w:szCs w:val="9"/>
                <w:color w:val="auto"/>
              </w:rPr>
            </w:pPr>
          </w:p>
        </w:tc>
        <w:tc>
          <w:tcPr>
            <w:tcW w:w="620" w:type="dxa"/>
            <w:vAlign w:val="bottom"/>
            <w:vMerge w:val="continue"/>
            <w:shd w:val="clear" w:color="auto" w:fill="E5E6EF"/>
          </w:tcPr>
          <w:p>
            <w:pPr>
              <w:spacing w:after="0"/>
              <w:rPr>
                <w:sz w:val="9"/>
                <w:szCs w:val="9"/>
                <w:color w:val="auto"/>
              </w:rPr>
            </w:pPr>
          </w:p>
        </w:tc>
        <w:tc>
          <w:tcPr>
            <w:tcW w:w="600" w:type="dxa"/>
            <w:vAlign w:val="bottom"/>
            <w:shd w:val="clear" w:color="auto" w:fill="E5E6EF"/>
          </w:tcPr>
          <w:p>
            <w:pPr>
              <w:spacing w:after="0"/>
              <w:rPr>
                <w:sz w:val="9"/>
                <w:szCs w:val="9"/>
                <w:color w:val="auto"/>
              </w:rPr>
            </w:pPr>
          </w:p>
        </w:tc>
        <w:tc>
          <w:tcPr>
            <w:tcW w:w="600" w:type="dxa"/>
            <w:vAlign w:val="bottom"/>
            <w:vMerge w:val="continue"/>
            <w:shd w:val="clear" w:color="auto" w:fill="E5E6EF"/>
          </w:tcPr>
          <w:p>
            <w:pPr>
              <w:spacing w:after="0"/>
              <w:rPr>
                <w:sz w:val="9"/>
                <w:szCs w:val="9"/>
                <w:color w:val="auto"/>
              </w:rPr>
            </w:pPr>
          </w:p>
        </w:tc>
        <w:tc>
          <w:tcPr>
            <w:tcW w:w="620" w:type="dxa"/>
            <w:vAlign w:val="bottom"/>
            <w:shd w:val="clear" w:color="auto" w:fill="E5E6E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shd w:val="clear" w:color="auto" w:fill="003478"/>
          </w:tcPr>
          <w:p>
            <w:pPr>
              <w:spacing w:after="0"/>
              <w:rPr>
                <w:sz w:val="5"/>
                <w:szCs w:val="5"/>
                <w:color w:val="auto"/>
              </w:rPr>
            </w:pPr>
          </w:p>
        </w:tc>
        <w:tc>
          <w:tcPr>
            <w:tcW w:w="82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580" w:type="dxa"/>
            <w:vAlign w:val="bottom"/>
            <w:shd w:val="clear" w:color="auto" w:fill="E5E6EF"/>
          </w:tcPr>
          <w:p>
            <w:pPr>
              <w:spacing w:after="0"/>
              <w:rPr>
                <w:sz w:val="5"/>
                <w:szCs w:val="5"/>
                <w:color w:val="auto"/>
              </w:rPr>
            </w:pPr>
          </w:p>
        </w:tc>
        <w:tc>
          <w:tcPr>
            <w:tcW w:w="600" w:type="dxa"/>
            <w:vAlign w:val="bottom"/>
            <w:shd w:val="clear" w:color="auto" w:fill="E5E6EF"/>
          </w:tcPr>
          <w:p>
            <w:pPr>
              <w:spacing w:after="0"/>
              <w:rPr>
                <w:sz w:val="5"/>
                <w:szCs w:val="5"/>
                <w:color w:val="auto"/>
              </w:rPr>
            </w:pPr>
          </w:p>
        </w:tc>
        <w:tc>
          <w:tcPr>
            <w:tcW w:w="600" w:type="dxa"/>
            <w:vAlign w:val="bottom"/>
            <w:shd w:val="clear" w:color="auto" w:fill="E5E6EF"/>
          </w:tcPr>
          <w:p>
            <w:pPr>
              <w:spacing w:after="0"/>
              <w:rPr>
                <w:sz w:val="5"/>
                <w:szCs w:val="5"/>
                <w:color w:val="auto"/>
              </w:rPr>
            </w:pPr>
          </w:p>
        </w:tc>
        <w:tc>
          <w:tcPr>
            <w:tcW w:w="580" w:type="dxa"/>
            <w:vAlign w:val="bottom"/>
            <w:shd w:val="clear" w:color="auto" w:fill="E5E6EF"/>
          </w:tcPr>
          <w:p>
            <w:pPr>
              <w:spacing w:after="0"/>
              <w:rPr>
                <w:sz w:val="5"/>
                <w:szCs w:val="5"/>
                <w:color w:val="auto"/>
              </w:rPr>
            </w:pPr>
          </w:p>
        </w:tc>
        <w:tc>
          <w:tcPr>
            <w:tcW w:w="620" w:type="dxa"/>
            <w:vAlign w:val="bottom"/>
            <w:shd w:val="clear" w:color="auto" w:fill="E5E6EF"/>
          </w:tcPr>
          <w:p>
            <w:pPr>
              <w:spacing w:after="0"/>
              <w:rPr>
                <w:sz w:val="5"/>
                <w:szCs w:val="5"/>
                <w:color w:val="auto"/>
              </w:rPr>
            </w:pPr>
          </w:p>
        </w:tc>
        <w:tc>
          <w:tcPr>
            <w:tcW w:w="40" w:type="dxa"/>
            <w:vAlign w:val="bottom"/>
            <w:shd w:val="clear" w:color="auto" w:fill="E5E6EF"/>
          </w:tcPr>
          <w:p>
            <w:pPr>
              <w:spacing w:after="0"/>
              <w:rPr>
                <w:sz w:val="5"/>
                <w:szCs w:val="5"/>
                <w:color w:val="auto"/>
              </w:rPr>
            </w:pPr>
          </w:p>
        </w:tc>
        <w:tc>
          <w:tcPr>
            <w:tcW w:w="560" w:type="dxa"/>
            <w:vAlign w:val="bottom"/>
            <w:shd w:val="clear" w:color="auto" w:fill="E5E6EF"/>
          </w:tcPr>
          <w:p>
            <w:pPr>
              <w:spacing w:after="0"/>
              <w:rPr>
                <w:sz w:val="5"/>
                <w:szCs w:val="5"/>
                <w:color w:val="auto"/>
              </w:rPr>
            </w:pPr>
          </w:p>
        </w:tc>
        <w:tc>
          <w:tcPr>
            <w:tcW w:w="620" w:type="dxa"/>
            <w:vAlign w:val="bottom"/>
            <w:shd w:val="clear" w:color="auto" w:fill="E5E6EF"/>
          </w:tcPr>
          <w:p>
            <w:pPr>
              <w:spacing w:after="0"/>
              <w:rPr>
                <w:sz w:val="5"/>
                <w:szCs w:val="5"/>
                <w:color w:val="auto"/>
              </w:rPr>
            </w:pPr>
          </w:p>
        </w:tc>
        <w:tc>
          <w:tcPr>
            <w:tcW w:w="600" w:type="dxa"/>
            <w:vAlign w:val="bottom"/>
            <w:shd w:val="clear" w:color="auto" w:fill="E5E6EF"/>
          </w:tcPr>
          <w:p>
            <w:pPr>
              <w:spacing w:after="0"/>
              <w:rPr>
                <w:sz w:val="5"/>
                <w:szCs w:val="5"/>
                <w:color w:val="auto"/>
              </w:rPr>
            </w:pPr>
          </w:p>
        </w:tc>
        <w:tc>
          <w:tcPr>
            <w:tcW w:w="600" w:type="dxa"/>
            <w:vAlign w:val="bottom"/>
            <w:shd w:val="clear" w:color="auto" w:fill="E5E6EF"/>
          </w:tcPr>
          <w:p>
            <w:pPr>
              <w:spacing w:after="0"/>
              <w:rPr>
                <w:sz w:val="5"/>
                <w:szCs w:val="5"/>
                <w:color w:val="auto"/>
              </w:rPr>
            </w:pPr>
          </w:p>
        </w:tc>
        <w:tc>
          <w:tcPr>
            <w:tcW w:w="620" w:type="dxa"/>
            <w:vAlign w:val="bottom"/>
            <w:shd w:val="clear" w:color="auto" w:fill="E5E6EF"/>
          </w:tcPr>
          <w:p>
            <w:pPr>
              <w:spacing w:after="0"/>
              <w:rPr>
                <w:sz w:val="5"/>
                <w:szCs w:val="5"/>
                <w:color w:val="auto"/>
              </w:rPr>
            </w:pPr>
          </w:p>
        </w:tc>
        <w:tc>
          <w:tcPr>
            <w:tcW w:w="600" w:type="dxa"/>
            <w:vAlign w:val="bottom"/>
            <w:shd w:val="clear" w:color="auto" w:fill="E5E6EF"/>
          </w:tcPr>
          <w:p>
            <w:pPr>
              <w:spacing w:after="0"/>
              <w:rPr>
                <w:sz w:val="5"/>
                <w:szCs w:val="5"/>
                <w:color w:val="auto"/>
              </w:rPr>
            </w:pPr>
          </w:p>
        </w:tc>
        <w:tc>
          <w:tcPr>
            <w:tcW w:w="600" w:type="dxa"/>
            <w:vAlign w:val="bottom"/>
            <w:shd w:val="clear" w:color="auto" w:fill="E5E6EF"/>
          </w:tcPr>
          <w:p>
            <w:pPr>
              <w:spacing w:after="0"/>
              <w:rPr>
                <w:sz w:val="5"/>
                <w:szCs w:val="5"/>
                <w:color w:val="auto"/>
              </w:rPr>
            </w:pPr>
          </w:p>
        </w:tc>
        <w:tc>
          <w:tcPr>
            <w:tcW w:w="620" w:type="dxa"/>
            <w:vAlign w:val="bottom"/>
            <w:shd w:val="clear" w:color="auto" w:fill="E5E6E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003478"/>
            </w:tcBorders>
            <w:shd w:val="clear" w:color="auto" w:fill="003478"/>
          </w:tcPr>
          <w:p>
            <w:pPr>
              <w:spacing w:after="0"/>
              <w:rPr>
                <w:sz w:val="9"/>
                <w:szCs w:val="9"/>
                <w:color w:val="auto"/>
              </w:rPr>
            </w:pPr>
          </w:p>
        </w:tc>
        <w:tc>
          <w:tcPr>
            <w:tcW w:w="820" w:type="dxa"/>
            <w:vAlign w:val="bottom"/>
            <w:tcBorders>
              <w:bottom w:val="single" w:sz="8" w:color="959595"/>
            </w:tcBorders>
          </w:tcPr>
          <w:p>
            <w:pPr>
              <w:spacing w:after="0"/>
              <w:rPr>
                <w:sz w:val="9"/>
                <w:szCs w:val="9"/>
                <w:color w:val="auto"/>
              </w:rPr>
            </w:pPr>
          </w:p>
        </w:tc>
        <w:tc>
          <w:tcPr>
            <w:tcW w:w="1840" w:type="dxa"/>
            <w:vAlign w:val="bottom"/>
            <w:tcBorders>
              <w:bottom w:val="single" w:sz="8" w:color="959595"/>
            </w:tcBorders>
          </w:tcPr>
          <w:p>
            <w:pPr>
              <w:spacing w:after="0"/>
              <w:rPr>
                <w:sz w:val="9"/>
                <w:szCs w:val="9"/>
                <w:color w:val="auto"/>
              </w:rPr>
            </w:pPr>
          </w:p>
        </w:tc>
        <w:tc>
          <w:tcPr>
            <w:tcW w:w="58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58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40" w:type="dxa"/>
            <w:vAlign w:val="bottom"/>
            <w:tcBorders>
              <w:bottom w:val="single" w:sz="8" w:color="939598"/>
            </w:tcBorders>
            <w:shd w:val="clear" w:color="auto" w:fill="E5E6EF"/>
          </w:tcPr>
          <w:p>
            <w:pPr>
              <w:spacing w:after="0"/>
              <w:rPr>
                <w:sz w:val="9"/>
                <w:szCs w:val="9"/>
                <w:color w:val="auto"/>
              </w:rPr>
            </w:pPr>
          </w:p>
        </w:tc>
        <w:tc>
          <w:tcPr>
            <w:tcW w:w="56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2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40" w:type="dxa"/>
            <w:vAlign w:val="bottom"/>
            <w:shd w:val="clear" w:color="auto" w:fill="003478"/>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Calibri" w:cs="Calibri" w:eastAsia="Calibri" w:hAnsi="Calibri"/>
                <w:sz w:val="14"/>
                <w:szCs w:val="14"/>
                <w:color w:val="auto"/>
              </w:rPr>
              <w:t>Cybersecurity Expertse</w:t>
            </w:r>
          </w:p>
        </w:tc>
        <w:tc>
          <w:tcPr>
            <w:tcW w:w="580" w:type="dxa"/>
            <w:vAlign w:val="bottom"/>
            <w:shd w:val="clear" w:color="auto" w:fill="E5E6EF"/>
          </w:tcPr>
          <w:p>
            <w:pPr>
              <w:spacing w:after="0"/>
              <w:rPr>
                <w:sz w:val="21"/>
                <w:szCs w:val="21"/>
                <w:color w:val="auto"/>
              </w:rPr>
            </w:pPr>
          </w:p>
        </w:tc>
        <w:tc>
          <w:tcPr>
            <w:tcW w:w="600" w:type="dxa"/>
            <w:vAlign w:val="bottom"/>
            <w:shd w:val="clear" w:color="auto" w:fill="E5E6EF"/>
          </w:tcPr>
          <w:p>
            <w:pPr>
              <w:spacing w:after="0"/>
              <w:rPr>
                <w:sz w:val="21"/>
                <w:szCs w:val="21"/>
                <w:color w:val="auto"/>
              </w:rPr>
            </w:pPr>
          </w:p>
        </w:tc>
        <w:tc>
          <w:tcPr>
            <w:tcW w:w="600" w:type="dxa"/>
            <w:vAlign w:val="bottom"/>
            <w:shd w:val="clear" w:color="auto" w:fill="E5E6EF"/>
          </w:tcPr>
          <w:p>
            <w:pPr>
              <w:spacing w:after="0"/>
              <w:rPr>
                <w:sz w:val="21"/>
                <w:szCs w:val="21"/>
                <w:color w:val="auto"/>
              </w:rPr>
            </w:pPr>
          </w:p>
        </w:tc>
        <w:tc>
          <w:tcPr>
            <w:tcW w:w="580" w:type="dxa"/>
            <w:vAlign w:val="bottom"/>
            <w:shd w:val="clear" w:color="auto" w:fill="E5E6EF"/>
          </w:tcPr>
          <w:p>
            <w:pPr>
              <w:spacing w:after="0"/>
              <w:rPr>
                <w:sz w:val="21"/>
                <w:szCs w:val="21"/>
                <w:color w:val="auto"/>
              </w:rPr>
            </w:pPr>
          </w:p>
        </w:tc>
        <w:tc>
          <w:tcPr>
            <w:tcW w:w="620" w:type="dxa"/>
            <w:vAlign w:val="bottom"/>
            <w:shd w:val="clear" w:color="auto" w:fill="E5E6EF"/>
          </w:tcPr>
          <w:p>
            <w:pPr>
              <w:spacing w:after="0"/>
              <w:rPr>
                <w:sz w:val="21"/>
                <w:szCs w:val="21"/>
                <w:color w:val="auto"/>
              </w:rPr>
            </w:pPr>
          </w:p>
        </w:tc>
        <w:tc>
          <w:tcPr>
            <w:tcW w:w="40" w:type="dxa"/>
            <w:vAlign w:val="bottom"/>
            <w:shd w:val="clear" w:color="auto" w:fill="E5E6EF"/>
          </w:tcPr>
          <w:p>
            <w:pPr>
              <w:spacing w:after="0"/>
              <w:rPr>
                <w:sz w:val="21"/>
                <w:szCs w:val="21"/>
                <w:color w:val="auto"/>
              </w:rPr>
            </w:pPr>
          </w:p>
        </w:tc>
        <w:tc>
          <w:tcPr>
            <w:tcW w:w="560" w:type="dxa"/>
            <w:vAlign w:val="bottom"/>
            <w:shd w:val="clear" w:color="auto" w:fill="E5E6EF"/>
          </w:tcPr>
          <w:p>
            <w:pPr>
              <w:spacing w:after="0"/>
              <w:rPr>
                <w:sz w:val="21"/>
                <w:szCs w:val="21"/>
                <w:color w:val="auto"/>
              </w:rPr>
            </w:pPr>
          </w:p>
        </w:tc>
        <w:tc>
          <w:tcPr>
            <w:tcW w:w="620" w:type="dxa"/>
            <w:vAlign w:val="bottom"/>
            <w:shd w:val="clear" w:color="auto" w:fill="E5E6EF"/>
          </w:tcPr>
          <w:p>
            <w:pPr>
              <w:spacing w:after="0"/>
              <w:rPr>
                <w:sz w:val="21"/>
                <w:szCs w:val="21"/>
                <w:color w:val="auto"/>
              </w:rPr>
            </w:pP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spacing w:after="0"/>
              <w:rPr>
                <w:sz w:val="21"/>
                <w:szCs w:val="21"/>
                <w:color w:val="auto"/>
              </w:rPr>
            </w:pP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21"/>
                <w:szCs w:val="21"/>
                <w:color w:val="auto"/>
              </w:rPr>
            </w:pPr>
          </w:p>
        </w:tc>
        <w:tc>
          <w:tcPr>
            <w:tcW w:w="62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540" w:type="dxa"/>
            <w:vAlign w:val="bottom"/>
            <w:tcBorders>
              <w:bottom w:val="single" w:sz="8" w:color="003478"/>
            </w:tcBorders>
            <w:shd w:val="clear" w:color="auto" w:fill="003478"/>
          </w:tcPr>
          <w:p>
            <w:pPr>
              <w:spacing w:after="0"/>
              <w:rPr>
                <w:sz w:val="9"/>
                <w:szCs w:val="9"/>
                <w:color w:val="auto"/>
              </w:rPr>
            </w:pPr>
          </w:p>
        </w:tc>
        <w:tc>
          <w:tcPr>
            <w:tcW w:w="820" w:type="dxa"/>
            <w:vAlign w:val="bottom"/>
            <w:tcBorders>
              <w:bottom w:val="single" w:sz="8" w:color="939598"/>
            </w:tcBorders>
          </w:tcPr>
          <w:p>
            <w:pPr>
              <w:spacing w:after="0"/>
              <w:rPr>
                <w:sz w:val="9"/>
                <w:szCs w:val="9"/>
                <w:color w:val="auto"/>
              </w:rPr>
            </w:pPr>
          </w:p>
        </w:tc>
        <w:tc>
          <w:tcPr>
            <w:tcW w:w="1840" w:type="dxa"/>
            <w:vAlign w:val="bottom"/>
            <w:tcBorders>
              <w:bottom w:val="single" w:sz="8" w:color="939598"/>
            </w:tcBorders>
          </w:tcPr>
          <w:p>
            <w:pPr>
              <w:spacing w:after="0"/>
              <w:rPr>
                <w:sz w:val="9"/>
                <w:szCs w:val="9"/>
                <w:color w:val="auto"/>
              </w:rPr>
            </w:pPr>
          </w:p>
        </w:tc>
        <w:tc>
          <w:tcPr>
            <w:tcW w:w="58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58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40" w:type="dxa"/>
            <w:vAlign w:val="bottom"/>
            <w:tcBorders>
              <w:bottom w:val="single" w:sz="8" w:color="939598"/>
            </w:tcBorders>
            <w:shd w:val="clear" w:color="auto" w:fill="E5E6EF"/>
          </w:tcPr>
          <w:p>
            <w:pPr>
              <w:spacing w:after="0"/>
              <w:rPr>
                <w:sz w:val="9"/>
                <w:szCs w:val="9"/>
                <w:color w:val="auto"/>
              </w:rPr>
            </w:pPr>
          </w:p>
        </w:tc>
        <w:tc>
          <w:tcPr>
            <w:tcW w:w="56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2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540" w:type="dxa"/>
            <w:vAlign w:val="bottom"/>
            <w:shd w:val="clear" w:color="auto" w:fill="003478"/>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Calibri" w:cs="Calibri" w:eastAsia="Calibri" w:hAnsi="Calibri"/>
                <w:sz w:val="14"/>
                <w:szCs w:val="14"/>
                <w:color w:val="auto"/>
              </w:rPr>
              <w:t>Senior Military / Government Experience</w:t>
            </w:r>
          </w:p>
        </w:tc>
        <w:tc>
          <w:tcPr>
            <w:tcW w:w="58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00" w:type="dxa"/>
            <w:vAlign w:val="bottom"/>
            <w:shd w:val="clear" w:color="auto" w:fill="E5E6EF"/>
          </w:tcPr>
          <w:p>
            <w:pPr>
              <w:spacing w:after="0"/>
              <w:rPr>
                <w:sz w:val="24"/>
                <w:szCs w:val="24"/>
                <w:color w:val="auto"/>
              </w:rPr>
            </w:pPr>
          </w:p>
        </w:tc>
        <w:tc>
          <w:tcPr>
            <w:tcW w:w="600" w:type="dxa"/>
            <w:vAlign w:val="bottom"/>
            <w:shd w:val="clear" w:color="auto" w:fill="E5E6EF"/>
          </w:tcPr>
          <w:p>
            <w:pPr>
              <w:spacing w:after="0"/>
              <w:rPr>
                <w:sz w:val="24"/>
                <w:szCs w:val="24"/>
                <w:color w:val="auto"/>
              </w:rPr>
            </w:pPr>
          </w:p>
        </w:tc>
        <w:tc>
          <w:tcPr>
            <w:tcW w:w="580" w:type="dxa"/>
            <w:vAlign w:val="bottom"/>
            <w:shd w:val="clear" w:color="auto" w:fill="E5E6EF"/>
          </w:tcPr>
          <w:p>
            <w:pPr>
              <w:spacing w:after="0"/>
              <w:rPr>
                <w:sz w:val="24"/>
                <w:szCs w:val="24"/>
                <w:color w:val="auto"/>
              </w:rPr>
            </w:pPr>
          </w:p>
        </w:tc>
        <w:tc>
          <w:tcPr>
            <w:tcW w:w="62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40" w:type="dxa"/>
            <w:vAlign w:val="bottom"/>
            <w:shd w:val="clear" w:color="auto" w:fill="E5E6EF"/>
          </w:tcPr>
          <w:p>
            <w:pPr>
              <w:spacing w:after="0"/>
              <w:rPr>
                <w:sz w:val="24"/>
                <w:szCs w:val="24"/>
                <w:color w:val="auto"/>
              </w:rPr>
            </w:pPr>
          </w:p>
        </w:tc>
        <w:tc>
          <w:tcPr>
            <w:tcW w:w="560" w:type="dxa"/>
            <w:vAlign w:val="bottom"/>
            <w:shd w:val="clear" w:color="auto" w:fill="E5E6EF"/>
          </w:tcPr>
          <w:p>
            <w:pPr>
              <w:spacing w:after="0"/>
              <w:rPr>
                <w:sz w:val="24"/>
                <w:szCs w:val="24"/>
                <w:color w:val="auto"/>
              </w:rPr>
            </w:pPr>
          </w:p>
        </w:tc>
        <w:tc>
          <w:tcPr>
            <w:tcW w:w="620" w:type="dxa"/>
            <w:vAlign w:val="bottom"/>
            <w:shd w:val="clear" w:color="auto" w:fill="E5E6EF"/>
          </w:tcPr>
          <w:p>
            <w:pPr>
              <w:spacing w:after="0"/>
              <w:rPr>
                <w:sz w:val="24"/>
                <w:szCs w:val="24"/>
                <w:color w:val="auto"/>
              </w:rPr>
            </w:pP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24"/>
                <w:szCs w:val="24"/>
                <w:color w:val="auto"/>
              </w:rPr>
            </w:pPr>
          </w:p>
        </w:tc>
        <w:tc>
          <w:tcPr>
            <w:tcW w:w="620" w:type="dxa"/>
            <w:vAlign w:val="bottom"/>
            <w:shd w:val="clear" w:color="auto" w:fill="E5E6EF"/>
          </w:tcPr>
          <w:p>
            <w:pPr>
              <w:spacing w:after="0"/>
              <w:rPr>
                <w:sz w:val="24"/>
                <w:szCs w:val="24"/>
                <w:color w:val="auto"/>
              </w:rPr>
            </w:pP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24"/>
                <w:szCs w:val="24"/>
                <w:color w:val="auto"/>
              </w:rPr>
            </w:pPr>
          </w:p>
        </w:tc>
        <w:tc>
          <w:tcPr>
            <w:tcW w:w="620" w:type="dxa"/>
            <w:vAlign w:val="bottom"/>
            <w:shd w:val="clear" w:color="auto" w:fill="E5E6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40" w:type="dxa"/>
            <w:vAlign w:val="bottom"/>
            <w:tcBorders>
              <w:bottom w:val="single" w:sz="8" w:color="003478"/>
            </w:tcBorders>
            <w:shd w:val="clear" w:color="auto" w:fill="003478"/>
          </w:tcPr>
          <w:p>
            <w:pPr>
              <w:spacing w:after="0"/>
              <w:rPr>
                <w:sz w:val="13"/>
                <w:szCs w:val="13"/>
                <w:color w:val="auto"/>
              </w:rPr>
            </w:pPr>
          </w:p>
        </w:tc>
        <w:tc>
          <w:tcPr>
            <w:tcW w:w="820" w:type="dxa"/>
            <w:vAlign w:val="bottom"/>
            <w:tcBorders>
              <w:bottom w:val="single" w:sz="8" w:color="003478"/>
            </w:tcBorders>
          </w:tcPr>
          <w:p>
            <w:pPr>
              <w:spacing w:after="0"/>
              <w:rPr>
                <w:sz w:val="13"/>
                <w:szCs w:val="13"/>
                <w:color w:val="auto"/>
              </w:rPr>
            </w:pPr>
          </w:p>
        </w:tc>
        <w:tc>
          <w:tcPr>
            <w:tcW w:w="1840" w:type="dxa"/>
            <w:vAlign w:val="bottom"/>
            <w:tcBorders>
              <w:bottom w:val="single" w:sz="8" w:color="003478"/>
            </w:tcBorders>
          </w:tcPr>
          <w:p>
            <w:pPr>
              <w:spacing w:after="0"/>
              <w:rPr>
                <w:sz w:val="13"/>
                <w:szCs w:val="13"/>
                <w:color w:val="auto"/>
              </w:rPr>
            </w:pPr>
          </w:p>
        </w:tc>
        <w:tc>
          <w:tcPr>
            <w:tcW w:w="580" w:type="dxa"/>
            <w:vAlign w:val="bottom"/>
            <w:tcBorders>
              <w:bottom w:val="single" w:sz="8" w:color="003478"/>
            </w:tcBorders>
            <w:shd w:val="clear" w:color="auto" w:fill="E5E6EF"/>
          </w:tcPr>
          <w:p>
            <w:pPr>
              <w:spacing w:after="0"/>
              <w:rPr>
                <w:sz w:val="13"/>
                <w:szCs w:val="13"/>
                <w:color w:val="auto"/>
              </w:rPr>
            </w:pPr>
          </w:p>
        </w:tc>
        <w:tc>
          <w:tcPr>
            <w:tcW w:w="600" w:type="dxa"/>
            <w:vAlign w:val="bottom"/>
            <w:tcBorders>
              <w:bottom w:val="single" w:sz="8" w:color="003478"/>
            </w:tcBorders>
            <w:shd w:val="clear" w:color="auto" w:fill="E5E6EF"/>
          </w:tcPr>
          <w:p>
            <w:pPr>
              <w:spacing w:after="0"/>
              <w:rPr>
                <w:sz w:val="13"/>
                <w:szCs w:val="13"/>
                <w:color w:val="auto"/>
              </w:rPr>
            </w:pPr>
          </w:p>
        </w:tc>
        <w:tc>
          <w:tcPr>
            <w:tcW w:w="600" w:type="dxa"/>
            <w:vAlign w:val="bottom"/>
            <w:tcBorders>
              <w:bottom w:val="single" w:sz="8" w:color="003478"/>
            </w:tcBorders>
            <w:shd w:val="clear" w:color="auto" w:fill="E5E6EF"/>
          </w:tcPr>
          <w:p>
            <w:pPr>
              <w:spacing w:after="0"/>
              <w:rPr>
                <w:sz w:val="13"/>
                <w:szCs w:val="13"/>
                <w:color w:val="auto"/>
              </w:rPr>
            </w:pPr>
          </w:p>
        </w:tc>
        <w:tc>
          <w:tcPr>
            <w:tcW w:w="580" w:type="dxa"/>
            <w:vAlign w:val="bottom"/>
            <w:tcBorders>
              <w:bottom w:val="single" w:sz="8" w:color="003478"/>
            </w:tcBorders>
            <w:shd w:val="clear" w:color="auto" w:fill="E5E6EF"/>
          </w:tcPr>
          <w:p>
            <w:pPr>
              <w:spacing w:after="0"/>
              <w:rPr>
                <w:sz w:val="13"/>
                <w:szCs w:val="13"/>
                <w:color w:val="auto"/>
              </w:rPr>
            </w:pPr>
          </w:p>
        </w:tc>
        <w:tc>
          <w:tcPr>
            <w:tcW w:w="620" w:type="dxa"/>
            <w:vAlign w:val="bottom"/>
            <w:tcBorders>
              <w:bottom w:val="single" w:sz="8" w:color="003478"/>
            </w:tcBorders>
            <w:shd w:val="clear" w:color="auto" w:fill="E5E6EF"/>
          </w:tcPr>
          <w:p>
            <w:pPr>
              <w:spacing w:after="0"/>
              <w:rPr>
                <w:sz w:val="13"/>
                <w:szCs w:val="13"/>
                <w:color w:val="auto"/>
              </w:rPr>
            </w:pPr>
          </w:p>
        </w:tc>
        <w:tc>
          <w:tcPr>
            <w:tcW w:w="40" w:type="dxa"/>
            <w:vAlign w:val="bottom"/>
            <w:tcBorders>
              <w:bottom w:val="single" w:sz="8" w:color="003478"/>
            </w:tcBorders>
            <w:shd w:val="clear" w:color="auto" w:fill="E5E6EF"/>
          </w:tcPr>
          <w:p>
            <w:pPr>
              <w:spacing w:after="0"/>
              <w:rPr>
                <w:sz w:val="13"/>
                <w:szCs w:val="13"/>
                <w:color w:val="auto"/>
              </w:rPr>
            </w:pPr>
          </w:p>
        </w:tc>
        <w:tc>
          <w:tcPr>
            <w:tcW w:w="560" w:type="dxa"/>
            <w:vAlign w:val="bottom"/>
            <w:tcBorders>
              <w:bottom w:val="single" w:sz="8" w:color="003478"/>
            </w:tcBorders>
            <w:shd w:val="clear" w:color="auto" w:fill="E5E6EF"/>
          </w:tcPr>
          <w:p>
            <w:pPr>
              <w:spacing w:after="0"/>
              <w:rPr>
                <w:sz w:val="13"/>
                <w:szCs w:val="13"/>
                <w:color w:val="auto"/>
              </w:rPr>
            </w:pPr>
          </w:p>
        </w:tc>
        <w:tc>
          <w:tcPr>
            <w:tcW w:w="620" w:type="dxa"/>
            <w:vAlign w:val="bottom"/>
            <w:tcBorders>
              <w:bottom w:val="single" w:sz="8" w:color="003478"/>
            </w:tcBorders>
            <w:shd w:val="clear" w:color="auto" w:fill="E5E6EF"/>
          </w:tcPr>
          <w:p>
            <w:pPr>
              <w:spacing w:after="0"/>
              <w:rPr>
                <w:sz w:val="13"/>
                <w:szCs w:val="13"/>
                <w:color w:val="auto"/>
              </w:rPr>
            </w:pPr>
          </w:p>
        </w:tc>
        <w:tc>
          <w:tcPr>
            <w:tcW w:w="600" w:type="dxa"/>
            <w:vAlign w:val="bottom"/>
            <w:tcBorders>
              <w:bottom w:val="single" w:sz="8" w:color="003478"/>
            </w:tcBorders>
            <w:shd w:val="clear" w:color="auto" w:fill="E5E6EF"/>
          </w:tcPr>
          <w:p>
            <w:pPr>
              <w:spacing w:after="0"/>
              <w:rPr>
                <w:sz w:val="13"/>
                <w:szCs w:val="13"/>
                <w:color w:val="auto"/>
              </w:rPr>
            </w:pPr>
          </w:p>
        </w:tc>
        <w:tc>
          <w:tcPr>
            <w:tcW w:w="600" w:type="dxa"/>
            <w:vAlign w:val="bottom"/>
            <w:tcBorders>
              <w:bottom w:val="single" w:sz="8" w:color="003478"/>
            </w:tcBorders>
            <w:shd w:val="clear" w:color="auto" w:fill="E5E6EF"/>
          </w:tcPr>
          <w:p>
            <w:pPr>
              <w:spacing w:after="0"/>
              <w:rPr>
                <w:sz w:val="13"/>
                <w:szCs w:val="13"/>
                <w:color w:val="auto"/>
              </w:rPr>
            </w:pPr>
          </w:p>
        </w:tc>
        <w:tc>
          <w:tcPr>
            <w:tcW w:w="620" w:type="dxa"/>
            <w:vAlign w:val="bottom"/>
            <w:tcBorders>
              <w:bottom w:val="single" w:sz="8" w:color="003478"/>
            </w:tcBorders>
            <w:shd w:val="clear" w:color="auto" w:fill="E5E6EF"/>
          </w:tcPr>
          <w:p>
            <w:pPr>
              <w:spacing w:after="0"/>
              <w:rPr>
                <w:sz w:val="13"/>
                <w:szCs w:val="13"/>
                <w:color w:val="auto"/>
              </w:rPr>
            </w:pPr>
          </w:p>
        </w:tc>
        <w:tc>
          <w:tcPr>
            <w:tcW w:w="600" w:type="dxa"/>
            <w:vAlign w:val="bottom"/>
            <w:tcBorders>
              <w:bottom w:val="single" w:sz="8" w:color="003478"/>
            </w:tcBorders>
            <w:shd w:val="clear" w:color="auto" w:fill="E5E6EF"/>
          </w:tcPr>
          <w:p>
            <w:pPr>
              <w:spacing w:after="0"/>
              <w:rPr>
                <w:sz w:val="13"/>
                <w:szCs w:val="13"/>
                <w:color w:val="auto"/>
              </w:rPr>
            </w:pPr>
          </w:p>
        </w:tc>
        <w:tc>
          <w:tcPr>
            <w:tcW w:w="600" w:type="dxa"/>
            <w:vAlign w:val="bottom"/>
            <w:tcBorders>
              <w:bottom w:val="single" w:sz="8" w:color="003478"/>
            </w:tcBorders>
            <w:shd w:val="clear" w:color="auto" w:fill="E5E6EF"/>
          </w:tcPr>
          <w:p>
            <w:pPr>
              <w:spacing w:after="0"/>
              <w:rPr>
                <w:sz w:val="13"/>
                <w:szCs w:val="13"/>
                <w:color w:val="auto"/>
              </w:rPr>
            </w:pPr>
          </w:p>
        </w:tc>
        <w:tc>
          <w:tcPr>
            <w:tcW w:w="620" w:type="dxa"/>
            <w:vAlign w:val="bottom"/>
            <w:tcBorders>
              <w:bottom w:val="single" w:sz="8" w:color="003478"/>
            </w:tcBorders>
            <w:shd w:val="clear" w:color="auto" w:fill="E5E6EF"/>
          </w:tcPr>
          <w:p>
            <w:pPr>
              <w:spacing w:after="0"/>
              <w:rPr>
                <w:sz w:val="13"/>
                <w:szCs w:val="13"/>
                <w:color w:val="auto"/>
              </w:rPr>
            </w:pPr>
          </w:p>
        </w:tc>
        <w:tc>
          <w:tcPr>
            <w:tcW w:w="20" w:type="dxa"/>
            <w:vAlign w:val="bottom"/>
            <w:tcBorders>
              <w:bottom w:val="single" w:sz="8" w:color="003478"/>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40" w:type="dxa"/>
            <w:vAlign w:val="bottom"/>
            <w:shd w:val="clear" w:color="auto" w:fill="003478"/>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Calibri" w:cs="Calibri" w:eastAsia="Calibri" w:hAnsi="Calibri"/>
                <w:sz w:val="14"/>
                <w:szCs w:val="14"/>
                <w:color w:val="auto"/>
              </w:rPr>
              <w:t>Race / Ethnicity</w:t>
            </w:r>
          </w:p>
        </w:tc>
        <w:tc>
          <w:tcPr>
            <w:tcW w:w="58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7"/>
              </w:rPr>
              <w:t>White</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7"/>
              </w:rPr>
              <w:t>White</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White</w:t>
            </w:r>
          </w:p>
        </w:tc>
        <w:tc>
          <w:tcPr>
            <w:tcW w:w="58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White</w:t>
            </w:r>
          </w:p>
        </w:tc>
        <w:tc>
          <w:tcPr>
            <w:tcW w:w="62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White</w:t>
            </w:r>
          </w:p>
        </w:tc>
        <w:tc>
          <w:tcPr>
            <w:tcW w:w="40" w:type="dxa"/>
            <w:vAlign w:val="bottom"/>
            <w:shd w:val="clear" w:color="auto" w:fill="E5E6EF"/>
          </w:tcPr>
          <w:p>
            <w:pPr>
              <w:spacing w:after="0"/>
              <w:rPr>
                <w:sz w:val="18"/>
                <w:szCs w:val="18"/>
                <w:color w:val="auto"/>
              </w:rPr>
            </w:pPr>
          </w:p>
        </w:tc>
        <w:tc>
          <w:tcPr>
            <w:tcW w:w="56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7"/>
              </w:rPr>
              <w:t>White</w:t>
            </w:r>
          </w:p>
        </w:tc>
        <w:tc>
          <w:tcPr>
            <w:tcW w:w="62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White</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Black</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7"/>
              </w:rPr>
              <w:t>White</w:t>
            </w:r>
          </w:p>
        </w:tc>
        <w:tc>
          <w:tcPr>
            <w:tcW w:w="62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White</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White</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White</w:t>
            </w:r>
          </w:p>
        </w:tc>
        <w:tc>
          <w:tcPr>
            <w:tcW w:w="62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White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540" w:type="dxa"/>
            <w:vAlign w:val="bottom"/>
            <w:tcBorders>
              <w:bottom w:val="single" w:sz="8" w:color="003478"/>
            </w:tcBorders>
            <w:shd w:val="clear" w:color="auto" w:fill="003478"/>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40" w:type="dxa"/>
            <w:vAlign w:val="bottom"/>
            <w:tcBorders>
              <w:bottom w:val="single" w:sz="8" w:color="939598"/>
            </w:tcBorders>
          </w:tcPr>
          <w:p>
            <w:pPr>
              <w:spacing w:after="0"/>
              <w:rPr>
                <w:sz w:val="12"/>
                <w:szCs w:val="12"/>
                <w:color w:val="auto"/>
              </w:rPr>
            </w:pPr>
          </w:p>
        </w:tc>
        <w:tc>
          <w:tcPr>
            <w:tcW w:w="58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580" w:type="dxa"/>
            <w:vAlign w:val="bottom"/>
            <w:tcBorders>
              <w:bottom w:val="single" w:sz="8" w:color="939598"/>
            </w:tcBorders>
            <w:shd w:val="clear" w:color="auto" w:fill="E5E6EF"/>
          </w:tcPr>
          <w:p>
            <w:pPr>
              <w:spacing w:after="0"/>
              <w:rPr>
                <w:sz w:val="12"/>
                <w:szCs w:val="12"/>
                <w:color w:val="auto"/>
              </w:rPr>
            </w:pPr>
          </w:p>
        </w:tc>
        <w:tc>
          <w:tcPr>
            <w:tcW w:w="620" w:type="dxa"/>
            <w:vAlign w:val="bottom"/>
            <w:tcBorders>
              <w:bottom w:val="single" w:sz="8" w:color="939598"/>
            </w:tcBorders>
            <w:shd w:val="clear" w:color="auto" w:fill="E5E6EF"/>
          </w:tcPr>
          <w:p>
            <w:pPr>
              <w:spacing w:after="0"/>
              <w:rPr>
                <w:sz w:val="12"/>
                <w:szCs w:val="12"/>
                <w:color w:val="auto"/>
              </w:rPr>
            </w:pPr>
          </w:p>
        </w:tc>
        <w:tc>
          <w:tcPr>
            <w:tcW w:w="40" w:type="dxa"/>
            <w:vAlign w:val="bottom"/>
            <w:tcBorders>
              <w:bottom w:val="single" w:sz="8" w:color="939598"/>
            </w:tcBorders>
            <w:shd w:val="clear" w:color="auto" w:fill="E5E6EF"/>
          </w:tcPr>
          <w:p>
            <w:pPr>
              <w:spacing w:after="0"/>
              <w:rPr>
                <w:sz w:val="12"/>
                <w:szCs w:val="12"/>
                <w:color w:val="auto"/>
              </w:rPr>
            </w:pPr>
          </w:p>
        </w:tc>
        <w:tc>
          <w:tcPr>
            <w:tcW w:w="560" w:type="dxa"/>
            <w:vAlign w:val="bottom"/>
            <w:tcBorders>
              <w:bottom w:val="single" w:sz="8" w:color="939598"/>
            </w:tcBorders>
            <w:shd w:val="clear" w:color="auto" w:fill="E5E6EF"/>
          </w:tcPr>
          <w:p>
            <w:pPr>
              <w:spacing w:after="0"/>
              <w:rPr>
                <w:sz w:val="12"/>
                <w:szCs w:val="12"/>
                <w:color w:val="auto"/>
              </w:rPr>
            </w:pPr>
          </w:p>
        </w:tc>
        <w:tc>
          <w:tcPr>
            <w:tcW w:w="62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62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620" w:type="dxa"/>
            <w:vAlign w:val="bottom"/>
            <w:tcBorders>
              <w:bottom w:val="single" w:sz="8" w:color="939598"/>
            </w:tcBorders>
            <w:shd w:val="clear" w:color="auto" w:fill="E5E6EF"/>
          </w:tcPr>
          <w:p>
            <w:pPr>
              <w:spacing w:after="0"/>
              <w:rPr>
                <w:sz w:val="12"/>
                <w:szCs w:val="12"/>
                <w:color w:val="auto"/>
              </w:rPr>
            </w:pPr>
          </w:p>
        </w:tc>
        <w:tc>
          <w:tcPr>
            <w:tcW w:w="2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540" w:type="dxa"/>
            <w:vAlign w:val="bottom"/>
            <w:shd w:val="clear" w:color="auto" w:fill="003478"/>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Calibri" w:cs="Calibri" w:eastAsia="Calibri" w:hAnsi="Calibri"/>
                <w:sz w:val="14"/>
                <w:szCs w:val="14"/>
                <w:color w:val="auto"/>
              </w:rPr>
              <w:t>Veteran of the U.S. Armed Forces</w:t>
            </w:r>
          </w:p>
        </w:tc>
        <w:tc>
          <w:tcPr>
            <w:tcW w:w="58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00" w:type="dxa"/>
            <w:vAlign w:val="bottom"/>
            <w:shd w:val="clear" w:color="auto" w:fill="E5E6EF"/>
          </w:tcPr>
          <w:p>
            <w:pPr>
              <w:spacing w:after="0"/>
              <w:rPr>
                <w:sz w:val="21"/>
                <w:szCs w:val="21"/>
                <w:color w:val="auto"/>
              </w:rPr>
            </w:pPr>
          </w:p>
        </w:tc>
        <w:tc>
          <w:tcPr>
            <w:tcW w:w="600" w:type="dxa"/>
            <w:vAlign w:val="bottom"/>
            <w:shd w:val="clear" w:color="auto" w:fill="E5E6EF"/>
          </w:tcPr>
          <w:p>
            <w:pPr>
              <w:spacing w:after="0"/>
              <w:rPr>
                <w:sz w:val="21"/>
                <w:szCs w:val="21"/>
                <w:color w:val="auto"/>
              </w:rPr>
            </w:pPr>
          </w:p>
        </w:tc>
        <w:tc>
          <w:tcPr>
            <w:tcW w:w="58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2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40" w:type="dxa"/>
            <w:vAlign w:val="bottom"/>
            <w:shd w:val="clear" w:color="auto" w:fill="E5E6EF"/>
          </w:tcPr>
          <w:p>
            <w:pPr>
              <w:spacing w:after="0"/>
              <w:rPr>
                <w:sz w:val="21"/>
                <w:szCs w:val="21"/>
                <w:color w:val="auto"/>
              </w:rPr>
            </w:pPr>
          </w:p>
        </w:tc>
        <w:tc>
          <w:tcPr>
            <w:tcW w:w="560" w:type="dxa"/>
            <w:vAlign w:val="bottom"/>
            <w:shd w:val="clear" w:color="auto" w:fill="E5E6EF"/>
          </w:tcPr>
          <w:p>
            <w:pPr>
              <w:spacing w:after="0"/>
              <w:rPr>
                <w:sz w:val="21"/>
                <w:szCs w:val="21"/>
                <w:color w:val="auto"/>
              </w:rPr>
            </w:pPr>
          </w:p>
        </w:tc>
        <w:tc>
          <w:tcPr>
            <w:tcW w:w="620" w:type="dxa"/>
            <w:vAlign w:val="bottom"/>
            <w:shd w:val="clear" w:color="auto" w:fill="E5E6EF"/>
          </w:tcPr>
          <w:p>
            <w:pPr>
              <w:spacing w:after="0"/>
              <w:rPr>
                <w:sz w:val="21"/>
                <w:szCs w:val="21"/>
                <w:color w:val="auto"/>
              </w:rPr>
            </w:pPr>
          </w:p>
        </w:tc>
        <w:tc>
          <w:tcPr>
            <w:tcW w:w="600" w:type="dxa"/>
            <w:vAlign w:val="bottom"/>
            <w:shd w:val="clear" w:color="auto" w:fill="E5E6EF"/>
          </w:tcPr>
          <w:p>
            <w:pPr>
              <w:spacing w:after="0"/>
              <w:rPr>
                <w:sz w:val="21"/>
                <w:szCs w:val="21"/>
                <w:color w:val="auto"/>
              </w:rPr>
            </w:pP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rPr>
              <w:t>l</w:t>
            </w:r>
          </w:p>
        </w:tc>
        <w:tc>
          <w:tcPr>
            <w:tcW w:w="620" w:type="dxa"/>
            <w:vAlign w:val="bottom"/>
            <w:shd w:val="clear" w:color="auto" w:fill="E5E6EF"/>
          </w:tcPr>
          <w:p>
            <w:pPr>
              <w:spacing w:after="0"/>
              <w:rPr>
                <w:sz w:val="21"/>
                <w:szCs w:val="21"/>
                <w:color w:val="auto"/>
              </w:rPr>
            </w:pPr>
          </w:p>
        </w:tc>
        <w:tc>
          <w:tcPr>
            <w:tcW w:w="600" w:type="dxa"/>
            <w:vAlign w:val="bottom"/>
            <w:shd w:val="clear" w:color="auto" w:fill="E5E6EF"/>
          </w:tcPr>
          <w:p>
            <w:pPr>
              <w:jc w:val="center"/>
              <w:spacing w:after="0"/>
              <w:rPr>
                <w:sz w:val="20"/>
                <w:szCs w:val="20"/>
                <w:color w:val="auto"/>
              </w:rPr>
            </w:pPr>
            <w:r>
              <w:rPr>
                <w:rFonts w:ascii="Wingdings" w:cs="Wingdings" w:eastAsia="Wingdings" w:hAnsi="Wingdings"/>
                <w:sz w:val="17"/>
                <w:szCs w:val="17"/>
                <w:b w:val="1"/>
                <w:bCs w:val="1"/>
                <w:color w:val="003478"/>
                <w:w w:val="94"/>
              </w:rPr>
              <w:t>l</w:t>
            </w:r>
          </w:p>
        </w:tc>
        <w:tc>
          <w:tcPr>
            <w:tcW w:w="600" w:type="dxa"/>
            <w:vAlign w:val="bottom"/>
            <w:shd w:val="clear" w:color="auto" w:fill="E5E6EF"/>
          </w:tcPr>
          <w:p>
            <w:pPr>
              <w:spacing w:after="0"/>
              <w:rPr>
                <w:sz w:val="21"/>
                <w:szCs w:val="21"/>
                <w:color w:val="auto"/>
              </w:rPr>
            </w:pPr>
          </w:p>
        </w:tc>
        <w:tc>
          <w:tcPr>
            <w:tcW w:w="620" w:type="dxa"/>
            <w:vAlign w:val="bottom"/>
            <w:shd w:val="clear" w:color="auto" w:fill="E5E6E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540" w:type="dxa"/>
            <w:vAlign w:val="bottom"/>
            <w:tcBorders>
              <w:bottom w:val="single" w:sz="8" w:color="003478"/>
            </w:tcBorders>
            <w:shd w:val="clear" w:color="auto" w:fill="003478"/>
          </w:tcPr>
          <w:p>
            <w:pPr>
              <w:spacing w:after="0"/>
              <w:rPr>
                <w:sz w:val="9"/>
                <w:szCs w:val="9"/>
                <w:color w:val="auto"/>
              </w:rPr>
            </w:pPr>
          </w:p>
        </w:tc>
        <w:tc>
          <w:tcPr>
            <w:tcW w:w="820" w:type="dxa"/>
            <w:vAlign w:val="bottom"/>
            <w:tcBorders>
              <w:bottom w:val="single" w:sz="8" w:color="939598"/>
            </w:tcBorders>
          </w:tcPr>
          <w:p>
            <w:pPr>
              <w:spacing w:after="0"/>
              <w:rPr>
                <w:sz w:val="9"/>
                <w:szCs w:val="9"/>
                <w:color w:val="auto"/>
              </w:rPr>
            </w:pPr>
          </w:p>
        </w:tc>
        <w:tc>
          <w:tcPr>
            <w:tcW w:w="1840" w:type="dxa"/>
            <w:vAlign w:val="bottom"/>
            <w:tcBorders>
              <w:bottom w:val="single" w:sz="8" w:color="939598"/>
            </w:tcBorders>
          </w:tcPr>
          <w:p>
            <w:pPr>
              <w:spacing w:after="0"/>
              <w:rPr>
                <w:sz w:val="9"/>
                <w:szCs w:val="9"/>
                <w:color w:val="auto"/>
              </w:rPr>
            </w:pPr>
          </w:p>
        </w:tc>
        <w:tc>
          <w:tcPr>
            <w:tcW w:w="58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58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40" w:type="dxa"/>
            <w:vAlign w:val="bottom"/>
            <w:tcBorders>
              <w:bottom w:val="single" w:sz="8" w:color="939598"/>
            </w:tcBorders>
            <w:shd w:val="clear" w:color="auto" w:fill="E5E6EF"/>
          </w:tcPr>
          <w:p>
            <w:pPr>
              <w:spacing w:after="0"/>
              <w:rPr>
                <w:sz w:val="9"/>
                <w:szCs w:val="9"/>
                <w:color w:val="auto"/>
              </w:rPr>
            </w:pPr>
          </w:p>
        </w:tc>
        <w:tc>
          <w:tcPr>
            <w:tcW w:w="56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00" w:type="dxa"/>
            <w:vAlign w:val="bottom"/>
            <w:tcBorders>
              <w:bottom w:val="single" w:sz="8" w:color="939598"/>
            </w:tcBorders>
            <w:shd w:val="clear" w:color="auto" w:fill="E5E6EF"/>
          </w:tcPr>
          <w:p>
            <w:pPr>
              <w:spacing w:after="0"/>
              <w:rPr>
                <w:sz w:val="9"/>
                <w:szCs w:val="9"/>
                <w:color w:val="auto"/>
              </w:rPr>
            </w:pPr>
          </w:p>
        </w:tc>
        <w:tc>
          <w:tcPr>
            <w:tcW w:w="620" w:type="dxa"/>
            <w:vAlign w:val="bottom"/>
            <w:tcBorders>
              <w:bottom w:val="single" w:sz="8" w:color="939598"/>
            </w:tcBorders>
            <w:shd w:val="clear" w:color="auto" w:fill="E5E6EF"/>
          </w:tcPr>
          <w:p>
            <w:pPr>
              <w:spacing w:after="0"/>
              <w:rPr>
                <w:sz w:val="9"/>
                <w:szCs w:val="9"/>
                <w:color w:val="auto"/>
              </w:rPr>
            </w:pPr>
          </w:p>
        </w:tc>
        <w:tc>
          <w:tcPr>
            <w:tcW w:w="2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003478"/>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Calibri" w:cs="Calibri" w:eastAsia="Calibri" w:hAnsi="Calibri"/>
                <w:sz w:val="14"/>
                <w:szCs w:val="14"/>
                <w:color w:val="auto"/>
              </w:rPr>
              <w:t>Gender (Male / Female)</w:t>
            </w:r>
          </w:p>
        </w:tc>
        <w:tc>
          <w:tcPr>
            <w:tcW w:w="58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M</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9"/>
              </w:rPr>
              <w:t>M</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9"/>
              </w:rPr>
              <w:t>M</w:t>
            </w:r>
          </w:p>
        </w:tc>
        <w:tc>
          <w:tcPr>
            <w:tcW w:w="58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9"/>
              </w:rPr>
              <w:t>M</w:t>
            </w:r>
          </w:p>
        </w:tc>
        <w:tc>
          <w:tcPr>
            <w:tcW w:w="62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9"/>
              </w:rPr>
              <w:t>M</w:t>
            </w:r>
          </w:p>
        </w:tc>
        <w:tc>
          <w:tcPr>
            <w:tcW w:w="40" w:type="dxa"/>
            <w:vAlign w:val="bottom"/>
            <w:shd w:val="clear" w:color="auto" w:fill="E5E6EF"/>
          </w:tcPr>
          <w:p>
            <w:pPr>
              <w:spacing w:after="0"/>
              <w:rPr>
                <w:sz w:val="18"/>
                <w:szCs w:val="18"/>
                <w:color w:val="auto"/>
              </w:rPr>
            </w:pPr>
          </w:p>
        </w:tc>
        <w:tc>
          <w:tcPr>
            <w:tcW w:w="56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2"/>
              </w:rPr>
              <w:t>F</w:t>
            </w:r>
          </w:p>
        </w:tc>
        <w:tc>
          <w:tcPr>
            <w:tcW w:w="62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2"/>
              </w:rPr>
              <w:t>F</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9"/>
              </w:rPr>
              <w:t>M</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M</w:t>
            </w:r>
          </w:p>
        </w:tc>
        <w:tc>
          <w:tcPr>
            <w:tcW w:w="62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rPr>
              <w:t>F</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9"/>
              </w:rPr>
              <w:t>M</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2"/>
              </w:rPr>
              <w:t>F</w:t>
            </w:r>
          </w:p>
        </w:tc>
        <w:tc>
          <w:tcPr>
            <w:tcW w:w="62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9"/>
              </w:rPr>
              <w:t>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540" w:type="dxa"/>
            <w:vAlign w:val="bottom"/>
            <w:tcBorders>
              <w:bottom w:val="single" w:sz="8" w:color="003478"/>
            </w:tcBorders>
            <w:shd w:val="clear" w:color="auto" w:fill="003478"/>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40" w:type="dxa"/>
            <w:vAlign w:val="bottom"/>
            <w:tcBorders>
              <w:bottom w:val="single" w:sz="8" w:color="939598"/>
            </w:tcBorders>
          </w:tcPr>
          <w:p>
            <w:pPr>
              <w:spacing w:after="0"/>
              <w:rPr>
                <w:sz w:val="12"/>
                <w:szCs w:val="12"/>
                <w:color w:val="auto"/>
              </w:rPr>
            </w:pPr>
          </w:p>
        </w:tc>
        <w:tc>
          <w:tcPr>
            <w:tcW w:w="58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580" w:type="dxa"/>
            <w:vAlign w:val="bottom"/>
            <w:tcBorders>
              <w:bottom w:val="single" w:sz="8" w:color="939598"/>
            </w:tcBorders>
            <w:shd w:val="clear" w:color="auto" w:fill="E5E6EF"/>
          </w:tcPr>
          <w:p>
            <w:pPr>
              <w:spacing w:after="0"/>
              <w:rPr>
                <w:sz w:val="12"/>
                <w:szCs w:val="12"/>
                <w:color w:val="auto"/>
              </w:rPr>
            </w:pPr>
          </w:p>
        </w:tc>
        <w:tc>
          <w:tcPr>
            <w:tcW w:w="620" w:type="dxa"/>
            <w:vAlign w:val="bottom"/>
            <w:tcBorders>
              <w:bottom w:val="single" w:sz="8" w:color="939598"/>
            </w:tcBorders>
            <w:shd w:val="clear" w:color="auto" w:fill="E5E6EF"/>
          </w:tcPr>
          <w:p>
            <w:pPr>
              <w:spacing w:after="0"/>
              <w:rPr>
                <w:sz w:val="12"/>
                <w:szCs w:val="12"/>
                <w:color w:val="auto"/>
              </w:rPr>
            </w:pPr>
          </w:p>
        </w:tc>
        <w:tc>
          <w:tcPr>
            <w:tcW w:w="40" w:type="dxa"/>
            <w:vAlign w:val="bottom"/>
            <w:tcBorders>
              <w:bottom w:val="single" w:sz="8" w:color="939598"/>
            </w:tcBorders>
            <w:shd w:val="clear" w:color="auto" w:fill="E5E6EF"/>
          </w:tcPr>
          <w:p>
            <w:pPr>
              <w:spacing w:after="0"/>
              <w:rPr>
                <w:sz w:val="12"/>
                <w:szCs w:val="12"/>
                <w:color w:val="auto"/>
              </w:rPr>
            </w:pPr>
          </w:p>
        </w:tc>
        <w:tc>
          <w:tcPr>
            <w:tcW w:w="560" w:type="dxa"/>
            <w:vAlign w:val="bottom"/>
            <w:tcBorders>
              <w:bottom w:val="single" w:sz="8" w:color="939598"/>
            </w:tcBorders>
            <w:shd w:val="clear" w:color="auto" w:fill="E5E6EF"/>
          </w:tcPr>
          <w:p>
            <w:pPr>
              <w:spacing w:after="0"/>
              <w:rPr>
                <w:sz w:val="12"/>
                <w:szCs w:val="12"/>
                <w:color w:val="auto"/>
              </w:rPr>
            </w:pPr>
          </w:p>
        </w:tc>
        <w:tc>
          <w:tcPr>
            <w:tcW w:w="62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62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600" w:type="dxa"/>
            <w:vAlign w:val="bottom"/>
            <w:tcBorders>
              <w:bottom w:val="single" w:sz="8" w:color="939598"/>
            </w:tcBorders>
            <w:shd w:val="clear" w:color="auto" w:fill="E5E6EF"/>
          </w:tcPr>
          <w:p>
            <w:pPr>
              <w:spacing w:after="0"/>
              <w:rPr>
                <w:sz w:val="12"/>
                <w:szCs w:val="12"/>
                <w:color w:val="auto"/>
              </w:rPr>
            </w:pPr>
          </w:p>
        </w:tc>
        <w:tc>
          <w:tcPr>
            <w:tcW w:w="620" w:type="dxa"/>
            <w:vAlign w:val="bottom"/>
            <w:tcBorders>
              <w:bottom w:val="single" w:sz="8" w:color="939598"/>
            </w:tcBorders>
            <w:shd w:val="clear" w:color="auto" w:fill="E5E6EF"/>
          </w:tcPr>
          <w:p>
            <w:pPr>
              <w:spacing w:after="0"/>
              <w:rPr>
                <w:sz w:val="12"/>
                <w:szCs w:val="12"/>
                <w:color w:val="auto"/>
              </w:rPr>
            </w:pPr>
          </w:p>
        </w:tc>
        <w:tc>
          <w:tcPr>
            <w:tcW w:w="20" w:type="dxa"/>
            <w:vAlign w:val="bottom"/>
            <w:tcBorders>
              <w:bottom w:val="single" w:sz="8" w:color="939598"/>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003478"/>
          </w:tcPr>
          <w:p>
            <w:pPr>
              <w:spacing w:after="0"/>
              <w:rPr>
                <w:sz w:val="18"/>
                <w:szCs w:val="18"/>
                <w:color w:val="auto"/>
              </w:rPr>
            </w:pPr>
          </w:p>
        </w:tc>
        <w:tc>
          <w:tcPr>
            <w:tcW w:w="820" w:type="dxa"/>
            <w:vAlign w:val="bottom"/>
          </w:tcPr>
          <w:p>
            <w:pPr>
              <w:ind w:left="20"/>
              <w:spacing w:after="0"/>
              <w:rPr>
                <w:sz w:val="20"/>
                <w:szCs w:val="20"/>
                <w:color w:val="auto"/>
              </w:rPr>
            </w:pPr>
            <w:r>
              <w:rPr>
                <w:rFonts w:ascii="Calibri" w:cs="Calibri" w:eastAsia="Calibri" w:hAnsi="Calibri"/>
                <w:sz w:val="14"/>
                <w:szCs w:val="14"/>
                <w:color w:val="auto"/>
              </w:rPr>
              <w:t>Age</w:t>
            </w:r>
          </w:p>
        </w:tc>
        <w:tc>
          <w:tcPr>
            <w:tcW w:w="1840" w:type="dxa"/>
            <w:vAlign w:val="bottom"/>
          </w:tcPr>
          <w:p>
            <w:pPr>
              <w:spacing w:after="0"/>
              <w:rPr>
                <w:sz w:val="18"/>
                <w:szCs w:val="18"/>
                <w:color w:val="auto"/>
              </w:rPr>
            </w:pPr>
          </w:p>
        </w:tc>
        <w:tc>
          <w:tcPr>
            <w:tcW w:w="58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8"/>
              </w:rPr>
              <w:t>75</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8"/>
              </w:rPr>
              <w:t>67</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8"/>
              </w:rPr>
              <w:t>64</w:t>
            </w:r>
          </w:p>
        </w:tc>
        <w:tc>
          <w:tcPr>
            <w:tcW w:w="580" w:type="dxa"/>
            <w:vAlign w:val="bottom"/>
            <w:shd w:val="clear" w:color="auto" w:fill="E5E6EF"/>
          </w:tcPr>
          <w:p>
            <w:pPr>
              <w:jc w:val="right"/>
              <w:ind w:right="121"/>
              <w:spacing w:after="0"/>
              <w:rPr>
                <w:sz w:val="20"/>
                <w:szCs w:val="20"/>
                <w:color w:val="auto"/>
              </w:rPr>
            </w:pPr>
            <w:r>
              <w:rPr>
                <w:rFonts w:ascii="Calibri" w:cs="Calibri" w:eastAsia="Calibri" w:hAnsi="Calibri"/>
                <w:sz w:val="14"/>
                <w:szCs w:val="14"/>
                <w:color w:val="auto"/>
              </w:rPr>
              <w:t>74</w:t>
            </w:r>
          </w:p>
        </w:tc>
        <w:tc>
          <w:tcPr>
            <w:tcW w:w="620" w:type="dxa"/>
            <w:vAlign w:val="bottom"/>
            <w:shd w:val="clear" w:color="auto" w:fill="E5E6EF"/>
          </w:tcPr>
          <w:p>
            <w:pPr>
              <w:jc w:val="right"/>
              <w:ind w:right="144"/>
              <w:spacing w:after="0"/>
              <w:rPr>
                <w:sz w:val="20"/>
                <w:szCs w:val="20"/>
                <w:color w:val="auto"/>
              </w:rPr>
            </w:pPr>
            <w:r>
              <w:rPr>
                <w:rFonts w:ascii="Calibri" w:cs="Calibri" w:eastAsia="Calibri" w:hAnsi="Calibri"/>
                <w:sz w:val="14"/>
                <w:szCs w:val="14"/>
                <w:color w:val="auto"/>
              </w:rPr>
              <w:t>73</w:t>
            </w:r>
          </w:p>
        </w:tc>
        <w:tc>
          <w:tcPr>
            <w:tcW w:w="40" w:type="dxa"/>
            <w:vAlign w:val="bottom"/>
            <w:shd w:val="clear" w:color="auto" w:fill="E5E6EF"/>
          </w:tcPr>
          <w:p>
            <w:pPr>
              <w:spacing w:after="0"/>
              <w:rPr>
                <w:sz w:val="18"/>
                <w:szCs w:val="18"/>
                <w:color w:val="auto"/>
              </w:rPr>
            </w:pPr>
          </w:p>
        </w:tc>
        <w:tc>
          <w:tcPr>
            <w:tcW w:w="560" w:type="dxa"/>
            <w:vAlign w:val="bottom"/>
            <w:shd w:val="clear" w:color="auto" w:fill="E5E6EF"/>
          </w:tcPr>
          <w:p>
            <w:pPr>
              <w:jc w:val="right"/>
              <w:ind w:right="143"/>
              <w:spacing w:after="0"/>
              <w:rPr>
                <w:sz w:val="20"/>
                <w:szCs w:val="20"/>
                <w:color w:val="auto"/>
              </w:rPr>
            </w:pPr>
            <w:r>
              <w:rPr>
                <w:rFonts w:ascii="Calibri" w:cs="Calibri" w:eastAsia="Calibri" w:hAnsi="Calibri"/>
                <w:sz w:val="14"/>
                <w:szCs w:val="14"/>
                <w:color w:val="auto"/>
              </w:rPr>
              <w:t>69</w:t>
            </w:r>
          </w:p>
        </w:tc>
        <w:tc>
          <w:tcPr>
            <w:tcW w:w="620" w:type="dxa"/>
            <w:vAlign w:val="bottom"/>
            <w:shd w:val="clear" w:color="auto" w:fill="E5E6EF"/>
          </w:tcPr>
          <w:p>
            <w:pPr>
              <w:jc w:val="right"/>
              <w:ind w:right="161"/>
              <w:spacing w:after="0"/>
              <w:rPr>
                <w:sz w:val="20"/>
                <w:szCs w:val="20"/>
                <w:color w:val="auto"/>
              </w:rPr>
            </w:pPr>
            <w:r>
              <w:rPr>
                <w:rFonts w:ascii="Calibri" w:cs="Calibri" w:eastAsia="Calibri" w:hAnsi="Calibri"/>
                <w:sz w:val="14"/>
                <w:szCs w:val="14"/>
                <w:color w:val="auto"/>
              </w:rPr>
              <w:t>63</w:t>
            </w:r>
          </w:p>
        </w:tc>
        <w:tc>
          <w:tcPr>
            <w:tcW w:w="600" w:type="dxa"/>
            <w:vAlign w:val="bottom"/>
            <w:shd w:val="clear" w:color="auto" w:fill="E5E6EF"/>
          </w:tcPr>
          <w:p>
            <w:pPr>
              <w:jc w:val="right"/>
              <w:ind w:right="142"/>
              <w:spacing w:after="0"/>
              <w:rPr>
                <w:sz w:val="20"/>
                <w:szCs w:val="20"/>
                <w:color w:val="auto"/>
              </w:rPr>
            </w:pPr>
            <w:r>
              <w:rPr>
                <w:rFonts w:ascii="Calibri" w:cs="Calibri" w:eastAsia="Calibri" w:hAnsi="Calibri"/>
                <w:sz w:val="14"/>
                <w:szCs w:val="14"/>
                <w:color w:val="auto"/>
              </w:rPr>
              <w:t>65</w:t>
            </w:r>
          </w:p>
        </w:tc>
        <w:tc>
          <w:tcPr>
            <w:tcW w:w="600" w:type="dxa"/>
            <w:vAlign w:val="bottom"/>
            <w:shd w:val="clear" w:color="auto" w:fill="E5E6EF"/>
          </w:tcPr>
          <w:p>
            <w:pPr>
              <w:jc w:val="right"/>
              <w:ind w:right="140"/>
              <w:spacing w:after="0"/>
              <w:rPr>
                <w:sz w:val="20"/>
                <w:szCs w:val="20"/>
                <w:color w:val="auto"/>
              </w:rPr>
            </w:pPr>
            <w:r>
              <w:rPr>
                <w:rFonts w:ascii="Calibri" w:cs="Calibri" w:eastAsia="Calibri" w:hAnsi="Calibri"/>
                <w:sz w:val="14"/>
                <w:szCs w:val="14"/>
                <w:color w:val="auto"/>
              </w:rPr>
              <w:t>62</w:t>
            </w:r>
          </w:p>
        </w:tc>
        <w:tc>
          <w:tcPr>
            <w:tcW w:w="620" w:type="dxa"/>
            <w:vAlign w:val="bottom"/>
            <w:shd w:val="clear" w:color="auto" w:fill="E5E6EF"/>
          </w:tcPr>
          <w:p>
            <w:pPr>
              <w:jc w:val="right"/>
              <w:ind w:right="143"/>
              <w:spacing w:after="0"/>
              <w:rPr>
                <w:sz w:val="20"/>
                <w:szCs w:val="20"/>
                <w:color w:val="auto"/>
              </w:rPr>
            </w:pPr>
            <w:r>
              <w:rPr>
                <w:rFonts w:ascii="Calibri" w:cs="Calibri" w:eastAsia="Calibri" w:hAnsi="Calibri"/>
                <w:sz w:val="14"/>
                <w:szCs w:val="14"/>
                <w:color w:val="auto"/>
              </w:rPr>
              <w:t>66</w:t>
            </w:r>
          </w:p>
        </w:tc>
        <w:tc>
          <w:tcPr>
            <w:tcW w:w="600" w:type="dxa"/>
            <w:vAlign w:val="bottom"/>
            <w:shd w:val="clear" w:color="auto" w:fill="E5E6EF"/>
          </w:tcPr>
          <w:p>
            <w:pPr>
              <w:jc w:val="right"/>
              <w:ind w:right="142"/>
              <w:spacing w:after="0"/>
              <w:rPr>
                <w:sz w:val="20"/>
                <w:szCs w:val="20"/>
                <w:color w:val="auto"/>
              </w:rPr>
            </w:pPr>
            <w:r>
              <w:rPr>
                <w:rFonts w:ascii="Calibri" w:cs="Calibri" w:eastAsia="Calibri" w:hAnsi="Calibri"/>
                <w:sz w:val="14"/>
                <w:szCs w:val="14"/>
                <w:color w:val="auto"/>
              </w:rPr>
              <w:t>67</w:t>
            </w:r>
          </w:p>
        </w:tc>
        <w:tc>
          <w:tcPr>
            <w:tcW w:w="600" w:type="dxa"/>
            <w:vAlign w:val="bottom"/>
            <w:shd w:val="clear" w:color="auto" w:fill="E5E6EF"/>
          </w:tcPr>
          <w:p>
            <w:pPr>
              <w:jc w:val="right"/>
              <w:ind w:right="141"/>
              <w:spacing w:after="0"/>
              <w:rPr>
                <w:sz w:val="20"/>
                <w:szCs w:val="20"/>
                <w:color w:val="auto"/>
              </w:rPr>
            </w:pPr>
            <w:r>
              <w:rPr>
                <w:rFonts w:ascii="Calibri" w:cs="Calibri" w:eastAsia="Calibri" w:hAnsi="Calibri"/>
                <w:sz w:val="14"/>
                <w:szCs w:val="14"/>
                <w:color w:val="auto"/>
              </w:rPr>
              <w:t>66</w:t>
            </w:r>
          </w:p>
        </w:tc>
        <w:tc>
          <w:tcPr>
            <w:tcW w:w="620" w:type="dxa"/>
            <w:vAlign w:val="bottom"/>
            <w:shd w:val="clear" w:color="auto" w:fill="E5E6EF"/>
          </w:tcPr>
          <w:p>
            <w:pPr>
              <w:jc w:val="right"/>
              <w:ind w:right="140"/>
              <w:spacing w:after="0"/>
              <w:rPr>
                <w:sz w:val="20"/>
                <w:szCs w:val="20"/>
                <w:color w:val="auto"/>
              </w:rPr>
            </w:pPr>
            <w:r>
              <w:rPr>
                <w:rFonts w:ascii="Calibri" w:cs="Calibri" w:eastAsia="Calibri" w:hAnsi="Calibri"/>
                <w:sz w:val="14"/>
                <w:szCs w:val="14"/>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540" w:type="dxa"/>
            <w:vAlign w:val="bottom"/>
            <w:tcBorders>
              <w:bottom w:val="single" w:sz="8" w:color="003478"/>
            </w:tcBorders>
            <w:shd w:val="clear" w:color="auto" w:fill="003478"/>
          </w:tcPr>
          <w:p>
            <w:pPr>
              <w:spacing w:after="0"/>
              <w:rPr>
                <w:sz w:val="11"/>
                <w:szCs w:val="11"/>
                <w:color w:val="auto"/>
              </w:rPr>
            </w:pPr>
          </w:p>
        </w:tc>
        <w:tc>
          <w:tcPr>
            <w:tcW w:w="820" w:type="dxa"/>
            <w:vAlign w:val="bottom"/>
            <w:tcBorders>
              <w:bottom w:val="single" w:sz="8" w:color="939598"/>
            </w:tcBorders>
          </w:tcPr>
          <w:p>
            <w:pPr>
              <w:spacing w:after="0"/>
              <w:rPr>
                <w:sz w:val="11"/>
                <w:szCs w:val="11"/>
                <w:color w:val="auto"/>
              </w:rPr>
            </w:pPr>
          </w:p>
        </w:tc>
        <w:tc>
          <w:tcPr>
            <w:tcW w:w="1840" w:type="dxa"/>
            <w:vAlign w:val="bottom"/>
            <w:tcBorders>
              <w:bottom w:val="single" w:sz="8" w:color="939598"/>
            </w:tcBorders>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58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40" w:type="dxa"/>
            <w:vAlign w:val="bottom"/>
            <w:tcBorders>
              <w:bottom w:val="single" w:sz="8" w:color="939598"/>
            </w:tcBorders>
            <w:shd w:val="clear" w:color="auto" w:fill="E5E6EF"/>
          </w:tcPr>
          <w:p>
            <w:pPr>
              <w:spacing w:after="0"/>
              <w:rPr>
                <w:sz w:val="11"/>
                <w:szCs w:val="11"/>
                <w:color w:val="auto"/>
              </w:rPr>
            </w:pPr>
          </w:p>
        </w:tc>
        <w:tc>
          <w:tcPr>
            <w:tcW w:w="56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00" w:type="dxa"/>
            <w:vAlign w:val="bottom"/>
            <w:tcBorders>
              <w:bottom w:val="single" w:sz="8" w:color="939598"/>
            </w:tcBorders>
            <w:shd w:val="clear" w:color="auto" w:fill="E5E6EF"/>
          </w:tcPr>
          <w:p>
            <w:pPr>
              <w:spacing w:after="0"/>
              <w:rPr>
                <w:sz w:val="11"/>
                <w:szCs w:val="11"/>
                <w:color w:val="auto"/>
              </w:rPr>
            </w:pPr>
          </w:p>
        </w:tc>
        <w:tc>
          <w:tcPr>
            <w:tcW w:w="620" w:type="dxa"/>
            <w:vAlign w:val="bottom"/>
            <w:tcBorders>
              <w:bottom w:val="single" w:sz="8" w:color="939598"/>
            </w:tcBorders>
            <w:shd w:val="clear" w:color="auto" w:fill="E5E6EF"/>
          </w:tcPr>
          <w:p>
            <w:pPr>
              <w:spacing w:after="0"/>
              <w:rPr>
                <w:sz w:val="11"/>
                <w:szCs w:val="11"/>
                <w:color w:val="auto"/>
              </w:rPr>
            </w:pPr>
          </w:p>
        </w:tc>
        <w:tc>
          <w:tcPr>
            <w:tcW w:w="2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003478"/>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Calibri" w:cs="Calibri" w:eastAsia="Calibri" w:hAnsi="Calibri"/>
                <w:sz w:val="14"/>
                <w:szCs w:val="14"/>
                <w:color w:val="auto"/>
              </w:rPr>
              <w:t>Tenure (rounded years)</w:t>
            </w:r>
          </w:p>
        </w:tc>
        <w:tc>
          <w:tcPr>
            <w:tcW w:w="58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8"/>
              </w:rPr>
              <w:t>18</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8"/>
              </w:rPr>
              <w:t>15</w:t>
            </w:r>
          </w:p>
        </w:tc>
        <w:tc>
          <w:tcPr>
            <w:tcW w:w="600" w:type="dxa"/>
            <w:vAlign w:val="bottom"/>
            <w:shd w:val="clear" w:color="auto" w:fill="E5E6EF"/>
          </w:tcPr>
          <w:p>
            <w:pPr>
              <w:jc w:val="center"/>
              <w:spacing w:after="0"/>
              <w:rPr>
                <w:sz w:val="20"/>
                <w:szCs w:val="20"/>
                <w:color w:val="auto"/>
              </w:rPr>
            </w:pPr>
            <w:r>
              <w:rPr>
                <w:rFonts w:ascii="Calibri" w:cs="Calibri" w:eastAsia="Calibri" w:hAnsi="Calibri"/>
                <w:sz w:val="14"/>
                <w:szCs w:val="14"/>
                <w:color w:val="auto"/>
                <w:w w:val="98"/>
              </w:rPr>
              <w:t>13</w:t>
            </w:r>
          </w:p>
        </w:tc>
        <w:tc>
          <w:tcPr>
            <w:tcW w:w="580" w:type="dxa"/>
            <w:vAlign w:val="bottom"/>
            <w:shd w:val="clear" w:color="auto" w:fill="E5E6EF"/>
          </w:tcPr>
          <w:p>
            <w:pPr>
              <w:jc w:val="right"/>
              <w:ind w:right="161"/>
              <w:spacing w:after="0"/>
              <w:rPr>
                <w:sz w:val="20"/>
                <w:szCs w:val="20"/>
                <w:color w:val="auto"/>
              </w:rPr>
            </w:pPr>
            <w:r>
              <w:rPr>
                <w:rFonts w:ascii="Calibri" w:cs="Calibri" w:eastAsia="Calibri" w:hAnsi="Calibri"/>
                <w:sz w:val="14"/>
                <w:szCs w:val="14"/>
                <w:color w:val="auto"/>
              </w:rPr>
              <w:t>9</w:t>
            </w:r>
          </w:p>
        </w:tc>
        <w:tc>
          <w:tcPr>
            <w:tcW w:w="620" w:type="dxa"/>
            <w:vAlign w:val="bottom"/>
            <w:shd w:val="clear" w:color="auto" w:fill="E5E6EF"/>
          </w:tcPr>
          <w:p>
            <w:pPr>
              <w:jc w:val="right"/>
              <w:ind w:right="184"/>
              <w:spacing w:after="0"/>
              <w:rPr>
                <w:sz w:val="20"/>
                <w:szCs w:val="20"/>
                <w:color w:val="auto"/>
              </w:rPr>
            </w:pPr>
            <w:r>
              <w:rPr>
                <w:rFonts w:ascii="Calibri" w:cs="Calibri" w:eastAsia="Calibri" w:hAnsi="Calibri"/>
                <w:sz w:val="14"/>
                <w:szCs w:val="14"/>
                <w:color w:val="auto"/>
              </w:rPr>
              <w:t>8</w:t>
            </w:r>
          </w:p>
        </w:tc>
        <w:tc>
          <w:tcPr>
            <w:tcW w:w="40" w:type="dxa"/>
            <w:vAlign w:val="bottom"/>
            <w:shd w:val="clear" w:color="auto" w:fill="E5E6EF"/>
          </w:tcPr>
          <w:p>
            <w:pPr>
              <w:spacing w:after="0"/>
              <w:rPr>
                <w:sz w:val="18"/>
                <w:szCs w:val="18"/>
                <w:color w:val="auto"/>
              </w:rPr>
            </w:pPr>
          </w:p>
        </w:tc>
        <w:tc>
          <w:tcPr>
            <w:tcW w:w="560" w:type="dxa"/>
            <w:vAlign w:val="bottom"/>
            <w:shd w:val="clear" w:color="auto" w:fill="E5E6EF"/>
          </w:tcPr>
          <w:p>
            <w:pPr>
              <w:jc w:val="right"/>
              <w:ind w:right="183"/>
              <w:spacing w:after="0"/>
              <w:rPr>
                <w:sz w:val="20"/>
                <w:szCs w:val="20"/>
                <w:color w:val="auto"/>
              </w:rPr>
            </w:pPr>
            <w:r>
              <w:rPr>
                <w:rFonts w:ascii="Calibri" w:cs="Calibri" w:eastAsia="Calibri" w:hAnsi="Calibri"/>
                <w:sz w:val="14"/>
                <w:szCs w:val="14"/>
                <w:color w:val="auto"/>
              </w:rPr>
              <w:t>7</w:t>
            </w:r>
          </w:p>
        </w:tc>
        <w:tc>
          <w:tcPr>
            <w:tcW w:w="620" w:type="dxa"/>
            <w:vAlign w:val="bottom"/>
            <w:shd w:val="clear" w:color="auto" w:fill="E5E6EF"/>
          </w:tcPr>
          <w:p>
            <w:pPr>
              <w:jc w:val="right"/>
              <w:ind w:right="181"/>
              <w:spacing w:after="0"/>
              <w:rPr>
                <w:sz w:val="20"/>
                <w:szCs w:val="20"/>
                <w:color w:val="auto"/>
              </w:rPr>
            </w:pPr>
            <w:r>
              <w:rPr>
                <w:rFonts w:ascii="Calibri" w:cs="Calibri" w:eastAsia="Calibri" w:hAnsi="Calibri"/>
                <w:sz w:val="14"/>
                <w:szCs w:val="14"/>
                <w:color w:val="auto"/>
              </w:rPr>
              <w:t>5</w:t>
            </w:r>
          </w:p>
        </w:tc>
        <w:tc>
          <w:tcPr>
            <w:tcW w:w="600" w:type="dxa"/>
            <w:vAlign w:val="bottom"/>
            <w:shd w:val="clear" w:color="auto" w:fill="E5E6EF"/>
          </w:tcPr>
          <w:p>
            <w:pPr>
              <w:jc w:val="right"/>
              <w:ind w:right="182"/>
              <w:spacing w:after="0"/>
              <w:rPr>
                <w:sz w:val="20"/>
                <w:szCs w:val="20"/>
                <w:color w:val="auto"/>
              </w:rPr>
            </w:pPr>
            <w:r>
              <w:rPr>
                <w:rFonts w:ascii="Calibri" w:cs="Calibri" w:eastAsia="Calibri" w:hAnsi="Calibri"/>
                <w:sz w:val="14"/>
                <w:szCs w:val="14"/>
                <w:color w:val="auto"/>
              </w:rPr>
              <w:t>5</w:t>
            </w:r>
          </w:p>
        </w:tc>
        <w:tc>
          <w:tcPr>
            <w:tcW w:w="600" w:type="dxa"/>
            <w:vAlign w:val="bottom"/>
            <w:shd w:val="clear" w:color="auto" w:fill="E5E6EF"/>
          </w:tcPr>
          <w:p>
            <w:pPr>
              <w:jc w:val="right"/>
              <w:ind w:right="180"/>
              <w:spacing w:after="0"/>
              <w:rPr>
                <w:sz w:val="20"/>
                <w:szCs w:val="20"/>
                <w:color w:val="auto"/>
              </w:rPr>
            </w:pPr>
            <w:r>
              <w:rPr>
                <w:rFonts w:ascii="Calibri" w:cs="Calibri" w:eastAsia="Calibri" w:hAnsi="Calibri"/>
                <w:sz w:val="14"/>
                <w:szCs w:val="14"/>
                <w:color w:val="auto"/>
              </w:rPr>
              <w:t>5</w:t>
            </w:r>
          </w:p>
        </w:tc>
        <w:tc>
          <w:tcPr>
            <w:tcW w:w="620" w:type="dxa"/>
            <w:vAlign w:val="bottom"/>
            <w:shd w:val="clear" w:color="auto" w:fill="E5E6EF"/>
          </w:tcPr>
          <w:p>
            <w:pPr>
              <w:jc w:val="right"/>
              <w:ind w:right="183"/>
              <w:spacing w:after="0"/>
              <w:rPr>
                <w:sz w:val="20"/>
                <w:szCs w:val="20"/>
                <w:color w:val="auto"/>
              </w:rPr>
            </w:pPr>
            <w:r>
              <w:rPr>
                <w:rFonts w:ascii="Calibri" w:cs="Calibri" w:eastAsia="Calibri" w:hAnsi="Calibri"/>
                <w:sz w:val="14"/>
                <w:szCs w:val="14"/>
                <w:color w:val="auto"/>
              </w:rPr>
              <w:t>3</w:t>
            </w:r>
          </w:p>
        </w:tc>
        <w:tc>
          <w:tcPr>
            <w:tcW w:w="600" w:type="dxa"/>
            <w:vAlign w:val="bottom"/>
            <w:shd w:val="clear" w:color="auto" w:fill="E5E6EF"/>
          </w:tcPr>
          <w:p>
            <w:pPr>
              <w:jc w:val="right"/>
              <w:ind w:right="182"/>
              <w:spacing w:after="0"/>
              <w:rPr>
                <w:sz w:val="20"/>
                <w:szCs w:val="20"/>
                <w:color w:val="auto"/>
              </w:rPr>
            </w:pPr>
            <w:r>
              <w:rPr>
                <w:rFonts w:ascii="Calibri" w:cs="Calibri" w:eastAsia="Calibri" w:hAnsi="Calibri"/>
                <w:sz w:val="14"/>
                <w:szCs w:val="14"/>
                <w:color w:val="auto"/>
              </w:rPr>
              <w:t>3</w:t>
            </w:r>
          </w:p>
        </w:tc>
        <w:tc>
          <w:tcPr>
            <w:tcW w:w="600" w:type="dxa"/>
            <w:vAlign w:val="bottom"/>
            <w:shd w:val="clear" w:color="auto" w:fill="E5E6EF"/>
          </w:tcPr>
          <w:p>
            <w:pPr>
              <w:jc w:val="right"/>
              <w:ind w:right="181"/>
              <w:spacing w:after="0"/>
              <w:rPr>
                <w:sz w:val="20"/>
                <w:szCs w:val="20"/>
                <w:color w:val="auto"/>
              </w:rPr>
            </w:pPr>
            <w:r>
              <w:rPr>
                <w:rFonts w:ascii="Calibri" w:cs="Calibri" w:eastAsia="Calibri" w:hAnsi="Calibri"/>
                <w:sz w:val="14"/>
                <w:szCs w:val="14"/>
                <w:color w:val="auto"/>
              </w:rPr>
              <w:t>2</w:t>
            </w:r>
          </w:p>
        </w:tc>
        <w:tc>
          <w:tcPr>
            <w:tcW w:w="620" w:type="dxa"/>
            <w:vAlign w:val="bottom"/>
            <w:shd w:val="clear" w:color="auto" w:fill="E5E6EF"/>
          </w:tcPr>
          <w:p>
            <w:pPr>
              <w:jc w:val="right"/>
              <w:ind w:right="180"/>
              <w:spacing w:after="0"/>
              <w:rPr>
                <w:sz w:val="20"/>
                <w:szCs w:val="20"/>
                <w:color w:val="auto"/>
              </w:rPr>
            </w:pPr>
            <w:r>
              <w:rPr>
                <w:rFonts w:ascii="Calibri" w:cs="Calibri" w:eastAsia="Calibri" w:hAnsi="Calibri"/>
                <w:sz w:val="14"/>
                <w:szCs w:val="14"/>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540" w:type="dxa"/>
            <w:vAlign w:val="bottom"/>
            <w:tcBorders>
              <w:bottom w:val="single" w:sz="8" w:color="003478"/>
            </w:tcBorders>
            <w:shd w:val="clear" w:color="auto" w:fill="003478"/>
          </w:tcPr>
          <w:p>
            <w:pPr>
              <w:spacing w:after="0"/>
              <w:rPr>
                <w:sz w:val="12"/>
                <w:szCs w:val="12"/>
                <w:color w:val="auto"/>
              </w:rPr>
            </w:pPr>
          </w:p>
        </w:tc>
        <w:tc>
          <w:tcPr>
            <w:tcW w:w="820" w:type="dxa"/>
            <w:vAlign w:val="bottom"/>
            <w:tcBorders>
              <w:bottom w:val="single" w:sz="8" w:color="959595"/>
            </w:tcBorders>
          </w:tcPr>
          <w:p>
            <w:pPr>
              <w:spacing w:after="0"/>
              <w:rPr>
                <w:sz w:val="12"/>
                <w:szCs w:val="12"/>
                <w:color w:val="auto"/>
              </w:rPr>
            </w:pPr>
          </w:p>
        </w:tc>
        <w:tc>
          <w:tcPr>
            <w:tcW w:w="1840" w:type="dxa"/>
            <w:vAlign w:val="bottom"/>
            <w:tcBorders>
              <w:bottom w:val="single" w:sz="8" w:color="959595"/>
            </w:tcBorders>
          </w:tcPr>
          <w:p>
            <w:pPr>
              <w:spacing w:after="0"/>
              <w:rPr>
                <w:sz w:val="12"/>
                <w:szCs w:val="12"/>
                <w:color w:val="auto"/>
              </w:rPr>
            </w:pPr>
          </w:p>
        </w:tc>
        <w:tc>
          <w:tcPr>
            <w:tcW w:w="580" w:type="dxa"/>
            <w:vAlign w:val="bottom"/>
            <w:tcBorders>
              <w:bottom w:val="single" w:sz="8" w:color="959595"/>
            </w:tcBorders>
            <w:shd w:val="clear" w:color="auto" w:fill="E5E6EF"/>
          </w:tcPr>
          <w:p>
            <w:pPr>
              <w:spacing w:after="0"/>
              <w:rPr>
                <w:sz w:val="12"/>
                <w:szCs w:val="12"/>
                <w:color w:val="auto"/>
              </w:rPr>
            </w:pPr>
          </w:p>
        </w:tc>
        <w:tc>
          <w:tcPr>
            <w:tcW w:w="600" w:type="dxa"/>
            <w:vAlign w:val="bottom"/>
            <w:tcBorders>
              <w:bottom w:val="single" w:sz="8" w:color="959595"/>
            </w:tcBorders>
            <w:shd w:val="clear" w:color="auto" w:fill="E5E6EF"/>
          </w:tcPr>
          <w:p>
            <w:pPr>
              <w:spacing w:after="0"/>
              <w:rPr>
                <w:sz w:val="12"/>
                <w:szCs w:val="12"/>
                <w:color w:val="auto"/>
              </w:rPr>
            </w:pPr>
          </w:p>
        </w:tc>
        <w:tc>
          <w:tcPr>
            <w:tcW w:w="600" w:type="dxa"/>
            <w:vAlign w:val="bottom"/>
            <w:tcBorders>
              <w:bottom w:val="single" w:sz="8" w:color="959595"/>
            </w:tcBorders>
            <w:shd w:val="clear" w:color="auto" w:fill="E5E6EF"/>
          </w:tcPr>
          <w:p>
            <w:pPr>
              <w:spacing w:after="0"/>
              <w:rPr>
                <w:sz w:val="12"/>
                <w:szCs w:val="12"/>
                <w:color w:val="auto"/>
              </w:rPr>
            </w:pPr>
          </w:p>
        </w:tc>
        <w:tc>
          <w:tcPr>
            <w:tcW w:w="580" w:type="dxa"/>
            <w:vAlign w:val="bottom"/>
            <w:tcBorders>
              <w:bottom w:val="single" w:sz="8" w:color="959595"/>
            </w:tcBorders>
            <w:shd w:val="clear" w:color="auto" w:fill="E5E6EF"/>
          </w:tcPr>
          <w:p>
            <w:pPr>
              <w:spacing w:after="0"/>
              <w:rPr>
                <w:sz w:val="12"/>
                <w:szCs w:val="12"/>
                <w:color w:val="auto"/>
              </w:rPr>
            </w:pPr>
          </w:p>
        </w:tc>
        <w:tc>
          <w:tcPr>
            <w:tcW w:w="620" w:type="dxa"/>
            <w:vAlign w:val="bottom"/>
            <w:tcBorders>
              <w:bottom w:val="single" w:sz="8" w:color="959595"/>
            </w:tcBorders>
            <w:shd w:val="clear" w:color="auto" w:fill="E5E6EF"/>
          </w:tcPr>
          <w:p>
            <w:pPr>
              <w:spacing w:after="0"/>
              <w:rPr>
                <w:sz w:val="12"/>
                <w:szCs w:val="12"/>
                <w:color w:val="auto"/>
              </w:rPr>
            </w:pPr>
          </w:p>
        </w:tc>
        <w:tc>
          <w:tcPr>
            <w:tcW w:w="40" w:type="dxa"/>
            <w:vAlign w:val="bottom"/>
            <w:tcBorders>
              <w:bottom w:val="single" w:sz="8" w:color="959595"/>
            </w:tcBorders>
            <w:shd w:val="clear" w:color="auto" w:fill="E5E6EF"/>
          </w:tcPr>
          <w:p>
            <w:pPr>
              <w:spacing w:after="0"/>
              <w:rPr>
                <w:sz w:val="12"/>
                <w:szCs w:val="12"/>
                <w:color w:val="auto"/>
              </w:rPr>
            </w:pPr>
          </w:p>
        </w:tc>
        <w:tc>
          <w:tcPr>
            <w:tcW w:w="560" w:type="dxa"/>
            <w:vAlign w:val="bottom"/>
            <w:tcBorders>
              <w:bottom w:val="single" w:sz="8" w:color="959595"/>
            </w:tcBorders>
            <w:shd w:val="clear" w:color="auto" w:fill="E5E6EF"/>
          </w:tcPr>
          <w:p>
            <w:pPr>
              <w:spacing w:after="0"/>
              <w:rPr>
                <w:sz w:val="12"/>
                <w:szCs w:val="12"/>
                <w:color w:val="auto"/>
              </w:rPr>
            </w:pPr>
          </w:p>
        </w:tc>
        <w:tc>
          <w:tcPr>
            <w:tcW w:w="620" w:type="dxa"/>
            <w:vAlign w:val="bottom"/>
            <w:tcBorders>
              <w:bottom w:val="single" w:sz="8" w:color="959595"/>
            </w:tcBorders>
            <w:shd w:val="clear" w:color="auto" w:fill="E5E6EF"/>
          </w:tcPr>
          <w:p>
            <w:pPr>
              <w:spacing w:after="0"/>
              <w:rPr>
                <w:sz w:val="12"/>
                <w:szCs w:val="12"/>
                <w:color w:val="auto"/>
              </w:rPr>
            </w:pPr>
          </w:p>
        </w:tc>
        <w:tc>
          <w:tcPr>
            <w:tcW w:w="600" w:type="dxa"/>
            <w:vAlign w:val="bottom"/>
            <w:tcBorders>
              <w:bottom w:val="single" w:sz="8" w:color="959595"/>
            </w:tcBorders>
            <w:shd w:val="clear" w:color="auto" w:fill="E5E6EF"/>
          </w:tcPr>
          <w:p>
            <w:pPr>
              <w:spacing w:after="0"/>
              <w:rPr>
                <w:sz w:val="12"/>
                <w:szCs w:val="12"/>
                <w:color w:val="auto"/>
              </w:rPr>
            </w:pPr>
          </w:p>
        </w:tc>
        <w:tc>
          <w:tcPr>
            <w:tcW w:w="600" w:type="dxa"/>
            <w:vAlign w:val="bottom"/>
            <w:tcBorders>
              <w:bottom w:val="single" w:sz="8" w:color="959595"/>
            </w:tcBorders>
            <w:shd w:val="clear" w:color="auto" w:fill="E5E6EF"/>
          </w:tcPr>
          <w:p>
            <w:pPr>
              <w:spacing w:after="0"/>
              <w:rPr>
                <w:sz w:val="12"/>
                <w:szCs w:val="12"/>
                <w:color w:val="auto"/>
              </w:rPr>
            </w:pPr>
          </w:p>
        </w:tc>
        <w:tc>
          <w:tcPr>
            <w:tcW w:w="620" w:type="dxa"/>
            <w:vAlign w:val="bottom"/>
            <w:tcBorders>
              <w:bottom w:val="single" w:sz="8" w:color="959595"/>
            </w:tcBorders>
            <w:shd w:val="clear" w:color="auto" w:fill="E5E6EF"/>
          </w:tcPr>
          <w:p>
            <w:pPr>
              <w:spacing w:after="0"/>
              <w:rPr>
                <w:sz w:val="12"/>
                <w:szCs w:val="12"/>
                <w:color w:val="auto"/>
              </w:rPr>
            </w:pPr>
          </w:p>
        </w:tc>
        <w:tc>
          <w:tcPr>
            <w:tcW w:w="600" w:type="dxa"/>
            <w:vAlign w:val="bottom"/>
            <w:tcBorders>
              <w:bottom w:val="single" w:sz="8" w:color="959595"/>
            </w:tcBorders>
            <w:shd w:val="clear" w:color="auto" w:fill="E5E6EF"/>
          </w:tcPr>
          <w:p>
            <w:pPr>
              <w:spacing w:after="0"/>
              <w:rPr>
                <w:sz w:val="12"/>
                <w:szCs w:val="12"/>
                <w:color w:val="auto"/>
              </w:rPr>
            </w:pPr>
          </w:p>
        </w:tc>
        <w:tc>
          <w:tcPr>
            <w:tcW w:w="600" w:type="dxa"/>
            <w:vAlign w:val="bottom"/>
            <w:tcBorders>
              <w:bottom w:val="single" w:sz="8" w:color="959595"/>
            </w:tcBorders>
            <w:shd w:val="clear" w:color="auto" w:fill="E5E6EF"/>
          </w:tcPr>
          <w:p>
            <w:pPr>
              <w:spacing w:after="0"/>
              <w:rPr>
                <w:sz w:val="12"/>
                <w:szCs w:val="12"/>
                <w:color w:val="auto"/>
              </w:rPr>
            </w:pPr>
          </w:p>
        </w:tc>
        <w:tc>
          <w:tcPr>
            <w:tcW w:w="620" w:type="dxa"/>
            <w:vAlign w:val="bottom"/>
            <w:tcBorders>
              <w:bottom w:val="single" w:sz="8" w:color="959595"/>
            </w:tcBorders>
            <w:shd w:val="clear" w:color="auto" w:fill="E5E6E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40" w:type="dxa"/>
            <w:vAlign w:val="bottom"/>
            <w:shd w:val="clear" w:color="auto" w:fill="003478"/>
          </w:tcPr>
          <w:p>
            <w:pPr>
              <w:spacing w:after="0"/>
              <w:rPr>
                <w:sz w:val="2"/>
                <w:szCs w:val="2"/>
                <w:color w:val="auto"/>
              </w:rPr>
            </w:pPr>
          </w:p>
        </w:tc>
        <w:tc>
          <w:tcPr>
            <w:tcW w:w="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shd w:val="clear" w:color="auto" w:fill="003478"/>
          </w:tcPr>
          <w:p>
            <w:pPr>
              <w:spacing w:after="0"/>
              <w:rPr>
                <w:sz w:val="15"/>
                <w:szCs w:val="15"/>
                <w:color w:val="auto"/>
              </w:rPr>
            </w:pPr>
          </w:p>
        </w:tc>
        <w:tc>
          <w:tcPr>
            <w:tcW w:w="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80" w:type="dxa"/>
            <w:vAlign w:val="bottom"/>
            <w:shd w:val="clear" w:color="auto" w:fill="959595"/>
          </w:tcPr>
          <w:p>
            <w:pPr>
              <w:spacing w:after="0"/>
              <w:rPr>
                <w:sz w:val="15"/>
                <w:szCs w:val="15"/>
                <w:color w:val="auto"/>
              </w:rPr>
            </w:pPr>
          </w:p>
        </w:tc>
        <w:tc>
          <w:tcPr>
            <w:tcW w:w="600" w:type="dxa"/>
            <w:vAlign w:val="bottom"/>
            <w:shd w:val="clear" w:color="auto" w:fill="959595"/>
          </w:tcPr>
          <w:p>
            <w:pPr>
              <w:jc w:val="center"/>
              <w:spacing w:after="0"/>
              <w:rPr>
                <w:sz w:val="20"/>
                <w:szCs w:val="20"/>
                <w:color w:val="auto"/>
              </w:rPr>
            </w:pPr>
            <w:r>
              <w:rPr>
                <w:rFonts w:ascii="Calibri" w:cs="Calibri" w:eastAsia="Calibri" w:hAnsi="Calibri"/>
                <w:sz w:val="14"/>
                <w:szCs w:val="14"/>
                <w:color w:val="FFFFFF"/>
              </w:rPr>
              <w:t>11+ years</w:t>
            </w:r>
          </w:p>
        </w:tc>
        <w:tc>
          <w:tcPr>
            <w:tcW w:w="600" w:type="dxa"/>
            <w:vAlign w:val="bottom"/>
            <w:shd w:val="clear" w:color="auto" w:fill="959595"/>
          </w:tcPr>
          <w:p>
            <w:pPr>
              <w:spacing w:after="0"/>
              <w:rPr>
                <w:sz w:val="15"/>
                <w:szCs w:val="15"/>
                <w:color w:val="auto"/>
              </w:rPr>
            </w:pPr>
          </w:p>
        </w:tc>
        <w:tc>
          <w:tcPr>
            <w:tcW w:w="580" w:type="dxa"/>
            <w:vAlign w:val="bottom"/>
            <w:shd w:val="clear" w:color="auto" w:fill="818DB4"/>
          </w:tcPr>
          <w:p>
            <w:pPr>
              <w:spacing w:after="0"/>
              <w:rPr>
                <w:sz w:val="15"/>
                <w:szCs w:val="15"/>
                <w:color w:val="auto"/>
              </w:rPr>
            </w:pPr>
          </w:p>
        </w:tc>
        <w:tc>
          <w:tcPr>
            <w:tcW w:w="660" w:type="dxa"/>
            <w:vAlign w:val="bottom"/>
            <w:gridSpan w:val="2"/>
            <w:shd w:val="clear" w:color="auto" w:fill="818DB4"/>
          </w:tcPr>
          <w:p>
            <w:pPr>
              <w:jc w:val="center"/>
              <w:ind w:right="20"/>
              <w:spacing w:after="0"/>
              <w:rPr>
                <w:sz w:val="20"/>
                <w:szCs w:val="20"/>
                <w:color w:val="auto"/>
              </w:rPr>
            </w:pPr>
            <w:r>
              <w:rPr>
                <w:rFonts w:ascii="Calibri" w:cs="Calibri" w:eastAsia="Calibri" w:hAnsi="Calibri"/>
                <w:sz w:val="14"/>
                <w:szCs w:val="14"/>
                <w:color w:val="FFFFFF"/>
              </w:rPr>
              <w:t>6-10 years</w:t>
            </w:r>
          </w:p>
        </w:tc>
        <w:tc>
          <w:tcPr>
            <w:tcW w:w="560" w:type="dxa"/>
            <w:vAlign w:val="bottom"/>
            <w:shd w:val="clear" w:color="auto" w:fill="818DB4"/>
          </w:tcPr>
          <w:p>
            <w:pPr>
              <w:spacing w:after="0"/>
              <w:rPr>
                <w:sz w:val="15"/>
                <w:szCs w:val="15"/>
                <w:color w:val="auto"/>
              </w:rPr>
            </w:pPr>
          </w:p>
        </w:tc>
        <w:tc>
          <w:tcPr>
            <w:tcW w:w="620" w:type="dxa"/>
            <w:vAlign w:val="bottom"/>
            <w:shd w:val="clear" w:color="auto" w:fill="003478"/>
          </w:tcPr>
          <w:p>
            <w:pPr>
              <w:spacing w:after="0"/>
              <w:rPr>
                <w:sz w:val="15"/>
                <w:szCs w:val="15"/>
                <w:color w:val="auto"/>
              </w:rPr>
            </w:pPr>
          </w:p>
        </w:tc>
        <w:tc>
          <w:tcPr>
            <w:tcW w:w="600" w:type="dxa"/>
            <w:vAlign w:val="bottom"/>
            <w:shd w:val="clear" w:color="auto" w:fill="003478"/>
          </w:tcPr>
          <w:p>
            <w:pPr>
              <w:spacing w:after="0"/>
              <w:rPr>
                <w:sz w:val="15"/>
                <w:szCs w:val="15"/>
                <w:color w:val="auto"/>
              </w:rPr>
            </w:pPr>
          </w:p>
        </w:tc>
        <w:tc>
          <w:tcPr>
            <w:tcW w:w="600" w:type="dxa"/>
            <w:vAlign w:val="bottom"/>
            <w:shd w:val="clear" w:color="auto" w:fill="003478"/>
          </w:tcPr>
          <w:p>
            <w:pPr>
              <w:spacing w:after="0"/>
              <w:rPr>
                <w:sz w:val="15"/>
                <w:szCs w:val="15"/>
                <w:color w:val="auto"/>
              </w:rPr>
            </w:pPr>
          </w:p>
        </w:tc>
        <w:tc>
          <w:tcPr>
            <w:tcW w:w="620" w:type="dxa"/>
            <w:vAlign w:val="bottom"/>
            <w:shd w:val="clear" w:color="auto" w:fill="003478"/>
          </w:tcPr>
          <w:p>
            <w:pPr>
              <w:jc w:val="center"/>
              <w:spacing w:after="0"/>
              <w:rPr>
                <w:sz w:val="20"/>
                <w:szCs w:val="20"/>
                <w:color w:val="auto"/>
              </w:rPr>
            </w:pPr>
            <w:r>
              <w:rPr>
                <w:rFonts w:ascii="Calibri" w:cs="Calibri" w:eastAsia="Calibri" w:hAnsi="Calibri"/>
                <w:sz w:val="14"/>
                <w:szCs w:val="14"/>
                <w:color w:val="FFFFFF"/>
                <w:w w:val="99"/>
              </w:rPr>
              <w:t>1-5 years</w:t>
            </w:r>
          </w:p>
        </w:tc>
        <w:tc>
          <w:tcPr>
            <w:tcW w:w="600" w:type="dxa"/>
            <w:vAlign w:val="bottom"/>
            <w:shd w:val="clear" w:color="auto" w:fill="003478"/>
          </w:tcPr>
          <w:p>
            <w:pPr>
              <w:spacing w:after="0"/>
              <w:rPr>
                <w:sz w:val="15"/>
                <w:szCs w:val="15"/>
                <w:color w:val="auto"/>
              </w:rPr>
            </w:pPr>
          </w:p>
        </w:tc>
        <w:tc>
          <w:tcPr>
            <w:tcW w:w="600" w:type="dxa"/>
            <w:vAlign w:val="bottom"/>
            <w:shd w:val="clear" w:color="auto" w:fill="003478"/>
          </w:tcPr>
          <w:p>
            <w:pPr>
              <w:spacing w:after="0"/>
              <w:rPr>
                <w:sz w:val="15"/>
                <w:szCs w:val="15"/>
                <w:color w:val="auto"/>
              </w:rPr>
            </w:pPr>
          </w:p>
        </w:tc>
        <w:tc>
          <w:tcPr>
            <w:tcW w:w="620" w:type="dxa"/>
            <w:vAlign w:val="bottom"/>
            <w:shd w:val="clear" w:color="auto" w:fill="00347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540" w:type="dxa"/>
            <w:vAlign w:val="bottom"/>
            <w:tcBorders>
              <w:bottom w:val="single" w:sz="8" w:color="003478"/>
            </w:tcBorders>
            <w:shd w:val="clear" w:color="auto" w:fill="003478"/>
          </w:tcPr>
          <w:p>
            <w:pPr>
              <w:spacing w:after="0"/>
              <w:rPr>
                <w:sz w:val="12"/>
                <w:szCs w:val="12"/>
                <w:color w:val="auto"/>
              </w:rPr>
            </w:pPr>
          </w:p>
        </w:tc>
        <w:tc>
          <w:tcPr>
            <w:tcW w:w="820" w:type="dxa"/>
            <w:vAlign w:val="bottom"/>
            <w:tcBorders>
              <w:bottom w:val="single" w:sz="8" w:color="939598"/>
            </w:tcBorders>
          </w:tcPr>
          <w:p>
            <w:pPr>
              <w:spacing w:after="0"/>
              <w:rPr>
                <w:sz w:val="12"/>
                <w:szCs w:val="12"/>
                <w:color w:val="auto"/>
              </w:rPr>
            </w:pPr>
          </w:p>
        </w:tc>
        <w:tc>
          <w:tcPr>
            <w:tcW w:w="1840" w:type="dxa"/>
            <w:vAlign w:val="bottom"/>
            <w:tcBorders>
              <w:bottom w:val="single" w:sz="8" w:color="939598"/>
            </w:tcBorders>
          </w:tcPr>
          <w:p>
            <w:pPr>
              <w:spacing w:after="0"/>
              <w:rPr>
                <w:sz w:val="12"/>
                <w:szCs w:val="12"/>
                <w:color w:val="auto"/>
              </w:rPr>
            </w:pPr>
          </w:p>
        </w:tc>
        <w:tc>
          <w:tcPr>
            <w:tcW w:w="580" w:type="dxa"/>
            <w:vAlign w:val="bottom"/>
            <w:tcBorders>
              <w:bottom w:val="single" w:sz="8" w:color="939598"/>
            </w:tcBorders>
            <w:shd w:val="clear" w:color="auto" w:fill="959595"/>
          </w:tcPr>
          <w:p>
            <w:pPr>
              <w:spacing w:after="0"/>
              <w:rPr>
                <w:sz w:val="12"/>
                <w:szCs w:val="12"/>
                <w:color w:val="auto"/>
              </w:rPr>
            </w:pPr>
          </w:p>
        </w:tc>
        <w:tc>
          <w:tcPr>
            <w:tcW w:w="600" w:type="dxa"/>
            <w:vAlign w:val="bottom"/>
            <w:tcBorders>
              <w:bottom w:val="single" w:sz="8" w:color="939598"/>
            </w:tcBorders>
            <w:shd w:val="clear" w:color="auto" w:fill="959595"/>
          </w:tcPr>
          <w:p>
            <w:pPr>
              <w:spacing w:after="0"/>
              <w:rPr>
                <w:sz w:val="12"/>
                <w:szCs w:val="12"/>
                <w:color w:val="auto"/>
              </w:rPr>
            </w:pPr>
          </w:p>
        </w:tc>
        <w:tc>
          <w:tcPr>
            <w:tcW w:w="600" w:type="dxa"/>
            <w:vAlign w:val="bottom"/>
            <w:tcBorders>
              <w:bottom w:val="single" w:sz="8" w:color="939598"/>
            </w:tcBorders>
            <w:shd w:val="clear" w:color="auto" w:fill="959595"/>
          </w:tcPr>
          <w:p>
            <w:pPr>
              <w:spacing w:after="0"/>
              <w:rPr>
                <w:sz w:val="12"/>
                <w:szCs w:val="12"/>
                <w:color w:val="auto"/>
              </w:rPr>
            </w:pPr>
          </w:p>
        </w:tc>
        <w:tc>
          <w:tcPr>
            <w:tcW w:w="580" w:type="dxa"/>
            <w:vAlign w:val="bottom"/>
            <w:tcBorders>
              <w:bottom w:val="single" w:sz="8" w:color="959595"/>
            </w:tcBorders>
            <w:shd w:val="clear" w:color="auto" w:fill="818DB4"/>
          </w:tcPr>
          <w:p>
            <w:pPr>
              <w:spacing w:after="0"/>
              <w:rPr>
                <w:sz w:val="12"/>
                <w:szCs w:val="12"/>
                <w:color w:val="auto"/>
              </w:rPr>
            </w:pPr>
          </w:p>
        </w:tc>
        <w:tc>
          <w:tcPr>
            <w:tcW w:w="620" w:type="dxa"/>
            <w:vAlign w:val="bottom"/>
            <w:tcBorders>
              <w:bottom w:val="single" w:sz="8" w:color="959595"/>
            </w:tcBorders>
            <w:shd w:val="clear" w:color="auto" w:fill="818DB4"/>
          </w:tcPr>
          <w:p>
            <w:pPr>
              <w:spacing w:after="0"/>
              <w:rPr>
                <w:sz w:val="12"/>
                <w:szCs w:val="12"/>
                <w:color w:val="auto"/>
              </w:rPr>
            </w:pPr>
          </w:p>
        </w:tc>
        <w:tc>
          <w:tcPr>
            <w:tcW w:w="40" w:type="dxa"/>
            <w:vAlign w:val="bottom"/>
            <w:tcBorders>
              <w:bottom w:val="single" w:sz="8" w:color="959595"/>
            </w:tcBorders>
            <w:shd w:val="clear" w:color="auto" w:fill="818DB4"/>
          </w:tcPr>
          <w:p>
            <w:pPr>
              <w:spacing w:after="0"/>
              <w:rPr>
                <w:sz w:val="12"/>
                <w:szCs w:val="12"/>
                <w:color w:val="auto"/>
              </w:rPr>
            </w:pPr>
          </w:p>
        </w:tc>
        <w:tc>
          <w:tcPr>
            <w:tcW w:w="560" w:type="dxa"/>
            <w:vAlign w:val="bottom"/>
            <w:tcBorders>
              <w:bottom w:val="single" w:sz="8" w:color="959595"/>
            </w:tcBorders>
            <w:shd w:val="clear" w:color="auto" w:fill="818DB4"/>
          </w:tcPr>
          <w:p>
            <w:pPr>
              <w:spacing w:after="0"/>
              <w:rPr>
                <w:sz w:val="12"/>
                <w:szCs w:val="12"/>
                <w:color w:val="auto"/>
              </w:rPr>
            </w:pPr>
          </w:p>
        </w:tc>
        <w:tc>
          <w:tcPr>
            <w:tcW w:w="620" w:type="dxa"/>
            <w:vAlign w:val="bottom"/>
            <w:tcBorders>
              <w:bottom w:val="single" w:sz="8" w:color="959595"/>
            </w:tcBorders>
            <w:shd w:val="clear" w:color="auto" w:fill="003478"/>
          </w:tcPr>
          <w:p>
            <w:pPr>
              <w:spacing w:after="0"/>
              <w:rPr>
                <w:sz w:val="12"/>
                <w:szCs w:val="12"/>
                <w:color w:val="auto"/>
              </w:rPr>
            </w:pPr>
          </w:p>
        </w:tc>
        <w:tc>
          <w:tcPr>
            <w:tcW w:w="600" w:type="dxa"/>
            <w:vAlign w:val="bottom"/>
            <w:tcBorders>
              <w:bottom w:val="single" w:sz="8" w:color="959595"/>
            </w:tcBorders>
            <w:shd w:val="clear" w:color="auto" w:fill="003478"/>
          </w:tcPr>
          <w:p>
            <w:pPr>
              <w:spacing w:after="0"/>
              <w:rPr>
                <w:sz w:val="12"/>
                <w:szCs w:val="12"/>
                <w:color w:val="auto"/>
              </w:rPr>
            </w:pPr>
          </w:p>
        </w:tc>
        <w:tc>
          <w:tcPr>
            <w:tcW w:w="600" w:type="dxa"/>
            <w:vAlign w:val="bottom"/>
            <w:tcBorders>
              <w:bottom w:val="single" w:sz="8" w:color="959595"/>
            </w:tcBorders>
            <w:shd w:val="clear" w:color="auto" w:fill="003478"/>
          </w:tcPr>
          <w:p>
            <w:pPr>
              <w:spacing w:after="0"/>
              <w:rPr>
                <w:sz w:val="12"/>
                <w:szCs w:val="12"/>
                <w:color w:val="auto"/>
              </w:rPr>
            </w:pPr>
          </w:p>
        </w:tc>
        <w:tc>
          <w:tcPr>
            <w:tcW w:w="620" w:type="dxa"/>
            <w:vAlign w:val="bottom"/>
            <w:tcBorders>
              <w:bottom w:val="single" w:sz="8" w:color="959595"/>
            </w:tcBorders>
            <w:shd w:val="clear" w:color="auto" w:fill="003478"/>
          </w:tcPr>
          <w:p>
            <w:pPr>
              <w:spacing w:after="0"/>
              <w:rPr>
                <w:sz w:val="12"/>
                <w:szCs w:val="12"/>
                <w:color w:val="auto"/>
              </w:rPr>
            </w:pPr>
          </w:p>
        </w:tc>
        <w:tc>
          <w:tcPr>
            <w:tcW w:w="600" w:type="dxa"/>
            <w:vAlign w:val="bottom"/>
            <w:tcBorders>
              <w:bottom w:val="single" w:sz="8" w:color="959595"/>
            </w:tcBorders>
            <w:shd w:val="clear" w:color="auto" w:fill="003478"/>
          </w:tcPr>
          <w:p>
            <w:pPr>
              <w:spacing w:after="0"/>
              <w:rPr>
                <w:sz w:val="12"/>
                <w:szCs w:val="12"/>
                <w:color w:val="auto"/>
              </w:rPr>
            </w:pPr>
          </w:p>
        </w:tc>
        <w:tc>
          <w:tcPr>
            <w:tcW w:w="600" w:type="dxa"/>
            <w:vAlign w:val="bottom"/>
            <w:tcBorders>
              <w:bottom w:val="single" w:sz="8" w:color="959595"/>
            </w:tcBorders>
            <w:shd w:val="clear" w:color="auto" w:fill="003478"/>
          </w:tcPr>
          <w:p>
            <w:pPr>
              <w:spacing w:after="0"/>
              <w:rPr>
                <w:sz w:val="12"/>
                <w:szCs w:val="12"/>
                <w:color w:val="auto"/>
              </w:rPr>
            </w:pPr>
          </w:p>
        </w:tc>
        <w:tc>
          <w:tcPr>
            <w:tcW w:w="620" w:type="dxa"/>
            <w:vAlign w:val="bottom"/>
            <w:tcBorders>
              <w:bottom w:val="single" w:sz="8" w:color="959595"/>
            </w:tcBorders>
            <w:shd w:val="clear" w:color="auto" w:fill="00347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-213995</wp:posOffset>
            </wp:positionV>
            <wp:extent cx="825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-213995</wp:posOffset>
            </wp:positionV>
            <wp:extent cx="889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-5880100</wp:posOffset>
            </wp:positionV>
            <wp:extent cx="8890" cy="5640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564070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-4757420</wp:posOffset>
            </wp:positionV>
            <wp:extent cx="128270" cy="651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270" cy="65151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-2631440</wp:posOffset>
            </wp:positionV>
            <wp:extent cx="128270" cy="8743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270" cy="87439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-985520</wp:posOffset>
            </wp:positionV>
            <wp:extent cx="128270" cy="4540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270" cy="45402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308610</wp:posOffset>
            </wp:positionV>
            <wp:extent cx="1071880"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14" w:name="page15"/>
    <w:bookmarkEnd w:id="14"/>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818EB4"/>
        </w:rPr>
        <w:t>Description of Strategic Skills, Core Competencies and Attributes</w:t>
      </w:r>
    </w:p>
    <w:p>
      <w:pPr>
        <w:spacing w:after="0" w:line="39" w:lineRule="exact"/>
        <w:rPr>
          <w:sz w:val="20"/>
          <w:szCs w:val="20"/>
          <w:color w:val="auto"/>
        </w:rPr>
      </w:pPr>
    </w:p>
    <w:p>
      <w:pPr>
        <w:jc w:val="both"/>
        <w:ind w:right="260"/>
        <w:spacing w:after="0" w:line="237" w:lineRule="auto"/>
        <w:rPr>
          <w:sz w:val="20"/>
          <w:szCs w:val="20"/>
          <w:color w:val="auto"/>
        </w:rPr>
      </w:pPr>
      <w:r>
        <w:rPr>
          <w:rFonts w:ascii="Calibri" w:cs="Calibri" w:eastAsia="Calibri" w:hAnsi="Calibri"/>
          <w:sz w:val="17"/>
          <w:szCs w:val="17"/>
          <w:color w:val="auto"/>
        </w:rPr>
        <w:t>The core competencies and strategic skills that we value for the Board align with our mission and strategic objectves to Lead, Innovate, Drive and Grow to make 21st Century Security a reality. We believe the Board is more efectve by collectvely having a mix of these core competencies and strategic skills and these have been enhanced through recent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40575" cy="66694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0575" cy="666940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620"/>
        <w:spacing w:after="0"/>
        <w:rPr>
          <w:sz w:val="20"/>
          <w:szCs w:val="20"/>
          <w:color w:val="auto"/>
        </w:rPr>
      </w:pPr>
      <w:r>
        <w:rPr>
          <w:rFonts w:ascii="Calibri" w:cs="Calibri" w:eastAsia="Calibri" w:hAnsi="Calibri"/>
          <w:sz w:val="14"/>
          <w:szCs w:val="14"/>
          <w:color w:val="auto"/>
        </w:rPr>
        <w:t>21st Century Security /</w:t>
      </w:r>
    </w:p>
    <w:p>
      <w:pPr>
        <w:ind w:left="620"/>
        <w:spacing w:after="0" w:line="227" w:lineRule="auto"/>
        <w:rPr>
          <w:sz w:val="20"/>
          <w:szCs w:val="20"/>
          <w:color w:val="auto"/>
        </w:rPr>
      </w:pPr>
      <w:r>
        <w:rPr>
          <w:rFonts w:ascii="Calibri" w:cs="Calibri" w:eastAsia="Calibri" w:hAnsi="Calibri"/>
          <w:sz w:val="14"/>
          <w:szCs w:val="14"/>
          <w:color w:val="auto"/>
        </w:rPr>
        <w:t>Defense Industry</w:t>
      </w:r>
    </w:p>
    <w:p>
      <w:pPr>
        <w:ind w:left="620"/>
        <w:spacing w:after="0" w:line="209" w:lineRule="auto"/>
        <w:rPr>
          <w:sz w:val="20"/>
          <w:szCs w:val="20"/>
          <w:color w:val="auto"/>
        </w:rPr>
      </w:pPr>
      <w:r>
        <w:rPr>
          <w:rFonts w:ascii="Calibri" w:cs="Calibri" w:eastAsia="Calibri" w:hAnsi="Calibri"/>
          <w:sz w:val="14"/>
          <w:szCs w:val="14"/>
          <w:color w:val="auto"/>
        </w:rPr>
        <w:t>Transformaton</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right="60"/>
        <w:spacing w:after="0" w:line="206" w:lineRule="auto"/>
        <w:rPr>
          <w:sz w:val="20"/>
          <w:szCs w:val="20"/>
          <w:color w:val="auto"/>
        </w:rPr>
      </w:pPr>
      <w:r>
        <w:rPr>
          <w:rFonts w:ascii="Calibri" w:cs="Calibri" w:eastAsia="Calibri" w:hAnsi="Calibri"/>
          <w:sz w:val="14"/>
          <w:szCs w:val="14"/>
          <w:color w:val="auto"/>
        </w:rPr>
        <w:t>We are increasingly confrontng an evolving threat landscape that is demanding advanced capabilites and a need for beter predictability and capacity faster than ever before. Our 21st Century Security strategy is about taking the best of defense and commercial technology to make forces agile, adaptve and unpredictable, so that they stay ready for any mission - today and in the future. Directors with experience in leading transformaton and in the defense, commercial and telecom sectors provide important perspectves as we aim to execute industry partnerships and lead bringing these sectors together to deliver transformatonal capabilites for natonal defense.</w:t>
      </w:r>
    </w:p>
    <w:p>
      <w:pPr>
        <w:spacing w:after="0" w:line="200" w:lineRule="exact"/>
        <w:rPr>
          <w:sz w:val="20"/>
          <w:szCs w:val="20"/>
          <w:color w:val="auto"/>
        </w:rPr>
      </w:pPr>
    </w:p>
    <w:p>
      <w:pPr>
        <w:sectPr>
          <w:pgSz w:w="11900" w:h="16838" w:orient="portrait"/>
          <w:cols w:equalWidth="0" w:num="2">
            <w:col w:w="1960" w:space="400"/>
            <w:col w:w="8900"/>
          </w:cols>
          <w:pgMar w:left="320" w:top="230" w:right="319" w:bottom="1440" w:gutter="0" w:footer="0" w:header="0"/>
          <w:type w:val="continuous"/>
        </w:sectPr>
      </w:pPr>
    </w:p>
    <w:p>
      <w:pPr>
        <w:spacing w:after="0" w:line="92" w:lineRule="exact"/>
        <w:rPr>
          <w:sz w:val="20"/>
          <w:szCs w:val="20"/>
          <w:color w:val="auto"/>
        </w:rPr>
      </w:pPr>
    </w:p>
    <w:p>
      <w:pPr>
        <w:ind w:left="620"/>
        <w:spacing w:after="0"/>
        <w:rPr>
          <w:sz w:val="20"/>
          <w:szCs w:val="20"/>
          <w:color w:val="auto"/>
        </w:rPr>
      </w:pPr>
      <w:r>
        <w:rPr>
          <w:rFonts w:ascii="Calibri" w:cs="Calibri" w:eastAsia="Calibri" w:hAnsi="Calibri"/>
          <w:sz w:val="14"/>
          <w:szCs w:val="14"/>
          <w:color w:val="auto"/>
        </w:rPr>
        <w:t>5G.MIL / Digital &amp;</w:t>
      </w:r>
    </w:p>
    <w:p>
      <w:pPr>
        <w:ind w:left="620"/>
        <w:spacing w:after="0" w:line="227" w:lineRule="auto"/>
        <w:rPr>
          <w:sz w:val="20"/>
          <w:szCs w:val="20"/>
          <w:color w:val="auto"/>
        </w:rPr>
      </w:pPr>
      <w:r>
        <w:rPr>
          <w:rFonts w:ascii="Calibri" w:cs="Calibri" w:eastAsia="Calibri" w:hAnsi="Calibri"/>
          <w:sz w:val="14"/>
          <w:szCs w:val="14"/>
          <w:color w:val="auto"/>
        </w:rPr>
        <w:t>Networking Open</w:t>
      </w:r>
    </w:p>
    <w:p>
      <w:pPr>
        <w:ind w:left="620"/>
        <w:spacing w:after="0" w:line="209" w:lineRule="auto"/>
        <w:rPr>
          <w:sz w:val="20"/>
          <w:szCs w:val="20"/>
          <w:color w:val="auto"/>
        </w:rPr>
      </w:pPr>
      <w:r>
        <w:rPr>
          <w:rFonts w:ascii="Calibri" w:cs="Calibri" w:eastAsia="Calibri" w:hAnsi="Calibri"/>
          <w:sz w:val="14"/>
          <w:szCs w:val="14"/>
          <w:color w:val="auto"/>
        </w:rPr>
        <w:t>Architecture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140"/>
        <w:spacing w:after="0" w:line="212" w:lineRule="auto"/>
        <w:rPr>
          <w:sz w:val="20"/>
          <w:szCs w:val="20"/>
          <w:color w:val="auto"/>
        </w:rPr>
      </w:pPr>
      <w:r>
        <w:rPr>
          <w:rFonts w:ascii="Calibri" w:cs="Calibri" w:eastAsia="Calibri" w:hAnsi="Calibri"/>
          <w:sz w:val="14"/>
          <w:szCs w:val="14"/>
          <w:color w:val="auto"/>
        </w:rPr>
        <w:t>Lockheed Martn's 5G.MIL solutons integrate military communicatons with tactcal gateway capabilites (.MIL) and enhanced 5G technology to enable seamless, resilient and secure connectvity and data fow across all batlefeld assets. Directors with industry experience or technological expertse contribute to an understanding of network-enabled technologies and open architectures to enable our 21st Century Security vision.</w:t>
      </w:r>
    </w:p>
    <w:p>
      <w:pPr>
        <w:spacing w:after="0" w:line="214" w:lineRule="exact"/>
        <w:rPr>
          <w:sz w:val="20"/>
          <w:szCs w:val="20"/>
          <w:color w:val="auto"/>
        </w:rPr>
      </w:pPr>
    </w:p>
    <w:p>
      <w:pPr>
        <w:sectPr>
          <w:pgSz w:w="11900" w:h="16838" w:orient="portrait"/>
          <w:cols w:equalWidth="0" w:num="2">
            <w:col w:w="1660" w:space="700"/>
            <w:col w:w="8900"/>
          </w:cols>
          <w:pgMar w:left="320" w:top="230" w:right="319" w:bottom="1440" w:gutter="0" w:footer="0" w:header="0"/>
          <w:type w:val="continuous"/>
        </w:sectPr>
      </w:pPr>
    </w:p>
    <w:p>
      <w:pPr>
        <w:spacing w:after="0" w:line="75" w:lineRule="exact"/>
        <w:rPr>
          <w:sz w:val="20"/>
          <w:szCs w:val="20"/>
          <w:color w:val="auto"/>
        </w:rPr>
      </w:pPr>
    </w:p>
    <w:p>
      <w:pPr>
        <w:ind w:left="620"/>
        <w:spacing w:after="0"/>
        <w:rPr>
          <w:sz w:val="20"/>
          <w:szCs w:val="20"/>
          <w:color w:val="auto"/>
        </w:rPr>
      </w:pPr>
      <w:r>
        <w:rPr>
          <w:rFonts w:ascii="Calibri" w:cs="Calibri" w:eastAsia="Calibri" w:hAnsi="Calibri"/>
          <w:sz w:val="14"/>
          <w:szCs w:val="14"/>
          <w:color w:val="auto"/>
        </w:rPr>
        <w:t>AI, Autonomy, Adv.</w:t>
      </w:r>
    </w:p>
    <w:p>
      <w:pPr>
        <w:ind w:left="620"/>
        <w:spacing w:after="0" w:line="227" w:lineRule="auto"/>
        <w:rPr>
          <w:sz w:val="20"/>
          <w:szCs w:val="20"/>
          <w:color w:val="auto"/>
        </w:rPr>
      </w:pPr>
      <w:r>
        <w:rPr>
          <w:rFonts w:ascii="Calibri" w:cs="Calibri" w:eastAsia="Calibri" w:hAnsi="Calibri"/>
          <w:sz w:val="14"/>
          <w:szCs w:val="14"/>
          <w:color w:val="auto"/>
        </w:rPr>
        <w:t>Comms, Hypersonics,</w:t>
      </w:r>
    </w:p>
    <w:p>
      <w:pPr>
        <w:ind w:left="620"/>
        <w:spacing w:after="0" w:line="209" w:lineRule="auto"/>
        <w:rPr>
          <w:sz w:val="20"/>
          <w:szCs w:val="20"/>
          <w:color w:val="auto"/>
        </w:rPr>
      </w:pPr>
      <w:r>
        <w:rPr>
          <w:rFonts w:ascii="Calibri" w:cs="Calibri" w:eastAsia="Calibri" w:hAnsi="Calibri"/>
          <w:sz w:val="14"/>
          <w:szCs w:val="14"/>
          <w:color w:val="auto"/>
        </w:rPr>
        <w:t>Space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00"/>
        <w:spacing w:after="0"/>
        <w:rPr>
          <w:sz w:val="20"/>
          <w:szCs w:val="20"/>
          <w:color w:val="auto"/>
        </w:rPr>
      </w:pPr>
      <w:r>
        <w:rPr>
          <w:rFonts w:ascii="Calibri" w:cs="Calibri" w:eastAsia="Calibri" w:hAnsi="Calibri"/>
          <w:sz w:val="14"/>
          <w:szCs w:val="14"/>
          <w:color w:val="auto"/>
        </w:rPr>
        <w:t>Technologies such as Artfcial Intelligence, Autonomy, Advanced Communicatons, Hypersonics and Space are key technology priorites for the Company. Directors with technology backgrounds contribute to an understanding of these technology priorites and our oversight of key investments in these areas.</w:t>
      </w:r>
    </w:p>
    <w:p>
      <w:pPr>
        <w:spacing w:after="0" w:line="325" w:lineRule="exact"/>
        <w:rPr>
          <w:sz w:val="20"/>
          <w:szCs w:val="20"/>
          <w:color w:val="auto"/>
        </w:rPr>
      </w:pPr>
    </w:p>
    <w:p>
      <w:pPr>
        <w:sectPr>
          <w:pgSz w:w="11900" w:h="16838" w:orient="portrait"/>
          <w:cols w:equalWidth="0" w:num="2">
            <w:col w:w="1880" w:space="480"/>
            <w:col w:w="8900"/>
          </w:cols>
          <w:pgMar w:left="320" w:top="230" w:right="319" w:bottom="1440" w:gutter="0" w:footer="0" w:header="0"/>
          <w:type w:val="continuous"/>
        </w:sectPr>
      </w:pPr>
    </w:p>
    <w:p>
      <w:pPr>
        <w:spacing w:after="0" w:line="68"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Business and Digital</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Directors with experience in business processes and systems and their evoluton provide valuable insights as we execute our mission-driven 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Transformaton</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and digital transformaton program that is critcal to innovate and deliver the speed, agility and insights our customers need.</w:t>
            </w:r>
          </w:p>
        </w:tc>
        <w:tc>
          <w:tcPr>
            <w:tcW w:w="0" w:type="dxa"/>
            <w:vAlign w:val="bottom"/>
          </w:tcPr>
          <w:p>
            <w:pPr>
              <w:spacing w:after="0"/>
              <w:rPr>
                <w:sz w:val="1"/>
                <w:szCs w:val="1"/>
                <w:color w:val="auto"/>
              </w:rPr>
            </w:pPr>
          </w:p>
        </w:tc>
      </w:tr>
      <w:tr>
        <w:trPr>
          <w:trHeight w:val="182"/>
        </w:trPr>
        <w:tc>
          <w:tcPr>
            <w:tcW w:w="20" w:type="dxa"/>
            <w:vAlign w:val="bottom"/>
            <w:tcBorders>
              <w:bottom w:val="single" w:sz="8" w:color="939598"/>
            </w:tcBorders>
          </w:tcPr>
          <w:p>
            <w:pPr>
              <w:spacing w:after="0"/>
              <w:rPr>
                <w:sz w:val="15"/>
                <w:szCs w:val="15"/>
                <w:color w:val="auto"/>
              </w:rPr>
            </w:pPr>
          </w:p>
        </w:tc>
        <w:tc>
          <w:tcPr>
            <w:tcW w:w="1640" w:type="dxa"/>
            <w:vAlign w:val="bottom"/>
            <w:tcBorders>
              <w:bottom w:val="single" w:sz="8" w:color="939598"/>
            </w:tcBorders>
          </w:tcPr>
          <w:p>
            <w:pPr>
              <w:spacing w:after="0"/>
              <w:rPr>
                <w:sz w:val="15"/>
                <w:szCs w:val="15"/>
                <w:color w:val="auto"/>
              </w:rPr>
            </w:pPr>
          </w:p>
        </w:tc>
        <w:tc>
          <w:tcPr>
            <w:tcW w:w="900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Operatonal Executon</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Our future success requires us to drive a culture of operatonal excellence, efciency and consistent performance. Directors with experience in areas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and Efciency</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such as complex manufacturing and other large, complicated operatons contribute to the understanding of these challenges.</w:t>
            </w:r>
          </w:p>
        </w:tc>
        <w:tc>
          <w:tcPr>
            <w:tcW w:w="0" w:type="dxa"/>
            <w:vAlign w:val="bottom"/>
          </w:tcPr>
          <w:p>
            <w:pPr>
              <w:spacing w:after="0"/>
              <w:rPr>
                <w:sz w:val="1"/>
                <w:szCs w:val="1"/>
                <w:color w:val="auto"/>
              </w:rPr>
            </w:pPr>
          </w:p>
        </w:tc>
      </w:tr>
      <w:tr>
        <w:trPr>
          <w:trHeight w:val="155"/>
        </w:trPr>
        <w:tc>
          <w:tcPr>
            <w:tcW w:w="20" w:type="dxa"/>
            <w:vAlign w:val="bottom"/>
            <w:tcBorders>
              <w:bottom w:val="single" w:sz="8" w:color="939598"/>
            </w:tcBorders>
          </w:tcPr>
          <w:p>
            <w:pPr>
              <w:spacing w:after="0"/>
              <w:rPr>
                <w:sz w:val="13"/>
                <w:szCs w:val="13"/>
                <w:color w:val="auto"/>
              </w:rPr>
            </w:pPr>
          </w:p>
        </w:tc>
        <w:tc>
          <w:tcPr>
            <w:tcW w:w="1640" w:type="dxa"/>
            <w:vAlign w:val="bottom"/>
            <w:tcBorders>
              <w:bottom w:val="single" w:sz="8" w:color="939598"/>
            </w:tcBorders>
          </w:tcPr>
          <w:p>
            <w:pPr>
              <w:spacing w:after="0"/>
              <w:rPr>
                <w:sz w:val="13"/>
                <w:szCs w:val="13"/>
                <w:color w:val="auto"/>
              </w:rPr>
            </w:pPr>
          </w:p>
        </w:tc>
        <w:tc>
          <w:tcPr>
            <w:tcW w:w="9000" w:type="dxa"/>
            <w:vAlign w:val="bottom"/>
            <w:tcBorders>
              <w:bottom w:val="single" w:sz="8" w:color="939598"/>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000" w:type="dxa"/>
            <w:vAlign w:val="bottom"/>
          </w:tcPr>
          <w:p>
            <w:pPr>
              <w:ind w:left="100"/>
              <w:spacing w:after="0" w:line="156" w:lineRule="exact"/>
              <w:rPr>
                <w:sz w:val="20"/>
                <w:szCs w:val="20"/>
                <w:color w:val="auto"/>
              </w:rPr>
            </w:pPr>
            <w:r>
              <w:rPr>
                <w:rFonts w:ascii="Calibri" w:cs="Calibri" w:eastAsia="Calibri" w:hAnsi="Calibri"/>
                <w:sz w:val="14"/>
                <w:szCs w:val="14"/>
                <w:color w:val="auto"/>
              </w:rPr>
              <w:t>Lockheed Martn has a diverse and complex mult-tered supply chain that is critcal to our success. Directors with expertse in the management of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Calibri" w:cs="Calibri" w:eastAsia="Calibri" w:hAnsi="Calibri"/>
                <w:sz w:val="14"/>
                <w:szCs w:val="14"/>
                <w:color w:val="auto"/>
              </w:rPr>
              <w:t>Supply Chain Excellence</w:t>
            </w:r>
          </w:p>
        </w:tc>
        <w:tc>
          <w:tcPr>
            <w:tcW w:w="9000" w:type="dxa"/>
            <w:vAlign w:val="bottom"/>
          </w:tcPr>
          <w:p>
            <w:pPr>
              <w:ind w:left="100"/>
              <w:spacing w:after="0" w:line="149" w:lineRule="exact"/>
              <w:rPr>
                <w:sz w:val="20"/>
                <w:szCs w:val="20"/>
                <w:color w:val="auto"/>
              </w:rPr>
            </w:pPr>
            <w:r>
              <w:rPr>
                <w:rFonts w:ascii="Calibri" w:cs="Calibri" w:eastAsia="Calibri" w:hAnsi="Calibri"/>
                <w:sz w:val="14"/>
                <w:szCs w:val="14"/>
                <w:color w:val="auto"/>
              </w:rPr>
              <w:t>upstream and downstream relatonships with suppliers and customers provide important perspectves on managing supply chain challenges and driving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0" w:type="dxa"/>
            <w:vAlign w:val="bottom"/>
          </w:tcPr>
          <w:p>
            <w:pPr>
              <w:ind w:left="100"/>
              <w:spacing w:after="0"/>
              <w:rPr>
                <w:sz w:val="20"/>
                <w:szCs w:val="20"/>
                <w:color w:val="auto"/>
              </w:rPr>
            </w:pPr>
            <w:r>
              <w:rPr>
                <w:rFonts w:ascii="Calibri" w:cs="Calibri" w:eastAsia="Calibri" w:hAnsi="Calibri"/>
                <w:sz w:val="14"/>
                <w:szCs w:val="14"/>
                <w:color w:val="auto"/>
              </w:rPr>
              <w:t>its afordability and resiliency.</w:t>
            </w:r>
          </w:p>
        </w:tc>
        <w:tc>
          <w:tcPr>
            <w:tcW w:w="0" w:type="dxa"/>
            <w:vAlign w:val="bottom"/>
          </w:tcPr>
          <w:p>
            <w:pPr>
              <w:spacing w:after="0"/>
              <w:rPr>
                <w:sz w:val="1"/>
                <w:szCs w:val="1"/>
                <w:color w:val="auto"/>
              </w:rPr>
            </w:pPr>
          </w:p>
        </w:tc>
      </w:tr>
      <w:tr>
        <w:trPr>
          <w:trHeight w:val="100"/>
        </w:trPr>
        <w:tc>
          <w:tcPr>
            <w:tcW w:w="20" w:type="dxa"/>
            <w:vAlign w:val="bottom"/>
            <w:tcBorders>
              <w:bottom w:val="single" w:sz="8" w:color="939598"/>
            </w:tcBorders>
          </w:tcPr>
          <w:p>
            <w:pPr>
              <w:spacing w:after="0"/>
              <w:rPr>
                <w:sz w:val="8"/>
                <w:szCs w:val="8"/>
                <w:color w:val="auto"/>
              </w:rPr>
            </w:pPr>
          </w:p>
        </w:tc>
        <w:tc>
          <w:tcPr>
            <w:tcW w:w="1640" w:type="dxa"/>
            <w:vAlign w:val="bottom"/>
            <w:tcBorders>
              <w:bottom w:val="single" w:sz="8" w:color="939598"/>
            </w:tcBorders>
          </w:tcPr>
          <w:p>
            <w:pPr>
              <w:spacing w:after="0"/>
              <w:rPr>
                <w:sz w:val="8"/>
                <w:szCs w:val="8"/>
                <w:color w:val="auto"/>
              </w:rPr>
            </w:pPr>
          </w:p>
        </w:tc>
        <w:tc>
          <w:tcPr>
            <w:tcW w:w="9000" w:type="dxa"/>
            <w:vAlign w:val="bottom"/>
            <w:tcBorders>
              <w:bottom w:val="single" w:sz="8" w:color="939598"/>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Internatonal Business</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We are a global business with a presence in more than 50 countries. One of our key growth priorites is to expand our business internatonally. Directors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Expansion</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with experience understanding the complexites and risks of internatonal business help the Company to achieve its internatonal objectves.</w:t>
            </w:r>
          </w:p>
        </w:tc>
        <w:tc>
          <w:tcPr>
            <w:tcW w:w="0" w:type="dxa"/>
            <w:vAlign w:val="bottom"/>
          </w:tcPr>
          <w:p>
            <w:pPr>
              <w:spacing w:after="0"/>
              <w:rPr>
                <w:sz w:val="1"/>
                <w:szCs w:val="1"/>
                <w:color w:val="auto"/>
              </w:rPr>
            </w:pPr>
          </w:p>
        </w:tc>
      </w:tr>
      <w:tr>
        <w:trPr>
          <w:trHeight w:val="182"/>
        </w:trPr>
        <w:tc>
          <w:tcPr>
            <w:tcW w:w="20" w:type="dxa"/>
            <w:vAlign w:val="bottom"/>
            <w:tcBorders>
              <w:bottom w:val="single" w:sz="8" w:color="939598"/>
            </w:tcBorders>
          </w:tcPr>
          <w:p>
            <w:pPr>
              <w:spacing w:after="0"/>
              <w:rPr>
                <w:sz w:val="15"/>
                <w:szCs w:val="15"/>
                <w:color w:val="auto"/>
              </w:rPr>
            </w:pPr>
          </w:p>
        </w:tc>
        <w:tc>
          <w:tcPr>
            <w:tcW w:w="1640" w:type="dxa"/>
            <w:vAlign w:val="bottom"/>
            <w:tcBorders>
              <w:bottom w:val="single" w:sz="8" w:color="939598"/>
            </w:tcBorders>
          </w:tcPr>
          <w:p>
            <w:pPr>
              <w:spacing w:after="0"/>
              <w:rPr>
                <w:sz w:val="15"/>
                <w:szCs w:val="15"/>
                <w:color w:val="auto"/>
              </w:rPr>
            </w:pPr>
          </w:p>
        </w:tc>
        <w:tc>
          <w:tcPr>
            <w:tcW w:w="900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40" w:type="dxa"/>
            <w:vAlign w:val="bottom"/>
            <w:vMerge w:val="restart"/>
          </w:tcPr>
          <w:p>
            <w:pPr>
              <w:spacing w:after="0"/>
              <w:rPr>
                <w:sz w:val="20"/>
                <w:szCs w:val="20"/>
                <w:color w:val="auto"/>
              </w:rPr>
            </w:pPr>
            <w:r>
              <w:rPr>
                <w:rFonts w:ascii="Calibri" w:cs="Calibri" w:eastAsia="Calibri" w:hAnsi="Calibri"/>
                <w:sz w:val="14"/>
                <w:szCs w:val="14"/>
                <w:color w:val="auto"/>
              </w:rPr>
              <w:t>Business Model</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A key element of our 21st Century Security strategy is to collaborate with innovatve commercial companies outside of the traditonal aerospace and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9000" w:type="dxa"/>
            <w:vAlign w:val="bottom"/>
            <w:vMerge w:val="restart"/>
          </w:tcPr>
          <w:p>
            <w:pPr>
              <w:ind w:left="100"/>
              <w:spacing w:after="0" w:line="148" w:lineRule="exact"/>
              <w:rPr>
                <w:sz w:val="20"/>
                <w:szCs w:val="20"/>
                <w:color w:val="auto"/>
              </w:rPr>
            </w:pPr>
            <w:r>
              <w:rPr>
                <w:rFonts w:ascii="Calibri" w:cs="Calibri" w:eastAsia="Calibri" w:hAnsi="Calibri"/>
                <w:sz w:val="14"/>
                <w:szCs w:val="14"/>
                <w:color w:val="auto"/>
              </w:rPr>
              <w:t>defense industry to leverage their technologies for military applicatons as well as to develop new business models for the defense industry. Directors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40" w:type="dxa"/>
            <w:vAlign w:val="bottom"/>
            <w:vMerge w:val="restart"/>
          </w:tcPr>
          <w:p>
            <w:pPr>
              <w:spacing w:after="0"/>
              <w:rPr>
                <w:sz w:val="20"/>
                <w:szCs w:val="20"/>
                <w:color w:val="auto"/>
              </w:rPr>
            </w:pPr>
            <w:r>
              <w:rPr>
                <w:rFonts w:ascii="Calibri" w:cs="Calibri" w:eastAsia="Calibri" w:hAnsi="Calibri"/>
                <w:sz w:val="14"/>
                <w:szCs w:val="14"/>
                <w:color w:val="auto"/>
              </w:rPr>
              <w:t>/Commercial Partnerships</w:t>
            </w:r>
          </w:p>
        </w:tc>
        <w:tc>
          <w:tcPr>
            <w:tcW w:w="9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9000" w:type="dxa"/>
            <w:vAlign w:val="bottom"/>
            <w:vMerge w:val="restart"/>
          </w:tcPr>
          <w:p>
            <w:pPr>
              <w:ind w:left="100"/>
              <w:spacing w:after="0"/>
              <w:rPr>
                <w:sz w:val="20"/>
                <w:szCs w:val="20"/>
                <w:color w:val="auto"/>
              </w:rPr>
            </w:pPr>
            <w:r>
              <w:rPr>
                <w:rFonts w:ascii="Calibri" w:cs="Calibri" w:eastAsia="Calibri" w:hAnsi="Calibri"/>
                <w:sz w:val="14"/>
                <w:szCs w:val="14"/>
                <w:color w:val="auto"/>
              </w:rPr>
              <w:t>with commercial experience contribute to an understanding of these new business models and related growth opportunites.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939598"/>
            </w:tcBorders>
          </w:tcPr>
          <w:p>
            <w:pPr>
              <w:spacing w:after="0"/>
              <w:rPr>
                <w:sz w:val="15"/>
                <w:szCs w:val="15"/>
                <w:color w:val="auto"/>
              </w:rPr>
            </w:pPr>
          </w:p>
        </w:tc>
        <w:tc>
          <w:tcPr>
            <w:tcW w:w="1640" w:type="dxa"/>
            <w:vAlign w:val="bottom"/>
            <w:tcBorders>
              <w:bottom w:val="single" w:sz="8" w:color="939598"/>
            </w:tcBorders>
          </w:tcPr>
          <w:p>
            <w:pPr>
              <w:spacing w:after="0"/>
              <w:rPr>
                <w:sz w:val="15"/>
                <w:szCs w:val="15"/>
                <w:color w:val="auto"/>
              </w:rPr>
            </w:pPr>
          </w:p>
        </w:tc>
        <w:tc>
          <w:tcPr>
            <w:tcW w:w="900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M&amp;A Expertse</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We look to leverage inorganic growth and portolio alignment by pursuing strategically aligned targets with ventures, acquisitons and other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0" w:type="dxa"/>
            <w:vAlign w:val="bottom"/>
          </w:tcPr>
          <w:p>
            <w:pPr>
              <w:ind w:left="100"/>
              <w:spacing w:after="0"/>
              <w:rPr>
                <w:sz w:val="20"/>
                <w:szCs w:val="20"/>
                <w:color w:val="auto"/>
              </w:rPr>
            </w:pPr>
            <w:r>
              <w:rPr>
                <w:rFonts w:ascii="Calibri" w:cs="Calibri" w:eastAsia="Calibri" w:hAnsi="Calibri"/>
                <w:sz w:val="14"/>
                <w:szCs w:val="14"/>
                <w:color w:val="auto"/>
              </w:rPr>
              <w:t>investments as well as dispositons. Directors with mergers and acquisitons experience contribute to the Board’s understanding of these opportunites.</w:t>
            </w:r>
          </w:p>
        </w:tc>
        <w:tc>
          <w:tcPr>
            <w:tcW w:w="0" w:type="dxa"/>
            <w:vAlign w:val="bottom"/>
          </w:tcPr>
          <w:p>
            <w:pPr>
              <w:spacing w:after="0"/>
              <w:rPr>
                <w:sz w:val="1"/>
                <w:szCs w:val="1"/>
                <w:color w:val="auto"/>
              </w:rPr>
            </w:pPr>
          </w:p>
        </w:tc>
      </w:tr>
      <w:tr>
        <w:trPr>
          <w:trHeight w:val="100"/>
        </w:trPr>
        <w:tc>
          <w:tcPr>
            <w:tcW w:w="20" w:type="dxa"/>
            <w:vAlign w:val="bottom"/>
            <w:tcBorders>
              <w:bottom w:val="single" w:sz="8" w:color="003478"/>
            </w:tcBorders>
          </w:tcPr>
          <w:p>
            <w:pPr>
              <w:spacing w:after="0"/>
              <w:rPr>
                <w:sz w:val="8"/>
                <w:szCs w:val="8"/>
                <w:color w:val="auto"/>
              </w:rPr>
            </w:pPr>
          </w:p>
        </w:tc>
        <w:tc>
          <w:tcPr>
            <w:tcW w:w="1640" w:type="dxa"/>
            <w:vAlign w:val="bottom"/>
            <w:tcBorders>
              <w:bottom w:val="single" w:sz="8" w:color="003478"/>
            </w:tcBorders>
          </w:tcPr>
          <w:p>
            <w:pPr>
              <w:spacing w:after="0"/>
              <w:rPr>
                <w:sz w:val="8"/>
                <w:szCs w:val="8"/>
                <w:color w:val="auto"/>
              </w:rPr>
            </w:pPr>
          </w:p>
        </w:tc>
        <w:tc>
          <w:tcPr>
            <w:tcW w:w="9000" w:type="dxa"/>
            <w:vAlign w:val="bottom"/>
            <w:tcBorders>
              <w:bottom w:val="single" w:sz="8" w:color="003478"/>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Senior Leadership</w:t>
            </w:r>
          </w:p>
        </w:tc>
        <w:tc>
          <w:tcPr>
            <w:tcW w:w="9000" w:type="dxa"/>
            <w:vAlign w:val="bottom"/>
            <w:vMerge w:val="restart"/>
          </w:tcPr>
          <w:p>
            <w:pPr>
              <w:ind w:left="100"/>
              <w:spacing w:after="0"/>
              <w:rPr>
                <w:sz w:val="20"/>
                <w:szCs w:val="20"/>
                <w:color w:val="auto"/>
              </w:rPr>
            </w:pPr>
            <w:r>
              <w:rPr>
                <w:rFonts w:ascii="Calibri" w:cs="Calibri" w:eastAsia="Calibri" w:hAnsi="Calibri"/>
                <w:sz w:val="14"/>
                <w:szCs w:val="14"/>
                <w:color w:val="auto"/>
              </w:rPr>
              <w:t>All directors have senior leadership experience. We look to have a balance of directors with public company CEO leadership experience, public company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40" w:type="dxa"/>
            <w:vAlign w:val="bottom"/>
            <w:vMerge w:val="restart"/>
          </w:tcPr>
          <w:p>
            <w:pPr>
              <w:spacing w:after="0"/>
              <w:rPr>
                <w:sz w:val="20"/>
                <w:szCs w:val="20"/>
                <w:color w:val="auto"/>
              </w:rPr>
            </w:pPr>
            <w:r>
              <w:rPr>
                <w:rFonts w:ascii="Calibri" w:cs="Calibri" w:eastAsia="Calibri" w:hAnsi="Calibri"/>
                <w:sz w:val="14"/>
                <w:szCs w:val="14"/>
                <w:color w:val="auto"/>
              </w:rPr>
              <w:t>Experience</w:t>
            </w:r>
          </w:p>
        </w:tc>
        <w:tc>
          <w:tcPr>
            <w:tcW w:w="9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9000" w:type="dxa"/>
            <w:vAlign w:val="bottom"/>
          </w:tcPr>
          <w:p>
            <w:pPr>
              <w:ind w:left="100"/>
              <w:spacing w:after="0"/>
              <w:rPr>
                <w:sz w:val="20"/>
                <w:szCs w:val="20"/>
                <w:color w:val="auto"/>
              </w:rPr>
            </w:pPr>
            <w:r>
              <w:rPr>
                <w:rFonts w:ascii="Calibri" w:cs="Calibri" w:eastAsia="Calibri" w:hAnsi="Calibri"/>
                <w:sz w:val="14"/>
                <w:szCs w:val="14"/>
                <w:color w:val="auto"/>
              </w:rPr>
              <w:t>CFO experience and other experience managing large, complex organizatons.</w:t>
            </w:r>
          </w:p>
        </w:tc>
        <w:tc>
          <w:tcPr>
            <w:tcW w:w="0" w:type="dxa"/>
            <w:vAlign w:val="bottom"/>
          </w:tcPr>
          <w:p>
            <w:pPr>
              <w:spacing w:after="0"/>
              <w:rPr>
                <w:sz w:val="1"/>
                <w:szCs w:val="1"/>
                <w:color w:val="auto"/>
              </w:rPr>
            </w:pPr>
          </w:p>
        </w:tc>
      </w:tr>
      <w:tr>
        <w:trPr>
          <w:trHeight w:val="100"/>
        </w:trPr>
        <w:tc>
          <w:tcPr>
            <w:tcW w:w="20" w:type="dxa"/>
            <w:vAlign w:val="bottom"/>
            <w:tcBorders>
              <w:bottom w:val="single" w:sz="8" w:color="939598"/>
            </w:tcBorders>
          </w:tcPr>
          <w:p>
            <w:pPr>
              <w:spacing w:after="0"/>
              <w:rPr>
                <w:sz w:val="8"/>
                <w:szCs w:val="8"/>
                <w:color w:val="auto"/>
              </w:rPr>
            </w:pPr>
          </w:p>
        </w:tc>
        <w:tc>
          <w:tcPr>
            <w:tcW w:w="1640" w:type="dxa"/>
            <w:vAlign w:val="bottom"/>
            <w:tcBorders>
              <w:bottom w:val="single" w:sz="8" w:color="939598"/>
            </w:tcBorders>
          </w:tcPr>
          <w:p>
            <w:pPr>
              <w:spacing w:after="0"/>
              <w:rPr>
                <w:sz w:val="8"/>
                <w:szCs w:val="8"/>
                <w:color w:val="auto"/>
              </w:rPr>
            </w:pPr>
          </w:p>
        </w:tc>
        <w:tc>
          <w:tcPr>
            <w:tcW w:w="9000" w:type="dxa"/>
            <w:vAlign w:val="bottom"/>
            <w:tcBorders>
              <w:bottom w:val="single" w:sz="8" w:color="939598"/>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40" w:type="dxa"/>
            <w:vAlign w:val="bottom"/>
            <w:vMerge w:val="restart"/>
          </w:tcPr>
          <w:p>
            <w:pPr>
              <w:spacing w:after="0"/>
              <w:rPr>
                <w:sz w:val="20"/>
                <w:szCs w:val="20"/>
                <w:color w:val="auto"/>
              </w:rPr>
            </w:pPr>
            <w:r>
              <w:rPr>
                <w:rFonts w:ascii="Calibri" w:cs="Calibri" w:eastAsia="Calibri" w:hAnsi="Calibri"/>
                <w:sz w:val="14"/>
                <w:szCs w:val="14"/>
                <w:color w:val="auto"/>
              </w:rPr>
              <w:t>Financial Expertse</w:t>
            </w:r>
          </w:p>
        </w:tc>
        <w:tc>
          <w:tcPr>
            <w:tcW w:w="9000" w:type="dxa"/>
            <w:vAlign w:val="bottom"/>
          </w:tcPr>
          <w:p>
            <w:pPr>
              <w:ind w:left="100"/>
              <w:spacing w:after="0" w:line="156" w:lineRule="exact"/>
              <w:rPr>
                <w:sz w:val="20"/>
                <w:szCs w:val="20"/>
                <w:color w:val="auto"/>
              </w:rPr>
            </w:pPr>
            <w:r>
              <w:rPr>
                <w:rFonts w:ascii="Calibri" w:cs="Calibri" w:eastAsia="Calibri" w:hAnsi="Calibri"/>
                <w:sz w:val="14"/>
                <w:szCs w:val="14"/>
                <w:color w:val="auto"/>
              </w:rPr>
              <w:t>All directors have the ability to understand fnancial statements. Directors who qualify as an “audit commitee fnancial expert” have additonal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9000" w:type="dxa"/>
            <w:vAlign w:val="bottom"/>
          </w:tcPr>
          <w:p>
            <w:pPr>
              <w:ind w:left="100"/>
              <w:spacing w:after="0" w:line="148" w:lineRule="exact"/>
              <w:rPr>
                <w:sz w:val="20"/>
                <w:szCs w:val="20"/>
                <w:color w:val="auto"/>
              </w:rPr>
            </w:pPr>
            <w:r>
              <w:rPr>
                <w:rFonts w:ascii="Calibri" w:cs="Calibri" w:eastAsia="Calibri" w:hAnsi="Calibri"/>
                <w:sz w:val="14"/>
                <w:szCs w:val="14"/>
                <w:color w:val="auto"/>
              </w:rPr>
              <w:t>educaton and experience that enables them to provide additonal oversight of fnancial statements and capital allocaton decisions as well as important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0" w:type="dxa"/>
            <w:vAlign w:val="bottom"/>
          </w:tcPr>
          <w:p>
            <w:pPr>
              <w:ind w:left="100"/>
              <w:spacing w:after="0"/>
              <w:rPr>
                <w:sz w:val="20"/>
                <w:szCs w:val="20"/>
                <w:color w:val="auto"/>
              </w:rPr>
            </w:pPr>
            <w:r>
              <w:rPr>
                <w:rFonts w:ascii="Calibri" w:cs="Calibri" w:eastAsia="Calibri" w:hAnsi="Calibri"/>
                <w:sz w:val="14"/>
                <w:szCs w:val="14"/>
                <w:color w:val="auto"/>
              </w:rPr>
              <w:t>fnancial metrics in measuring our performance.</w:t>
            </w:r>
          </w:p>
        </w:tc>
        <w:tc>
          <w:tcPr>
            <w:tcW w:w="0" w:type="dxa"/>
            <w:vAlign w:val="bottom"/>
          </w:tcPr>
          <w:p>
            <w:pPr>
              <w:spacing w:after="0"/>
              <w:rPr>
                <w:sz w:val="1"/>
                <w:szCs w:val="1"/>
                <w:color w:val="auto"/>
              </w:rPr>
            </w:pPr>
          </w:p>
        </w:tc>
      </w:tr>
      <w:tr>
        <w:trPr>
          <w:trHeight w:val="101"/>
        </w:trPr>
        <w:tc>
          <w:tcPr>
            <w:tcW w:w="20" w:type="dxa"/>
            <w:vAlign w:val="bottom"/>
            <w:tcBorders>
              <w:bottom w:val="single" w:sz="8" w:color="939598"/>
            </w:tcBorders>
          </w:tcPr>
          <w:p>
            <w:pPr>
              <w:spacing w:after="0"/>
              <w:rPr>
                <w:sz w:val="8"/>
                <w:szCs w:val="8"/>
                <w:color w:val="auto"/>
              </w:rPr>
            </w:pPr>
          </w:p>
        </w:tc>
        <w:tc>
          <w:tcPr>
            <w:tcW w:w="1640" w:type="dxa"/>
            <w:vAlign w:val="bottom"/>
            <w:tcBorders>
              <w:bottom w:val="single" w:sz="8" w:color="939598"/>
            </w:tcBorders>
          </w:tcPr>
          <w:p>
            <w:pPr>
              <w:spacing w:after="0"/>
              <w:rPr>
                <w:sz w:val="8"/>
                <w:szCs w:val="8"/>
                <w:color w:val="auto"/>
              </w:rPr>
            </w:pPr>
          </w:p>
        </w:tc>
        <w:tc>
          <w:tcPr>
            <w:tcW w:w="9000" w:type="dxa"/>
            <w:vAlign w:val="bottom"/>
            <w:tcBorders>
              <w:bottom w:val="single" w:sz="8" w:color="939598"/>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Environment, Social and</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Directors with environmental, social and governance experience, including employee safety and health, climate-related risks, politcal risks and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Governance Expertse</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cybersecurity, play an important role in the Board’s oversight of risks and the Company’s sustainability initatves.</w:t>
            </w:r>
          </w:p>
        </w:tc>
        <w:tc>
          <w:tcPr>
            <w:tcW w:w="0" w:type="dxa"/>
            <w:vAlign w:val="bottom"/>
          </w:tcPr>
          <w:p>
            <w:pPr>
              <w:spacing w:after="0"/>
              <w:rPr>
                <w:sz w:val="1"/>
                <w:szCs w:val="1"/>
                <w:color w:val="auto"/>
              </w:rPr>
            </w:pPr>
          </w:p>
        </w:tc>
      </w:tr>
      <w:tr>
        <w:trPr>
          <w:trHeight w:val="155"/>
        </w:trPr>
        <w:tc>
          <w:tcPr>
            <w:tcW w:w="20" w:type="dxa"/>
            <w:vAlign w:val="bottom"/>
            <w:tcBorders>
              <w:bottom w:val="single" w:sz="8" w:color="959595"/>
            </w:tcBorders>
          </w:tcPr>
          <w:p>
            <w:pPr>
              <w:spacing w:after="0"/>
              <w:rPr>
                <w:sz w:val="13"/>
                <w:szCs w:val="13"/>
                <w:color w:val="auto"/>
              </w:rPr>
            </w:pPr>
          </w:p>
        </w:tc>
        <w:tc>
          <w:tcPr>
            <w:tcW w:w="1640" w:type="dxa"/>
            <w:vAlign w:val="bottom"/>
            <w:tcBorders>
              <w:bottom w:val="single" w:sz="8" w:color="959595"/>
            </w:tcBorders>
          </w:tcPr>
          <w:p>
            <w:pPr>
              <w:spacing w:after="0"/>
              <w:rPr>
                <w:sz w:val="13"/>
                <w:szCs w:val="13"/>
                <w:color w:val="auto"/>
              </w:rPr>
            </w:pPr>
          </w:p>
        </w:tc>
        <w:tc>
          <w:tcPr>
            <w:tcW w:w="9000" w:type="dxa"/>
            <w:vAlign w:val="bottom"/>
            <w:tcBorders>
              <w:bottom w:val="single" w:sz="8" w:color="959595"/>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40" w:type="dxa"/>
            <w:vAlign w:val="bottom"/>
            <w:vMerge w:val="restart"/>
          </w:tcPr>
          <w:p>
            <w:pPr>
              <w:spacing w:after="0"/>
              <w:rPr>
                <w:sz w:val="20"/>
                <w:szCs w:val="20"/>
                <w:color w:val="auto"/>
              </w:rPr>
            </w:pPr>
            <w:r>
              <w:rPr>
                <w:rFonts w:ascii="Calibri" w:cs="Calibri" w:eastAsia="Calibri" w:hAnsi="Calibri"/>
                <w:sz w:val="14"/>
                <w:szCs w:val="14"/>
                <w:color w:val="auto"/>
              </w:rPr>
              <w:t>Cybersecurity Expertse</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Directors with experience in cybersecurity, intelligence and data protecton, including U.S. cybersecurity policy and the U.S. Government’s cybersecurity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9000" w:type="dxa"/>
            <w:vAlign w:val="bottom"/>
            <w:vMerge w:val="restart"/>
          </w:tcPr>
          <w:p>
            <w:pPr>
              <w:ind w:left="100"/>
              <w:spacing w:after="0"/>
              <w:rPr>
                <w:sz w:val="20"/>
                <w:szCs w:val="20"/>
                <w:color w:val="auto"/>
              </w:rPr>
            </w:pPr>
            <w:r>
              <w:rPr>
                <w:rFonts w:ascii="Calibri" w:cs="Calibri" w:eastAsia="Calibri" w:hAnsi="Calibri"/>
                <w:sz w:val="14"/>
                <w:szCs w:val="14"/>
                <w:color w:val="auto"/>
              </w:rPr>
              <w:t>eforts and cybersecurity threats, contribute to the Board’s oversight of cybersecurity risks and digital transformaton eforts.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959595"/>
            </w:tcBorders>
          </w:tcPr>
          <w:p>
            <w:pPr>
              <w:spacing w:after="0"/>
              <w:rPr>
                <w:sz w:val="16"/>
                <w:szCs w:val="16"/>
                <w:color w:val="auto"/>
              </w:rPr>
            </w:pPr>
          </w:p>
        </w:tc>
        <w:tc>
          <w:tcPr>
            <w:tcW w:w="1640" w:type="dxa"/>
            <w:vAlign w:val="bottom"/>
            <w:tcBorders>
              <w:bottom w:val="single" w:sz="8" w:color="959595"/>
            </w:tcBorders>
          </w:tcPr>
          <w:p>
            <w:pPr>
              <w:spacing w:after="0"/>
              <w:rPr>
                <w:sz w:val="16"/>
                <w:szCs w:val="16"/>
                <w:color w:val="auto"/>
              </w:rPr>
            </w:pPr>
          </w:p>
        </w:tc>
        <w:tc>
          <w:tcPr>
            <w:tcW w:w="9000" w:type="dxa"/>
            <w:vAlign w:val="bottom"/>
            <w:tcBorders>
              <w:bottom w:val="single" w:sz="8" w:color="959595"/>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Senior Military /</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Directors with experience serving in senior military or government roles bring an important perspectve and understanding of our customers and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Government Experience</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relevant policy issues.</w:t>
            </w:r>
          </w:p>
        </w:tc>
        <w:tc>
          <w:tcPr>
            <w:tcW w:w="0" w:type="dxa"/>
            <w:vAlign w:val="bottom"/>
          </w:tcPr>
          <w:p>
            <w:pPr>
              <w:spacing w:after="0"/>
              <w:rPr>
                <w:sz w:val="1"/>
                <w:szCs w:val="1"/>
                <w:color w:val="auto"/>
              </w:rPr>
            </w:pPr>
          </w:p>
        </w:tc>
      </w:tr>
      <w:tr>
        <w:trPr>
          <w:trHeight w:val="209"/>
        </w:trPr>
        <w:tc>
          <w:tcPr>
            <w:tcW w:w="20" w:type="dxa"/>
            <w:vAlign w:val="bottom"/>
            <w:tcBorders>
              <w:bottom w:val="single" w:sz="8" w:color="959595"/>
            </w:tcBorders>
          </w:tcPr>
          <w:p>
            <w:pPr>
              <w:spacing w:after="0"/>
              <w:rPr>
                <w:sz w:val="18"/>
                <w:szCs w:val="18"/>
                <w:color w:val="auto"/>
              </w:rPr>
            </w:pPr>
          </w:p>
        </w:tc>
        <w:tc>
          <w:tcPr>
            <w:tcW w:w="1640" w:type="dxa"/>
            <w:vAlign w:val="bottom"/>
            <w:tcBorders>
              <w:bottom w:val="single" w:sz="8" w:color="003478"/>
            </w:tcBorders>
          </w:tcPr>
          <w:p>
            <w:pPr>
              <w:spacing w:after="0"/>
              <w:rPr>
                <w:sz w:val="18"/>
                <w:szCs w:val="18"/>
                <w:color w:val="auto"/>
              </w:rPr>
            </w:pPr>
          </w:p>
        </w:tc>
        <w:tc>
          <w:tcPr>
            <w:tcW w:w="9000" w:type="dxa"/>
            <w:vAlign w:val="bottom"/>
            <w:tcBorders>
              <w:bottom w:val="single" w:sz="8" w:color="003478"/>
            </w:tcBorders>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Race / Ethnicity, Veteran,</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Our Board believes a balance of director diversity and tenure is a strategic asset to our investors. See the discussion of Board Compositon on page 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Calibri" w:cs="Calibri" w:eastAsia="Calibri" w:hAnsi="Calibri"/>
                <w:sz w:val="14"/>
                <w:szCs w:val="14"/>
                <w:color w:val="auto"/>
              </w:rPr>
              <w:t>Gender, Age, Tenure</w:t>
            </w:r>
          </w:p>
        </w:tc>
        <w:tc>
          <w:tcPr>
            <w:tcW w:w="9000" w:type="dxa"/>
            <w:vAlign w:val="bottom"/>
          </w:tcPr>
          <w:p>
            <w:pPr>
              <w:ind w:left="100"/>
              <w:spacing w:after="0"/>
              <w:rPr>
                <w:sz w:val="20"/>
                <w:szCs w:val="20"/>
                <w:color w:val="auto"/>
              </w:rPr>
            </w:pPr>
            <w:r>
              <w:rPr>
                <w:rFonts w:ascii="Calibri" w:cs="Calibri" w:eastAsia="Calibri" w:hAnsi="Calibri"/>
                <w:sz w:val="14"/>
                <w:szCs w:val="14"/>
                <w:color w:val="auto"/>
              </w:rPr>
              <w:t>Directors who are veterans of the U.S. Armed Forces also contribute to an understanding of our customers and mission.</w:t>
            </w:r>
          </w:p>
        </w:tc>
        <w:tc>
          <w:tcPr>
            <w:tcW w:w="0" w:type="dxa"/>
            <w:vAlign w:val="bottom"/>
          </w:tcPr>
          <w:p>
            <w:pPr>
              <w:spacing w:after="0"/>
              <w:rPr>
                <w:sz w:val="1"/>
                <w:szCs w:val="1"/>
                <w:color w:val="auto"/>
              </w:rPr>
            </w:pPr>
          </w:p>
        </w:tc>
      </w:tr>
      <w:tr>
        <w:trPr>
          <w:trHeight w:val="398"/>
        </w:trPr>
        <w:tc>
          <w:tcPr>
            <w:tcW w:w="20" w:type="dxa"/>
            <w:vAlign w:val="bottom"/>
            <w:tcBorders>
              <w:bottom w:val="single" w:sz="8" w:color="003478"/>
            </w:tcBorders>
          </w:tcPr>
          <w:p>
            <w:pPr>
              <w:spacing w:after="0"/>
              <w:rPr>
                <w:sz w:val="24"/>
                <w:szCs w:val="24"/>
                <w:color w:val="auto"/>
              </w:rPr>
            </w:pPr>
          </w:p>
        </w:tc>
        <w:tc>
          <w:tcPr>
            <w:tcW w:w="1640" w:type="dxa"/>
            <w:vAlign w:val="bottom"/>
            <w:tcBorders>
              <w:bottom w:val="single" w:sz="8" w:color="003478"/>
            </w:tcBorders>
          </w:tcPr>
          <w:p>
            <w:pPr>
              <w:spacing w:after="0"/>
              <w:rPr>
                <w:sz w:val="24"/>
                <w:szCs w:val="24"/>
                <w:color w:val="auto"/>
              </w:rPr>
            </w:pPr>
          </w:p>
        </w:tc>
        <w:tc>
          <w:tcPr>
            <w:tcW w:w="9000" w:type="dxa"/>
            <w:vAlign w:val="bottom"/>
            <w:tcBorders>
              <w:bottom w:val="single" w:sz="8" w:color="003478"/>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230" w:right="31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9340" w:val="left"/>
          <w:tab w:leader="none" w:pos="1112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8"/>
          <w:szCs w:val="28"/>
          <w:color w:val="003478"/>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40575" cy="3549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0575" cy="3549015"/>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Arial" w:cs="Arial" w:eastAsia="Arial" w:hAnsi="Arial"/>
          <w:sz w:val="18"/>
          <w:szCs w:val="18"/>
          <w:color w:val="003478"/>
        </w:rPr>
        <w:t>Daniel F. Akerson</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Age 74</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Director since 2014</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Independent Lead Director</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spacing w:after="0" w:line="31" w:lineRule="exact"/>
        <w:rPr>
          <w:sz w:val="20"/>
          <w:szCs w:val="20"/>
          <w:color w:val="auto"/>
        </w:rPr>
      </w:pPr>
    </w:p>
    <w:p>
      <w:pPr>
        <w:ind w:left="220" w:right="120"/>
        <w:spacing w:after="0" w:line="288" w:lineRule="auto"/>
        <w:rPr>
          <w:sz w:val="20"/>
          <w:szCs w:val="20"/>
          <w:color w:val="auto"/>
        </w:rPr>
      </w:pPr>
      <w:r>
        <w:rPr>
          <w:rFonts w:ascii="Arial" w:cs="Arial" w:eastAsia="Arial" w:hAnsi="Arial"/>
          <w:sz w:val="16"/>
          <w:szCs w:val="16"/>
          <w:color w:val="003478"/>
        </w:rPr>
        <w:t>Nominating and Corporate Governance, Chair</w:t>
      </w:r>
    </w:p>
    <w:p>
      <w:pPr>
        <w:spacing w:after="0" w:line="59" w:lineRule="exact"/>
        <w:rPr>
          <w:sz w:val="20"/>
          <w:szCs w:val="20"/>
          <w:color w:val="auto"/>
        </w:rPr>
      </w:pPr>
    </w:p>
    <w:p>
      <w:pPr>
        <w:ind w:left="220" w:right="500"/>
        <w:spacing w:after="0" w:line="304" w:lineRule="auto"/>
        <w:rPr>
          <w:sz w:val="20"/>
          <w:szCs w:val="20"/>
          <w:color w:val="auto"/>
        </w:rPr>
      </w:pPr>
      <w:r>
        <w:rPr>
          <w:rFonts w:ascii="Arial" w:cs="Arial" w:eastAsia="Arial" w:hAnsi="Arial"/>
          <w:sz w:val="16"/>
          <w:szCs w:val="16"/>
          <w:color w:val="003478"/>
        </w:rPr>
        <w:t>Other Public Boards* NOVONIX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003478"/>
        </w:rPr>
        <w:t>Biography</w:t>
      </w:r>
    </w:p>
    <w:p>
      <w:pPr>
        <w:spacing w:after="0" w:line="31" w:lineRule="exact"/>
        <w:rPr>
          <w:sz w:val="20"/>
          <w:szCs w:val="20"/>
          <w:color w:val="auto"/>
        </w:rPr>
      </w:pPr>
    </w:p>
    <w:p>
      <w:pPr>
        <w:spacing w:after="0" w:line="244" w:lineRule="auto"/>
        <w:rPr>
          <w:sz w:val="20"/>
          <w:szCs w:val="20"/>
          <w:color w:val="auto"/>
        </w:rPr>
      </w:pPr>
      <w:r>
        <w:rPr>
          <w:rFonts w:ascii="Calibri" w:cs="Calibri" w:eastAsia="Calibri" w:hAnsi="Calibri"/>
          <w:sz w:val="17"/>
          <w:szCs w:val="17"/>
          <w:color w:val="auto"/>
        </w:rPr>
        <w:t>Vice Chairman of The Carlyle Group from March 2014 to December 2015. Mr. Akerson was Chairman of the Board of Directors and Chief Executve Ofcer of General Motors Company from January 2011 untl his retrement in January 2014. Prior to joining General Motors, he was a Managing Director of The Carlyle Group, serving as the Head of Global Buyout from July 2009 to August 2010 and as Co-Head of U.S. Buyout from June 2003 to June 2009. Mr. Akerson previously served as Chairman of the U.S. Naval Academy Foundaton from 2015 untl 2021 and served on the board of directors of KLDiscovery Inc. from December 2019 untl January 2020 and CommScope Holding Company, Inc. from April 2019 untl December 2020.</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002E6D"/>
        </w:rPr>
        <w:t>Experience, Strategic Skills and Core Competencies</w:t>
      </w:r>
    </w:p>
    <w:p>
      <w:pPr>
        <w:spacing w:after="0" w:line="16" w:lineRule="exact"/>
        <w:rPr>
          <w:sz w:val="20"/>
          <w:szCs w:val="20"/>
          <w:color w:val="auto"/>
        </w:rPr>
      </w:pPr>
    </w:p>
    <w:p>
      <w:pPr>
        <w:ind w:left="140" w:hanging="131"/>
        <w:spacing w:after="0"/>
        <w:tabs>
          <w:tab w:leader="none" w:pos="140" w:val="left"/>
        </w:tabs>
        <w:numPr>
          <w:ilvl w:val="0"/>
          <w:numId w:val="13"/>
        </w:numPr>
        <w:rPr>
          <w:rFonts w:ascii="Arial" w:cs="Arial" w:eastAsia="Arial" w:hAnsi="Arial"/>
          <w:sz w:val="17"/>
          <w:szCs w:val="17"/>
          <w:color w:val="002E6D"/>
        </w:rPr>
      </w:pPr>
      <w:r>
        <w:rPr>
          <w:rFonts w:ascii="Calibri" w:cs="Calibri" w:eastAsia="Calibri" w:hAnsi="Calibri"/>
          <w:sz w:val="17"/>
          <w:szCs w:val="17"/>
          <w:color w:val="auto"/>
        </w:rPr>
        <w:t>Core leadership skills and experience with the demands and challenges of the global marketplace</w:t>
      </w:r>
    </w:p>
    <w:p>
      <w:pPr>
        <w:spacing w:after="0" w:line="65" w:lineRule="exact"/>
        <w:rPr>
          <w:rFonts w:ascii="Arial" w:cs="Arial" w:eastAsia="Arial" w:hAnsi="Arial"/>
          <w:sz w:val="17"/>
          <w:szCs w:val="17"/>
          <w:color w:val="002E6D"/>
        </w:rPr>
      </w:pPr>
    </w:p>
    <w:p>
      <w:pPr>
        <w:ind w:left="180" w:right="480" w:hanging="171"/>
        <w:spacing w:after="0" w:line="245" w:lineRule="auto"/>
        <w:tabs>
          <w:tab w:leader="none" w:pos="173" w:val="left"/>
        </w:tabs>
        <w:numPr>
          <w:ilvl w:val="0"/>
          <w:numId w:val="13"/>
        </w:numPr>
        <w:rPr>
          <w:rFonts w:ascii="Calibri" w:cs="Calibri" w:eastAsia="Calibri" w:hAnsi="Calibri"/>
          <w:sz w:val="17"/>
          <w:szCs w:val="17"/>
          <w:color w:val="002E6D"/>
        </w:rPr>
      </w:pPr>
      <w:r>
        <w:rPr>
          <w:rFonts w:ascii="Calibri" w:cs="Calibri" w:eastAsia="Calibri" w:hAnsi="Calibri"/>
          <w:sz w:val="17"/>
          <w:szCs w:val="17"/>
          <w:color w:val="auto"/>
        </w:rPr>
        <w:t>Extensive operatng, marketng and senior management experience in a succession of major companies in challenging, highly compettve industries</w:t>
      </w:r>
    </w:p>
    <w:p>
      <w:pPr>
        <w:spacing w:after="0" w:line="58" w:lineRule="exact"/>
        <w:rPr>
          <w:rFonts w:ascii="Calibri" w:cs="Calibri" w:eastAsia="Calibri" w:hAnsi="Calibri"/>
          <w:sz w:val="17"/>
          <w:szCs w:val="17"/>
          <w:color w:val="002E6D"/>
        </w:rPr>
      </w:pPr>
    </w:p>
    <w:p>
      <w:pPr>
        <w:ind w:left="160" w:hanging="151"/>
        <w:spacing w:after="0"/>
        <w:tabs>
          <w:tab w:leader="none" w:pos="160" w:val="left"/>
        </w:tabs>
        <w:numPr>
          <w:ilvl w:val="0"/>
          <w:numId w:val="13"/>
        </w:numPr>
        <w:rPr>
          <w:rFonts w:ascii="Calibri" w:cs="Calibri" w:eastAsia="Calibri" w:hAnsi="Calibri"/>
          <w:sz w:val="17"/>
          <w:szCs w:val="17"/>
          <w:color w:val="002E6D"/>
        </w:rPr>
      </w:pPr>
      <w:r>
        <w:rPr>
          <w:rFonts w:ascii="Calibri" w:cs="Calibri" w:eastAsia="Calibri" w:hAnsi="Calibri"/>
          <w:sz w:val="17"/>
          <w:szCs w:val="17"/>
          <w:color w:val="auto"/>
        </w:rPr>
        <w:t>Enterprise risk management, fnancial, investment and mergers and acquisitons expertse</w:t>
      </w:r>
    </w:p>
    <w:p>
      <w:pPr>
        <w:spacing w:after="0" w:line="200" w:lineRule="exact"/>
        <w:rPr>
          <w:sz w:val="20"/>
          <w:szCs w:val="20"/>
          <w:color w:val="auto"/>
        </w:rPr>
      </w:pPr>
    </w:p>
    <w:p>
      <w:pPr>
        <w:spacing w:after="0" w:line="35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320" w:type="dxa"/>
            <w:vAlign w:val="bottom"/>
          </w:tcPr>
          <w:p>
            <w:pPr>
              <w:spacing w:after="0"/>
              <w:rPr>
                <w:sz w:val="20"/>
                <w:szCs w:val="20"/>
                <w:color w:val="auto"/>
              </w:rPr>
            </w:pPr>
            <w:r>
              <w:rPr>
                <w:rFonts w:ascii="Calibri" w:cs="Calibri" w:eastAsia="Calibri" w:hAnsi="Calibri"/>
                <w:sz w:val="14"/>
                <w:szCs w:val="14"/>
                <w:color w:val="auto"/>
              </w:rPr>
              <w:t>21st Century Security / Defense</w:t>
            </w:r>
          </w:p>
        </w:tc>
        <w:tc>
          <w:tcPr>
            <w:tcW w:w="2880" w:type="dxa"/>
            <w:vAlign w:val="bottom"/>
            <w:vMerge w:val="restart"/>
          </w:tcPr>
          <w:p>
            <w:pPr>
              <w:ind w:left="420"/>
              <w:spacing w:after="0"/>
              <w:rPr>
                <w:sz w:val="20"/>
                <w:szCs w:val="20"/>
                <w:color w:val="auto"/>
              </w:rPr>
            </w:pPr>
            <w:r>
              <w:rPr>
                <w:rFonts w:ascii="Calibri" w:cs="Calibri" w:eastAsia="Calibri" w:hAnsi="Calibri"/>
                <w:sz w:val="14"/>
                <w:szCs w:val="14"/>
                <w:color w:val="auto"/>
              </w:rPr>
              <w:t>Business and Digital Transformaton</w:t>
            </w:r>
          </w:p>
        </w:tc>
        <w:tc>
          <w:tcPr>
            <w:tcW w:w="2440" w:type="dxa"/>
            <w:vAlign w:val="bottom"/>
          </w:tcPr>
          <w:p>
            <w:pPr>
              <w:ind w:left="320"/>
              <w:spacing w:after="0"/>
              <w:rPr>
                <w:sz w:val="20"/>
                <w:szCs w:val="20"/>
                <w:color w:val="auto"/>
              </w:rPr>
            </w:pPr>
            <w:r>
              <w:rPr>
                <w:rFonts w:ascii="Calibri" w:cs="Calibri" w:eastAsia="Calibri" w:hAnsi="Calibri"/>
                <w:sz w:val="14"/>
                <w:szCs w:val="14"/>
                <w:color w:val="auto"/>
              </w:rPr>
              <w:t>Business Model / Commercial</w:t>
            </w:r>
          </w:p>
        </w:tc>
        <w:tc>
          <w:tcPr>
            <w:tcW w:w="0" w:type="dxa"/>
            <w:vAlign w:val="bottom"/>
          </w:tcPr>
          <w:p>
            <w:pPr>
              <w:spacing w:after="0"/>
              <w:rPr>
                <w:sz w:val="1"/>
                <w:szCs w:val="1"/>
                <w:color w:val="auto"/>
              </w:rPr>
            </w:pPr>
          </w:p>
        </w:tc>
      </w:tr>
      <w:tr>
        <w:trPr>
          <w:trHeight w:val="94"/>
        </w:trPr>
        <w:tc>
          <w:tcPr>
            <w:tcW w:w="2320" w:type="dxa"/>
            <w:vAlign w:val="bottom"/>
            <w:vMerge w:val="restart"/>
          </w:tcPr>
          <w:p>
            <w:pPr>
              <w:spacing w:after="0"/>
              <w:rPr>
                <w:sz w:val="20"/>
                <w:szCs w:val="20"/>
                <w:color w:val="auto"/>
              </w:rPr>
            </w:pPr>
            <w:r>
              <w:rPr>
                <w:rFonts w:ascii="Calibri" w:cs="Calibri" w:eastAsia="Calibri" w:hAnsi="Calibri"/>
                <w:sz w:val="14"/>
                <w:szCs w:val="14"/>
                <w:color w:val="auto"/>
              </w:rPr>
              <w:t>Industry Transformaton</w:t>
            </w:r>
          </w:p>
        </w:tc>
        <w:tc>
          <w:tcPr>
            <w:tcW w:w="2880" w:type="dxa"/>
            <w:vAlign w:val="bottom"/>
            <w:vMerge w:val="continue"/>
          </w:tcPr>
          <w:p>
            <w:pPr>
              <w:spacing w:after="0"/>
              <w:rPr>
                <w:sz w:val="8"/>
                <w:szCs w:val="8"/>
                <w:color w:val="auto"/>
              </w:rPr>
            </w:pPr>
          </w:p>
        </w:tc>
        <w:tc>
          <w:tcPr>
            <w:tcW w:w="2440" w:type="dxa"/>
            <w:vAlign w:val="bottom"/>
            <w:vMerge w:val="restart"/>
          </w:tcPr>
          <w:p>
            <w:pPr>
              <w:ind w:left="320"/>
              <w:spacing w:after="0"/>
              <w:rPr>
                <w:sz w:val="20"/>
                <w:szCs w:val="20"/>
                <w:color w:val="auto"/>
              </w:rPr>
            </w:pPr>
            <w:r>
              <w:rPr>
                <w:rFonts w:ascii="Calibri" w:cs="Calibri" w:eastAsia="Calibri" w:hAnsi="Calibri"/>
                <w:sz w:val="14"/>
                <w:szCs w:val="14"/>
                <w:color w:val="auto"/>
              </w:rPr>
              <w:t>Partnerships</w:t>
            </w:r>
          </w:p>
        </w:tc>
        <w:tc>
          <w:tcPr>
            <w:tcW w:w="0" w:type="dxa"/>
            <w:vAlign w:val="bottom"/>
          </w:tcPr>
          <w:p>
            <w:pPr>
              <w:spacing w:after="0"/>
              <w:rPr>
                <w:sz w:val="1"/>
                <w:szCs w:val="1"/>
                <w:color w:val="auto"/>
              </w:rPr>
            </w:pPr>
          </w:p>
        </w:tc>
      </w:tr>
      <w:tr>
        <w:trPr>
          <w:trHeight w:val="81"/>
        </w:trPr>
        <w:tc>
          <w:tcPr>
            <w:tcW w:w="2320" w:type="dxa"/>
            <w:vAlign w:val="bottom"/>
            <w:vMerge w:val="continue"/>
          </w:tcPr>
          <w:p>
            <w:pPr>
              <w:spacing w:after="0"/>
              <w:rPr>
                <w:sz w:val="7"/>
                <w:szCs w:val="7"/>
                <w:color w:val="auto"/>
              </w:rPr>
            </w:pPr>
          </w:p>
        </w:tc>
        <w:tc>
          <w:tcPr>
            <w:tcW w:w="288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0"/>
                <w:szCs w:val="20"/>
                <w:color w:val="auto"/>
              </w:rPr>
            </w:pPr>
            <w:r>
              <w:rPr>
                <w:rFonts w:ascii="Calibri" w:cs="Calibri" w:eastAsia="Calibri" w:hAnsi="Calibri"/>
                <w:sz w:val="14"/>
                <w:szCs w:val="14"/>
                <w:color w:val="auto"/>
              </w:rPr>
              <w:t>CEO Leadership</w:t>
            </w:r>
          </w:p>
        </w:tc>
        <w:tc>
          <w:tcPr>
            <w:tcW w:w="2880" w:type="dxa"/>
            <w:vAlign w:val="bottom"/>
          </w:tcPr>
          <w:p>
            <w:pPr>
              <w:ind w:left="420"/>
              <w:spacing w:after="0"/>
              <w:rPr>
                <w:sz w:val="20"/>
                <w:szCs w:val="20"/>
                <w:color w:val="auto"/>
              </w:rPr>
            </w:pPr>
            <w:r>
              <w:rPr>
                <w:rFonts w:ascii="Calibri" w:cs="Calibri" w:eastAsia="Calibri" w:hAnsi="Calibri"/>
                <w:sz w:val="14"/>
                <w:szCs w:val="14"/>
                <w:color w:val="auto"/>
              </w:rPr>
              <w:t>Environment, Social and Governance</w:t>
            </w:r>
          </w:p>
        </w:tc>
        <w:tc>
          <w:tcPr>
            <w:tcW w:w="2440" w:type="dxa"/>
            <w:vAlign w:val="bottom"/>
            <w:vMerge w:val="restart"/>
          </w:tcPr>
          <w:p>
            <w:pPr>
              <w:ind w:left="320"/>
              <w:spacing w:after="0"/>
              <w:rPr>
                <w:sz w:val="20"/>
                <w:szCs w:val="20"/>
                <w:color w:val="auto"/>
              </w:rPr>
            </w:pPr>
            <w:r>
              <w:rPr>
                <w:rFonts w:ascii="Calibri" w:cs="Calibri" w:eastAsia="Calibri" w:hAnsi="Calibri"/>
                <w:sz w:val="14"/>
                <w:szCs w:val="14"/>
                <w:color w:val="auto"/>
              </w:rPr>
              <w:t>Financial Expertse</w:t>
            </w:r>
          </w:p>
        </w:tc>
        <w:tc>
          <w:tcPr>
            <w:tcW w:w="0" w:type="dxa"/>
            <w:vAlign w:val="bottom"/>
          </w:tcPr>
          <w:p>
            <w:pPr>
              <w:spacing w:after="0"/>
              <w:rPr>
                <w:sz w:val="1"/>
                <w:szCs w:val="1"/>
                <w:color w:val="auto"/>
              </w:rPr>
            </w:pPr>
          </w:p>
        </w:tc>
      </w:tr>
      <w:tr>
        <w:trPr>
          <w:trHeight w:val="95"/>
        </w:trPr>
        <w:tc>
          <w:tcPr>
            <w:tcW w:w="2320" w:type="dxa"/>
            <w:vAlign w:val="bottom"/>
            <w:vMerge w:val="restart"/>
          </w:tcPr>
          <w:p>
            <w:pPr>
              <w:spacing w:after="0"/>
              <w:rPr>
                <w:sz w:val="20"/>
                <w:szCs w:val="20"/>
                <w:color w:val="auto"/>
              </w:rPr>
            </w:pPr>
            <w:r>
              <w:rPr>
                <w:rFonts w:ascii="Calibri" w:cs="Calibri" w:eastAsia="Calibri" w:hAnsi="Calibri"/>
                <w:sz w:val="14"/>
                <w:szCs w:val="14"/>
                <w:color w:val="auto"/>
              </w:rPr>
              <w:t>Experience</w:t>
            </w:r>
          </w:p>
        </w:tc>
        <w:tc>
          <w:tcPr>
            <w:tcW w:w="2880" w:type="dxa"/>
            <w:vAlign w:val="bottom"/>
            <w:vMerge w:val="restart"/>
          </w:tcPr>
          <w:p>
            <w:pPr>
              <w:ind w:left="420"/>
              <w:spacing w:after="0"/>
              <w:rPr>
                <w:sz w:val="20"/>
                <w:szCs w:val="20"/>
                <w:color w:val="auto"/>
              </w:rPr>
            </w:pPr>
            <w:r>
              <w:rPr>
                <w:rFonts w:ascii="Calibri" w:cs="Calibri" w:eastAsia="Calibri" w:hAnsi="Calibri"/>
                <w:sz w:val="14"/>
                <w:szCs w:val="14"/>
                <w:color w:val="auto"/>
              </w:rPr>
              <w:t>Expertse</w:t>
            </w: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20" w:type="dxa"/>
            <w:vAlign w:val="bottom"/>
            <w:vMerge w:val="continue"/>
          </w:tcPr>
          <w:p>
            <w:pPr>
              <w:spacing w:after="0"/>
              <w:rPr>
                <w:sz w:val="7"/>
                <w:szCs w:val="7"/>
                <w:color w:val="auto"/>
              </w:rPr>
            </w:pPr>
          </w:p>
        </w:tc>
        <w:tc>
          <w:tcPr>
            <w:tcW w:w="288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320" w:type="dxa"/>
            <w:vAlign w:val="bottom"/>
          </w:tcPr>
          <w:p>
            <w:pPr>
              <w:spacing w:after="0"/>
              <w:rPr>
                <w:sz w:val="20"/>
                <w:szCs w:val="20"/>
                <w:color w:val="auto"/>
              </w:rPr>
            </w:pPr>
            <w:r>
              <w:rPr>
                <w:rFonts w:ascii="Calibri" w:cs="Calibri" w:eastAsia="Calibri" w:hAnsi="Calibri"/>
                <w:sz w:val="14"/>
                <w:szCs w:val="14"/>
                <w:color w:val="auto"/>
              </w:rPr>
              <w:t>Internatonal Business Expansion</w:t>
            </w:r>
          </w:p>
        </w:tc>
        <w:tc>
          <w:tcPr>
            <w:tcW w:w="2880" w:type="dxa"/>
            <w:vAlign w:val="bottom"/>
          </w:tcPr>
          <w:p>
            <w:pPr>
              <w:ind w:left="420"/>
              <w:spacing w:after="0"/>
              <w:rPr>
                <w:sz w:val="20"/>
                <w:szCs w:val="20"/>
                <w:color w:val="auto"/>
              </w:rPr>
            </w:pPr>
            <w:r>
              <w:rPr>
                <w:rFonts w:ascii="Calibri" w:cs="Calibri" w:eastAsia="Calibri" w:hAnsi="Calibri"/>
                <w:sz w:val="14"/>
                <w:szCs w:val="14"/>
                <w:color w:val="auto"/>
              </w:rPr>
              <w:t>M&amp;A Expertse</w:t>
            </w:r>
          </w:p>
        </w:tc>
        <w:tc>
          <w:tcPr>
            <w:tcW w:w="2440" w:type="dxa"/>
            <w:vAlign w:val="bottom"/>
          </w:tcPr>
          <w:p>
            <w:pPr>
              <w:ind w:left="320"/>
              <w:spacing w:after="0"/>
              <w:rPr>
                <w:sz w:val="20"/>
                <w:szCs w:val="20"/>
                <w:color w:val="auto"/>
              </w:rPr>
            </w:pPr>
            <w:r>
              <w:rPr>
                <w:rFonts w:ascii="Calibri" w:cs="Calibri" w:eastAsia="Calibri" w:hAnsi="Calibri"/>
                <w:sz w:val="14"/>
                <w:szCs w:val="14"/>
                <w:color w:val="auto"/>
              </w:rPr>
              <w:t>Operatonal Executon and Efciency</w:t>
            </w:r>
          </w:p>
        </w:tc>
        <w:tc>
          <w:tcPr>
            <w:tcW w:w="0" w:type="dxa"/>
            <w:vAlign w:val="bottom"/>
          </w:tcPr>
          <w:p>
            <w:pPr>
              <w:spacing w:after="0"/>
              <w:rPr>
                <w:sz w:val="1"/>
                <w:szCs w:val="1"/>
                <w:color w:val="auto"/>
              </w:rPr>
            </w:pPr>
          </w:p>
        </w:tc>
      </w:tr>
      <w:tr>
        <w:trPr>
          <w:trHeight w:val="418"/>
        </w:trPr>
        <w:tc>
          <w:tcPr>
            <w:tcW w:w="2320" w:type="dxa"/>
            <w:vAlign w:val="bottom"/>
          </w:tcPr>
          <w:p>
            <w:pPr>
              <w:spacing w:after="0"/>
              <w:rPr>
                <w:sz w:val="20"/>
                <w:szCs w:val="20"/>
                <w:color w:val="auto"/>
              </w:rPr>
            </w:pPr>
            <w:r>
              <w:rPr>
                <w:rFonts w:ascii="Calibri" w:cs="Calibri" w:eastAsia="Calibri" w:hAnsi="Calibri"/>
                <w:sz w:val="14"/>
                <w:szCs w:val="14"/>
                <w:color w:val="auto"/>
              </w:rPr>
              <w:t>Supply Chain Excellence</w:t>
            </w:r>
          </w:p>
        </w:tc>
        <w:tc>
          <w:tcPr>
            <w:tcW w:w="2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415290</wp:posOffset>
            </wp:positionV>
            <wp:extent cx="7140575" cy="32486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0575" cy="32486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160"/>
          </w:cols>
          <w:pgMar w:left="320" w:top="23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Arial" w:cs="Arial" w:eastAsia="Arial" w:hAnsi="Arial"/>
          <w:sz w:val="18"/>
          <w:szCs w:val="18"/>
          <w:color w:val="003478"/>
        </w:rPr>
        <w:t>David B. Burritt</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Age 67</w:t>
      </w:r>
    </w:p>
    <w:p>
      <w:pPr>
        <w:spacing w:after="0" w:line="127" w:lineRule="exact"/>
        <w:rPr>
          <w:sz w:val="20"/>
          <w:szCs w:val="20"/>
          <w:color w:val="auto"/>
        </w:rPr>
      </w:pPr>
    </w:p>
    <w:p>
      <w:pPr>
        <w:ind w:left="220" w:right="495"/>
        <w:spacing w:after="0" w:line="304" w:lineRule="auto"/>
        <w:rPr>
          <w:sz w:val="20"/>
          <w:szCs w:val="20"/>
          <w:color w:val="auto"/>
        </w:rPr>
      </w:pPr>
      <w:r>
        <w:rPr>
          <w:rFonts w:ascii="Arial" w:cs="Arial" w:eastAsia="Arial" w:hAnsi="Arial"/>
          <w:sz w:val="16"/>
          <w:szCs w:val="16"/>
          <w:color w:val="003478"/>
        </w:rPr>
        <w:t>Director since 2008 Independent Director</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Audit; Nominating and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Corporate Governance</w:t>
      </w:r>
    </w:p>
    <w:p>
      <w:pPr>
        <w:spacing w:after="0" w:line="114" w:lineRule="exact"/>
        <w:rPr>
          <w:sz w:val="20"/>
          <w:szCs w:val="20"/>
          <w:color w:val="auto"/>
        </w:rPr>
      </w:pPr>
    </w:p>
    <w:p>
      <w:pPr>
        <w:ind w:left="220" w:right="495"/>
        <w:spacing w:after="0" w:line="304" w:lineRule="auto"/>
        <w:rPr>
          <w:sz w:val="20"/>
          <w:szCs w:val="20"/>
          <w:color w:val="auto"/>
        </w:rPr>
      </w:pPr>
      <w:r>
        <w:rPr>
          <w:rFonts w:ascii="Arial" w:cs="Arial" w:eastAsia="Arial" w:hAnsi="Arial"/>
          <w:sz w:val="16"/>
          <w:szCs w:val="16"/>
          <w:color w:val="003478"/>
        </w:rPr>
        <w:t>Other Public Boards* U.S. Steel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31" w:lineRule="exact"/>
        <w:rPr>
          <w:sz w:val="20"/>
          <w:szCs w:val="20"/>
          <w:color w:val="auto"/>
        </w:rPr>
      </w:pPr>
    </w:p>
    <w:p>
      <w:pPr>
        <w:ind w:left="5" w:right="100"/>
        <w:spacing w:after="0" w:line="243" w:lineRule="auto"/>
        <w:rPr>
          <w:sz w:val="20"/>
          <w:szCs w:val="20"/>
          <w:color w:val="auto"/>
        </w:rPr>
      </w:pPr>
      <w:r>
        <w:rPr>
          <w:rFonts w:ascii="Calibri" w:cs="Calibri" w:eastAsia="Calibri" w:hAnsi="Calibri"/>
          <w:sz w:val="17"/>
          <w:szCs w:val="17"/>
          <w:color w:val="auto"/>
        </w:rPr>
        <w:t>President and Chief Executve Ofcer of United States Steel Corporaton (U.S. Steel) since May 2017. Mr. Burrit was also named to U.S. Steel’s board of directors at that tme. Mr. Burrit previously served as President and Chief Operatng Ofcer of U.S. Steel from February 2017 to May 2017; Chief Financial Ofcer from September 2013 to May 2017; and Executve Vice President from September 2013 to February 2017. Prior to joining U.S. Steel, Mr. Burrit served as Chief Financial Ofcer of Caterpillar Inc. untl his retrement in 2010, afer more than 32 years with the company.</w:t>
      </w:r>
    </w:p>
    <w:p>
      <w:pPr>
        <w:spacing w:after="0" w:line="118" w:lineRule="exact"/>
        <w:rPr>
          <w:sz w:val="20"/>
          <w:szCs w:val="20"/>
          <w:color w:val="auto"/>
        </w:rPr>
      </w:pPr>
    </w:p>
    <w:p>
      <w:pPr>
        <w:ind w:left="5"/>
        <w:spacing w:after="0"/>
        <w:rPr>
          <w:sz w:val="20"/>
          <w:szCs w:val="20"/>
          <w:color w:val="auto"/>
        </w:rPr>
      </w:pPr>
      <w:r>
        <w:rPr>
          <w:rFonts w:ascii="Arial" w:cs="Arial" w:eastAsia="Arial" w:hAnsi="Arial"/>
          <w:sz w:val="16"/>
          <w:szCs w:val="16"/>
          <w:color w:val="002E6D"/>
        </w:rPr>
        <w:t>Experience, Strategic Skills and Core Competencies</w:t>
      </w:r>
    </w:p>
    <w:p>
      <w:pPr>
        <w:spacing w:after="0" w:line="32" w:lineRule="exact"/>
        <w:rPr>
          <w:sz w:val="20"/>
          <w:szCs w:val="20"/>
          <w:color w:val="auto"/>
        </w:rPr>
      </w:pPr>
    </w:p>
    <w:p>
      <w:pPr>
        <w:ind w:left="165" w:right="80" w:hanging="165"/>
        <w:spacing w:after="0" w:line="247" w:lineRule="auto"/>
        <w:tabs>
          <w:tab w:leader="none" w:pos="130" w:val="left"/>
        </w:tabs>
        <w:numPr>
          <w:ilvl w:val="0"/>
          <w:numId w:val="14"/>
        </w:numPr>
        <w:rPr>
          <w:rFonts w:ascii="Arial" w:cs="Arial" w:eastAsia="Arial" w:hAnsi="Arial"/>
          <w:sz w:val="17"/>
          <w:szCs w:val="17"/>
          <w:color w:val="002E6D"/>
        </w:rPr>
      </w:pPr>
      <w:r>
        <w:rPr>
          <w:rFonts w:ascii="Calibri" w:cs="Calibri" w:eastAsia="Calibri" w:hAnsi="Calibri"/>
          <w:sz w:val="17"/>
          <w:szCs w:val="17"/>
          <w:color w:val="auto"/>
        </w:rPr>
        <w:t>Expertse in public company accountng, risk management, disclosure, fnancial system management, manufacturing and commercial operatons and business transformaton from roles as CEO and CFO at U.S. Steel and CFO and Controller at Caterpillar Inc.</w:t>
      </w:r>
    </w:p>
    <w:p>
      <w:pPr>
        <w:spacing w:after="0" w:line="61" w:lineRule="exact"/>
        <w:rPr>
          <w:rFonts w:ascii="Arial" w:cs="Arial" w:eastAsia="Arial" w:hAnsi="Arial"/>
          <w:sz w:val="17"/>
          <w:szCs w:val="17"/>
          <w:color w:val="002E6D"/>
        </w:rPr>
      </w:pPr>
    </w:p>
    <w:p>
      <w:pPr>
        <w:ind w:left="165" w:right="80" w:hanging="165"/>
        <w:spacing w:after="0" w:line="235" w:lineRule="auto"/>
        <w:tabs>
          <w:tab w:leader="none" w:pos="157" w:val="left"/>
        </w:tabs>
        <w:numPr>
          <w:ilvl w:val="0"/>
          <w:numId w:val="14"/>
        </w:numPr>
        <w:rPr>
          <w:rFonts w:ascii="Calibri" w:cs="Calibri" w:eastAsia="Calibri" w:hAnsi="Calibri"/>
          <w:sz w:val="17"/>
          <w:szCs w:val="17"/>
          <w:color w:val="002E6D"/>
        </w:rPr>
      </w:pPr>
      <w:r>
        <w:rPr>
          <w:rFonts w:ascii="Calibri" w:cs="Calibri" w:eastAsia="Calibri" w:hAnsi="Calibri"/>
          <w:sz w:val="17"/>
          <w:szCs w:val="17"/>
          <w:color w:val="auto"/>
        </w:rPr>
        <w:t>Over 40 years’ experience with the demands and challenges of the global marketplace from his positons at U.S. Steel and Caterpillar Inc.</w:t>
      </w:r>
    </w:p>
    <w:p>
      <w:pPr>
        <w:spacing w:after="0" w:line="200" w:lineRule="exact"/>
        <w:rPr>
          <w:sz w:val="20"/>
          <w:szCs w:val="20"/>
          <w:color w:val="auto"/>
        </w:rPr>
      </w:pPr>
    </w:p>
    <w:p>
      <w:pPr>
        <w:spacing w:after="0" w:line="256" w:lineRule="exact"/>
        <w:rPr>
          <w:sz w:val="20"/>
          <w:szCs w:val="20"/>
          <w:color w:val="auto"/>
        </w:rPr>
      </w:pPr>
    </w:p>
    <w:tbl>
      <w:tblPr>
        <w:tblLayout w:type="fixed"/>
        <w:tblInd w:w="445" w:type="dxa"/>
        <w:tblCellMar>
          <w:top w:w="0" w:type="dxa"/>
          <w:left w:w="0" w:type="dxa"/>
          <w:bottom w:w="0" w:type="dxa"/>
          <w:right w:w="0" w:type="dxa"/>
        </w:tblCellMar>
      </w:tblPr>
      <w:tr>
        <w:trPr>
          <w:trHeight w:val="171"/>
        </w:trPr>
        <w:tc>
          <w:tcPr>
            <w:tcW w:w="2260" w:type="dxa"/>
            <w:vAlign w:val="bottom"/>
          </w:tcPr>
          <w:p>
            <w:pPr>
              <w:spacing w:after="0"/>
              <w:rPr>
                <w:sz w:val="20"/>
                <w:szCs w:val="20"/>
                <w:color w:val="auto"/>
              </w:rPr>
            </w:pPr>
            <w:r>
              <w:rPr>
                <w:rFonts w:ascii="Calibri" w:cs="Calibri" w:eastAsia="Calibri" w:hAnsi="Calibri"/>
                <w:sz w:val="14"/>
                <w:szCs w:val="14"/>
                <w:color w:val="auto"/>
              </w:rPr>
              <w:t>Business Model / Commercial</w:t>
            </w:r>
          </w:p>
        </w:tc>
        <w:tc>
          <w:tcPr>
            <w:tcW w:w="2860" w:type="dxa"/>
            <w:vAlign w:val="bottom"/>
          </w:tcPr>
          <w:p>
            <w:pPr>
              <w:ind w:left="500"/>
              <w:spacing w:after="0"/>
              <w:rPr>
                <w:sz w:val="20"/>
                <w:szCs w:val="20"/>
                <w:color w:val="auto"/>
              </w:rPr>
            </w:pPr>
            <w:r>
              <w:rPr>
                <w:rFonts w:ascii="Calibri" w:cs="Calibri" w:eastAsia="Calibri" w:hAnsi="Calibri"/>
                <w:sz w:val="14"/>
                <w:szCs w:val="14"/>
                <w:color w:val="auto"/>
              </w:rPr>
              <w:t>CEO and CFO Leadership</w:t>
            </w:r>
          </w:p>
        </w:tc>
        <w:tc>
          <w:tcPr>
            <w:tcW w:w="2560" w:type="dxa"/>
            <w:vAlign w:val="bottom"/>
          </w:tcPr>
          <w:p>
            <w:pPr>
              <w:ind w:left="420"/>
              <w:spacing w:after="0"/>
              <w:rPr>
                <w:sz w:val="20"/>
                <w:szCs w:val="20"/>
                <w:color w:val="auto"/>
              </w:rPr>
            </w:pPr>
            <w:r>
              <w:rPr>
                <w:rFonts w:ascii="Calibri" w:cs="Calibri" w:eastAsia="Calibri" w:hAnsi="Calibri"/>
                <w:sz w:val="14"/>
                <w:szCs w:val="14"/>
                <w:color w:val="auto"/>
              </w:rPr>
              <w:t>Environment, Social and Governance</w:t>
            </w:r>
          </w:p>
        </w:tc>
      </w:tr>
      <w:tr>
        <w:trPr>
          <w:trHeight w:val="189"/>
        </w:trPr>
        <w:tc>
          <w:tcPr>
            <w:tcW w:w="2260" w:type="dxa"/>
            <w:vAlign w:val="bottom"/>
          </w:tcPr>
          <w:p>
            <w:pPr>
              <w:spacing w:after="0"/>
              <w:rPr>
                <w:sz w:val="20"/>
                <w:szCs w:val="20"/>
                <w:color w:val="auto"/>
              </w:rPr>
            </w:pPr>
            <w:r>
              <w:rPr>
                <w:rFonts w:ascii="Calibri" w:cs="Calibri" w:eastAsia="Calibri" w:hAnsi="Calibri"/>
                <w:sz w:val="14"/>
                <w:szCs w:val="14"/>
                <w:color w:val="auto"/>
              </w:rPr>
              <w:t>Partnerships</w:t>
            </w:r>
          </w:p>
        </w:tc>
        <w:tc>
          <w:tcPr>
            <w:tcW w:w="2860" w:type="dxa"/>
            <w:vAlign w:val="bottom"/>
          </w:tcPr>
          <w:p>
            <w:pPr>
              <w:ind w:left="500"/>
              <w:spacing w:after="0"/>
              <w:rPr>
                <w:sz w:val="20"/>
                <w:szCs w:val="20"/>
                <w:color w:val="auto"/>
              </w:rPr>
            </w:pPr>
            <w:r>
              <w:rPr>
                <w:rFonts w:ascii="Calibri" w:cs="Calibri" w:eastAsia="Calibri" w:hAnsi="Calibri"/>
                <w:sz w:val="14"/>
                <w:szCs w:val="14"/>
                <w:color w:val="auto"/>
              </w:rPr>
              <w:t>Experience</w:t>
            </w:r>
          </w:p>
        </w:tc>
        <w:tc>
          <w:tcPr>
            <w:tcW w:w="2560" w:type="dxa"/>
            <w:vAlign w:val="bottom"/>
          </w:tcPr>
          <w:p>
            <w:pPr>
              <w:ind w:left="420"/>
              <w:spacing w:after="0"/>
              <w:rPr>
                <w:sz w:val="20"/>
                <w:szCs w:val="20"/>
                <w:color w:val="auto"/>
              </w:rPr>
            </w:pPr>
            <w:r>
              <w:rPr>
                <w:rFonts w:ascii="Calibri" w:cs="Calibri" w:eastAsia="Calibri" w:hAnsi="Calibri"/>
                <w:sz w:val="14"/>
                <w:szCs w:val="14"/>
                <w:color w:val="auto"/>
              </w:rPr>
              <w:t>Expertse</w:t>
            </w:r>
          </w:p>
        </w:tc>
      </w:tr>
      <w:tr>
        <w:trPr>
          <w:trHeight w:val="378"/>
        </w:trPr>
        <w:tc>
          <w:tcPr>
            <w:tcW w:w="2260" w:type="dxa"/>
            <w:vAlign w:val="bottom"/>
          </w:tcPr>
          <w:p>
            <w:pPr>
              <w:spacing w:after="0"/>
              <w:rPr>
                <w:sz w:val="20"/>
                <w:szCs w:val="20"/>
                <w:color w:val="auto"/>
              </w:rPr>
            </w:pPr>
            <w:r>
              <w:rPr>
                <w:rFonts w:ascii="Calibri" w:cs="Calibri" w:eastAsia="Calibri" w:hAnsi="Calibri"/>
                <w:sz w:val="14"/>
                <w:szCs w:val="14"/>
                <w:color w:val="auto"/>
              </w:rPr>
              <w:t>Financial Expertse</w:t>
            </w:r>
          </w:p>
        </w:tc>
        <w:tc>
          <w:tcPr>
            <w:tcW w:w="2860" w:type="dxa"/>
            <w:vAlign w:val="bottom"/>
          </w:tcPr>
          <w:p>
            <w:pPr>
              <w:ind w:left="500"/>
              <w:spacing w:after="0"/>
              <w:rPr>
                <w:sz w:val="20"/>
                <w:szCs w:val="20"/>
                <w:color w:val="auto"/>
              </w:rPr>
            </w:pPr>
            <w:r>
              <w:rPr>
                <w:rFonts w:ascii="Calibri" w:cs="Calibri" w:eastAsia="Calibri" w:hAnsi="Calibri"/>
                <w:sz w:val="14"/>
                <w:szCs w:val="14"/>
                <w:color w:val="auto"/>
              </w:rPr>
              <w:t>Internatonal Business Expansion</w:t>
            </w:r>
          </w:p>
        </w:tc>
        <w:tc>
          <w:tcPr>
            <w:tcW w:w="2560" w:type="dxa"/>
            <w:vAlign w:val="bottom"/>
          </w:tcPr>
          <w:p>
            <w:pPr>
              <w:ind w:left="420"/>
              <w:spacing w:after="0"/>
              <w:rPr>
                <w:sz w:val="20"/>
                <w:szCs w:val="20"/>
                <w:color w:val="auto"/>
              </w:rPr>
            </w:pPr>
            <w:r>
              <w:rPr>
                <w:rFonts w:ascii="Calibri" w:cs="Calibri" w:eastAsia="Calibri" w:hAnsi="Calibri"/>
                <w:sz w:val="14"/>
                <w:szCs w:val="14"/>
                <w:color w:val="auto"/>
              </w:rPr>
              <w:t>Operatonal Executon and Efciency</w:t>
            </w:r>
          </w:p>
        </w:tc>
      </w:tr>
      <w:tr>
        <w:trPr>
          <w:trHeight w:val="459"/>
        </w:trPr>
        <w:tc>
          <w:tcPr>
            <w:tcW w:w="2260" w:type="dxa"/>
            <w:vAlign w:val="bottom"/>
          </w:tcPr>
          <w:p>
            <w:pPr>
              <w:spacing w:after="0"/>
              <w:rPr>
                <w:sz w:val="20"/>
                <w:szCs w:val="20"/>
                <w:color w:val="auto"/>
              </w:rPr>
            </w:pPr>
            <w:r>
              <w:rPr>
                <w:rFonts w:ascii="Calibri" w:cs="Calibri" w:eastAsia="Calibri" w:hAnsi="Calibri"/>
                <w:sz w:val="14"/>
                <w:szCs w:val="14"/>
                <w:color w:val="auto"/>
              </w:rPr>
              <w:t>Supply Chain Excellence</w:t>
            </w:r>
          </w:p>
        </w:tc>
        <w:tc>
          <w:tcPr>
            <w:tcW w:w="286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pacing w:after="0" w:line="307" w:lineRule="exact"/>
        <w:rPr>
          <w:sz w:val="20"/>
          <w:szCs w:val="20"/>
          <w:color w:val="auto"/>
        </w:rPr>
      </w:pPr>
    </w:p>
    <w:p>
      <w:pPr>
        <w:sectPr>
          <w:pgSz w:w="11900" w:h="16838" w:orient="portrait"/>
          <w:cols w:equalWidth="0" w:num="2">
            <w:col w:w="2235" w:space="720"/>
            <w:col w:w="8165"/>
          </w:cols>
          <w:pgMar w:left="320" w:top="230" w:right="459" w:bottom="1440" w:gutter="0" w:footer="0" w:header="0"/>
          <w:type w:val="continuous"/>
        </w:sectPr>
      </w:pPr>
    </w:p>
    <w:p>
      <w:pPr>
        <w:spacing w:after="0" w:line="237" w:lineRule="exact"/>
        <w:rPr>
          <w:sz w:val="20"/>
          <w:szCs w:val="20"/>
          <w:color w:val="auto"/>
        </w:rPr>
      </w:pPr>
    </w:p>
    <w:p>
      <w:pPr>
        <w:spacing w:after="0"/>
        <w:tabs>
          <w:tab w:leader="none" w:pos="180" w:val="left"/>
        </w:tabs>
        <w:rPr>
          <w:sz w:val="20"/>
          <w:szCs w:val="20"/>
          <w:color w:val="auto"/>
        </w:rPr>
      </w:pPr>
      <w:r>
        <w:rPr>
          <w:rFonts w:ascii="Calibri" w:cs="Calibri" w:eastAsia="Calibri" w:hAnsi="Calibri"/>
          <w:sz w:val="14"/>
          <w:szCs w:val="14"/>
          <w:color w:val="auto"/>
        </w:rPr>
        <w:t>*</w:t>
        <w:tab/>
        <w:t>Other public board commitees are listed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304165</wp:posOffset>
            </wp:positionV>
            <wp:extent cx="107188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40575" cy="33864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0575" cy="33864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18"/>
          <w:szCs w:val="18"/>
          <w:color w:val="003478"/>
        </w:rPr>
        <w:t>Bruce A. Carlson</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6"/>
          <w:szCs w:val="16"/>
          <w:color w:val="002E6D"/>
        </w:rPr>
        <w:t>Age 73</w:t>
      </w:r>
    </w:p>
    <w:p>
      <w:pPr>
        <w:spacing w:after="0" w:line="127" w:lineRule="exact"/>
        <w:rPr>
          <w:sz w:val="20"/>
          <w:szCs w:val="20"/>
          <w:color w:val="auto"/>
        </w:rPr>
      </w:pPr>
    </w:p>
    <w:p>
      <w:pPr>
        <w:ind w:left="220" w:right="495"/>
        <w:spacing w:after="0" w:line="304" w:lineRule="auto"/>
        <w:rPr>
          <w:sz w:val="20"/>
          <w:szCs w:val="20"/>
          <w:color w:val="auto"/>
        </w:rPr>
      </w:pPr>
      <w:r>
        <w:rPr>
          <w:rFonts w:ascii="Arial" w:cs="Arial" w:eastAsia="Arial" w:hAnsi="Arial"/>
          <w:sz w:val="16"/>
          <w:szCs w:val="16"/>
          <w:color w:val="002E6D"/>
        </w:rPr>
        <w:t>Director since 2015 Independent Director</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Classified Business and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Security; Nominating and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Corporate Governance</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Other Public Boards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002E6D"/>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31" w:lineRule="exact"/>
        <w:rPr>
          <w:sz w:val="20"/>
          <w:szCs w:val="20"/>
          <w:color w:val="auto"/>
        </w:rPr>
      </w:pPr>
    </w:p>
    <w:p>
      <w:pPr>
        <w:ind w:left="5" w:right="220"/>
        <w:spacing w:after="0" w:line="244" w:lineRule="auto"/>
        <w:rPr>
          <w:sz w:val="20"/>
          <w:szCs w:val="20"/>
          <w:color w:val="auto"/>
        </w:rPr>
      </w:pPr>
      <w:r>
        <w:rPr>
          <w:rFonts w:ascii="Calibri" w:cs="Calibri" w:eastAsia="Calibri" w:hAnsi="Calibri"/>
          <w:sz w:val="17"/>
          <w:szCs w:val="17"/>
          <w:color w:val="auto"/>
        </w:rPr>
        <w:t>Retred U.S. Air Force General, Mr. Carlson has been chairman of Utah State University’s Space Dynamics Laboratory Guidance Council since June 2013 and chairman of its board of directors since 2018. Previously, Mr. Carlson served as the 17th Director of the Natonal Reconnaissance Ofce from 2009 untl 2012. He retred from the U.S. Air Force in 2009 afer more than 37 years of service, including service as Commander, Air Force Materiel Command at Wright-Paterson AFB, Ohio; Commander, Eighth Air Force at Barksdale AFB, Louisiana; and Director for Force Structure, Resources and Assessment (J-8) for the Joint Staf. Mr. Carlson previously served on the board of directors of Benchmark Electronics Inc. from July 2017 untl October 2021.</w:t>
      </w:r>
    </w:p>
    <w:p>
      <w:pPr>
        <w:spacing w:after="0" w:line="131" w:lineRule="exact"/>
        <w:rPr>
          <w:sz w:val="20"/>
          <w:szCs w:val="20"/>
          <w:color w:val="auto"/>
        </w:rPr>
      </w:pPr>
    </w:p>
    <w:p>
      <w:pPr>
        <w:ind w:left="5"/>
        <w:spacing w:after="0"/>
        <w:rPr>
          <w:sz w:val="20"/>
          <w:szCs w:val="20"/>
          <w:color w:val="auto"/>
        </w:rPr>
      </w:pPr>
      <w:r>
        <w:rPr>
          <w:rFonts w:ascii="Arial" w:cs="Arial" w:eastAsia="Arial" w:hAnsi="Arial"/>
          <w:sz w:val="16"/>
          <w:szCs w:val="16"/>
          <w:color w:val="002E6D"/>
        </w:rPr>
        <w:t>Experience, Strategic Skills and Core Competencies</w:t>
      </w:r>
    </w:p>
    <w:p>
      <w:pPr>
        <w:spacing w:after="0" w:line="32" w:lineRule="exact"/>
        <w:rPr>
          <w:sz w:val="20"/>
          <w:szCs w:val="20"/>
          <w:color w:val="auto"/>
        </w:rPr>
      </w:pPr>
    </w:p>
    <w:p>
      <w:pPr>
        <w:ind w:left="185" w:right="140" w:hanging="185"/>
        <w:spacing w:after="0" w:line="235" w:lineRule="auto"/>
        <w:tabs>
          <w:tab w:leader="none" w:pos="144" w:val="left"/>
        </w:tabs>
        <w:numPr>
          <w:ilvl w:val="0"/>
          <w:numId w:val="15"/>
        </w:numPr>
        <w:rPr>
          <w:rFonts w:ascii="Arial" w:cs="Arial" w:eastAsia="Arial" w:hAnsi="Arial"/>
          <w:sz w:val="17"/>
          <w:szCs w:val="17"/>
          <w:color w:val="002E6D"/>
        </w:rPr>
      </w:pPr>
      <w:r>
        <w:rPr>
          <w:rFonts w:ascii="Calibri" w:cs="Calibri" w:eastAsia="Calibri" w:hAnsi="Calibri"/>
          <w:sz w:val="17"/>
          <w:szCs w:val="17"/>
          <w:color w:val="auto"/>
        </w:rPr>
        <w:t>Industry-specifc expertse and knowledge of our core customer, including aircraf and satellite development and acquisiton experience from his service in senior leadership positons with the military</w:t>
      </w:r>
    </w:p>
    <w:p>
      <w:pPr>
        <w:spacing w:after="0" w:line="39" w:lineRule="exact"/>
        <w:rPr>
          <w:rFonts w:ascii="Arial" w:cs="Arial" w:eastAsia="Arial" w:hAnsi="Arial"/>
          <w:sz w:val="17"/>
          <w:szCs w:val="17"/>
          <w:color w:val="002E6D"/>
        </w:rPr>
      </w:pPr>
    </w:p>
    <w:p>
      <w:pPr>
        <w:ind w:left="185" w:right="140" w:hanging="185"/>
        <w:spacing w:after="0" w:line="235" w:lineRule="auto"/>
        <w:tabs>
          <w:tab w:leader="none" w:pos="186" w:val="left"/>
        </w:tabs>
        <w:numPr>
          <w:ilvl w:val="0"/>
          <w:numId w:val="15"/>
        </w:numPr>
        <w:rPr>
          <w:rFonts w:ascii="Calibri" w:cs="Calibri" w:eastAsia="Calibri" w:hAnsi="Calibri"/>
          <w:sz w:val="17"/>
          <w:szCs w:val="17"/>
          <w:color w:val="002E6D"/>
        </w:rPr>
      </w:pPr>
      <w:r>
        <w:rPr>
          <w:rFonts w:ascii="Calibri" w:cs="Calibri" w:eastAsia="Calibri" w:hAnsi="Calibri"/>
          <w:sz w:val="17"/>
          <w:szCs w:val="17"/>
          <w:color w:val="auto"/>
        </w:rPr>
        <w:t>Experience with the demands and challenges associated with managing large organizatons from his service as a Commander and Joint Staf Director of the Joint Chiefs and the Natonal Reconnaissance Ofce</w:t>
      </w:r>
    </w:p>
    <w:p>
      <w:pPr>
        <w:spacing w:after="0" w:line="35" w:lineRule="exact"/>
        <w:rPr>
          <w:rFonts w:ascii="Calibri" w:cs="Calibri" w:eastAsia="Calibri" w:hAnsi="Calibri"/>
          <w:sz w:val="17"/>
          <w:szCs w:val="17"/>
          <w:color w:val="002E6D"/>
        </w:rPr>
      </w:pPr>
    </w:p>
    <w:p>
      <w:pPr>
        <w:ind w:left="205" w:hanging="205"/>
        <w:spacing w:after="0"/>
        <w:tabs>
          <w:tab w:leader="none" w:pos="205" w:val="left"/>
        </w:tabs>
        <w:numPr>
          <w:ilvl w:val="0"/>
          <w:numId w:val="15"/>
        </w:numPr>
        <w:rPr>
          <w:rFonts w:ascii="Calibri" w:cs="Calibri" w:eastAsia="Calibri" w:hAnsi="Calibri"/>
          <w:sz w:val="17"/>
          <w:szCs w:val="17"/>
          <w:color w:val="002E6D"/>
        </w:rPr>
      </w:pPr>
      <w:r>
        <w:rPr>
          <w:rFonts w:ascii="Calibri" w:cs="Calibri" w:eastAsia="Calibri" w:hAnsi="Calibri"/>
          <w:sz w:val="17"/>
          <w:szCs w:val="17"/>
          <w:color w:val="auto"/>
        </w:rPr>
        <w:t>Skilled in executve management, logistcs and military procurement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45" w:type="dxa"/>
        <w:tblCellMar>
          <w:top w:w="0" w:type="dxa"/>
          <w:left w:w="0" w:type="dxa"/>
          <w:bottom w:w="0" w:type="dxa"/>
          <w:right w:w="0" w:type="dxa"/>
        </w:tblCellMar>
      </w:tblPr>
      <w:tr>
        <w:trPr>
          <w:trHeight w:val="171"/>
        </w:trPr>
        <w:tc>
          <w:tcPr>
            <w:tcW w:w="2360" w:type="dxa"/>
            <w:vAlign w:val="bottom"/>
          </w:tcPr>
          <w:p>
            <w:pPr>
              <w:spacing w:after="0"/>
              <w:rPr>
                <w:sz w:val="20"/>
                <w:szCs w:val="20"/>
                <w:color w:val="auto"/>
              </w:rPr>
            </w:pPr>
            <w:r>
              <w:rPr>
                <w:rFonts w:ascii="Calibri" w:cs="Calibri" w:eastAsia="Calibri" w:hAnsi="Calibri"/>
                <w:sz w:val="14"/>
                <w:szCs w:val="14"/>
                <w:color w:val="auto"/>
              </w:rPr>
              <w:t>AI, Autonomy, Advanced Comms,</w:t>
            </w:r>
          </w:p>
        </w:tc>
        <w:tc>
          <w:tcPr>
            <w:tcW w:w="2860" w:type="dxa"/>
            <w:vAlign w:val="bottom"/>
          </w:tcPr>
          <w:p>
            <w:pPr>
              <w:ind w:left="400"/>
              <w:spacing w:after="0"/>
              <w:rPr>
                <w:sz w:val="20"/>
                <w:szCs w:val="20"/>
                <w:color w:val="auto"/>
              </w:rPr>
            </w:pPr>
            <w:r>
              <w:rPr>
                <w:rFonts w:ascii="Calibri" w:cs="Calibri" w:eastAsia="Calibri" w:hAnsi="Calibri"/>
                <w:sz w:val="14"/>
                <w:szCs w:val="14"/>
                <w:color w:val="auto"/>
              </w:rPr>
              <w:t>Environment, Social and Governance</w:t>
            </w:r>
          </w:p>
        </w:tc>
        <w:tc>
          <w:tcPr>
            <w:tcW w:w="2440" w:type="dxa"/>
            <w:vAlign w:val="bottom"/>
            <w:vMerge w:val="restart"/>
          </w:tcPr>
          <w:p>
            <w:pPr>
              <w:ind w:left="320"/>
              <w:spacing w:after="0"/>
              <w:rPr>
                <w:sz w:val="20"/>
                <w:szCs w:val="20"/>
                <w:color w:val="auto"/>
              </w:rPr>
            </w:pPr>
            <w:r>
              <w:rPr>
                <w:rFonts w:ascii="Calibri" w:cs="Calibri" w:eastAsia="Calibri" w:hAnsi="Calibri"/>
                <w:sz w:val="14"/>
                <w:szCs w:val="14"/>
                <w:color w:val="auto"/>
              </w:rPr>
              <w:t>Operatonal Executon and Efciency</w:t>
            </w:r>
          </w:p>
        </w:tc>
        <w:tc>
          <w:tcPr>
            <w:tcW w:w="0" w:type="dxa"/>
            <w:vAlign w:val="bottom"/>
          </w:tcPr>
          <w:p>
            <w:pPr>
              <w:spacing w:after="0"/>
              <w:rPr>
                <w:sz w:val="1"/>
                <w:szCs w:val="1"/>
                <w:color w:val="auto"/>
              </w:rPr>
            </w:pPr>
          </w:p>
        </w:tc>
      </w:tr>
      <w:tr>
        <w:trPr>
          <w:trHeight w:val="94"/>
        </w:trPr>
        <w:tc>
          <w:tcPr>
            <w:tcW w:w="2360" w:type="dxa"/>
            <w:vAlign w:val="bottom"/>
            <w:vMerge w:val="restart"/>
          </w:tcPr>
          <w:p>
            <w:pPr>
              <w:spacing w:after="0"/>
              <w:rPr>
                <w:sz w:val="20"/>
                <w:szCs w:val="20"/>
                <w:color w:val="auto"/>
              </w:rPr>
            </w:pPr>
            <w:r>
              <w:rPr>
                <w:rFonts w:ascii="Calibri" w:cs="Calibri" w:eastAsia="Calibri" w:hAnsi="Calibri"/>
                <w:sz w:val="14"/>
                <w:szCs w:val="14"/>
                <w:color w:val="auto"/>
              </w:rPr>
              <w:t>Hypersonics, Space</w:t>
            </w:r>
          </w:p>
        </w:tc>
        <w:tc>
          <w:tcPr>
            <w:tcW w:w="2860" w:type="dxa"/>
            <w:vAlign w:val="bottom"/>
            <w:vMerge w:val="restart"/>
          </w:tcPr>
          <w:p>
            <w:pPr>
              <w:ind w:left="400"/>
              <w:spacing w:after="0"/>
              <w:rPr>
                <w:sz w:val="20"/>
                <w:szCs w:val="20"/>
                <w:color w:val="auto"/>
              </w:rPr>
            </w:pPr>
            <w:r>
              <w:rPr>
                <w:rFonts w:ascii="Calibri" w:cs="Calibri" w:eastAsia="Calibri" w:hAnsi="Calibri"/>
                <w:sz w:val="14"/>
                <w:szCs w:val="14"/>
                <w:color w:val="auto"/>
              </w:rPr>
              <w:t>Expertse</w:t>
            </w: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60" w:type="dxa"/>
            <w:vAlign w:val="bottom"/>
            <w:vMerge w:val="continue"/>
          </w:tcPr>
          <w:p>
            <w:pPr>
              <w:spacing w:after="0"/>
              <w:rPr>
                <w:sz w:val="7"/>
                <w:szCs w:val="7"/>
                <w:color w:val="auto"/>
              </w:rPr>
            </w:pPr>
          </w:p>
        </w:tc>
        <w:tc>
          <w:tcPr>
            <w:tcW w:w="286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45"/>
        <w:spacing w:after="0"/>
        <w:rPr>
          <w:sz w:val="20"/>
          <w:szCs w:val="20"/>
          <w:color w:val="auto"/>
        </w:rPr>
      </w:pPr>
      <w:r>
        <w:rPr>
          <w:rFonts w:ascii="Calibri" w:cs="Calibri" w:eastAsia="Calibri" w:hAnsi="Calibri"/>
          <w:sz w:val="14"/>
          <w:szCs w:val="14"/>
          <w:color w:val="auto"/>
        </w:rPr>
        <w:t>Senior Military / Government</w:t>
      </w:r>
    </w:p>
    <w:p>
      <w:pPr>
        <w:spacing w:after="0" w:line="5" w:lineRule="exact"/>
        <w:rPr>
          <w:sz w:val="20"/>
          <w:szCs w:val="20"/>
          <w:color w:val="auto"/>
        </w:rPr>
      </w:pPr>
    </w:p>
    <w:p>
      <w:pPr>
        <w:ind w:left="445"/>
        <w:spacing w:after="0"/>
        <w:rPr>
          <w:sz w:val="20"/>
          <w:szCs w:val="20"/>
          <w:color w:val="auto"/>
        </w:rPr>
      </w:pPr>
      <w:r>
        <w:rPr>
          <w:rFonts w:ascii="Calibri" w:cs="Calibri" w:eastAsia="Calibri" w:hAnsi="Calibri"/>
          <w:sz w:val="14"/>
          <w:szCs w:val="14"/>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492760</wp:posOffset>
            </wp:positionV>
            <wp:extent cx="7140575" cy="3454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0575" cy="345440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2235" w:space="720"/>
            <w:col w:w="8285"/>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John M. Donovan</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62</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2021</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Independent Director</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spacing w:after="0" w:line="31" w:lineRule="exact"/>
        <w:rPr>
          <w:sz w:val="20"/>
          <w:szCs w:val="20"/>
          <w:color w:val="auto"/>
        </w:rPr>
      </w:pPr>
    </w:p>
    <w:p>
      <w:pPr>
        <w:ind w:left="220"/>
        <w:spacing w:after="0" w:line="288" w:lineRule="auto"/>
        <w:rPr>
          <w:sz w:val="20"/>
          <w:szCs w:val="20"/>
          <w:color w:val="auto"/>
        </w:rPr>
      </w:pPr>
      <w:r>
        <w:rPr>
          <w:rFonts w:ascii="Arial" w:cs="Arial" w:eastAsia="Arial" w:hAnsi="Arial"/>
          <w:sz w:val="16"/>
          <w:szCs w:val="16"/>
          <w:color w:val="003478"/>
        </w:rPr>
        <w:t>Audit; Classified Business and Security</w:t>
      </w:r>
    </w:p>
    <w:p>
      <w:pPr>
        <w:spacing w:after="0" w:line="59" w:lineRule="exact"/>
        <w:rPr>
          <w:sz w:val="20"/>
          <w:szCs w:val="20"/>
          <w:color w:val="auto"/>
        </w:rPr>
      </w:pPr>
    </w:p>
    <w:p>
      <w:pPr>
        <w:ind w:left="220" w:right="600"/>
        <w:spacing w:after="0" w:line="304" w:lineRule="auto"/>
        <w:rPr>
          <w:sz w:val="20"/>
          <w:szCs w:val="20"/>
          <w:color w:val="auto"/>
        </w:rPr>
      </w:pPr>
      <w:r>
        <w:rPr>
          <w:rFonts w:ascii="Arial" w:cs="Arial" w:eastAsia="Arial" w:hAnsi="Arial"/>
          <w:sz w:val="16"/>
          <w:szCs w:val="16"/>
          <w:color w:val="003478"/>
          <w:shd w:val="clear" w:color="auto" w:fill="E5E7EF"/>
        </w:rPr>
        <w:t xml:space="preserve">Other Public Boards** </w:t>
      </w:r>
      <w:r>
        <w:rPr>
          <w:rFonts w:ascii="Arial" w:cs="Arial" w:eastAsia="Arial" w:hAnsi="Arial"/>
          <w:sz w:val="16"/>
          <w:szCs w:val="16"/>
          <w:color w:val="003478"/>
        </w:rPr>
        <w:t>Palo Alto Networks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31" w:lineRule="exact"/>
        <w:rPr>
          <w:sz w:val="20"/>
          <w:szCs w:val="20"/>
          <w:color w:val="auto"/>
        </w:rPr>
      </w:pPr>
    </w:p>
    <w:p>
      <w:pPr>
        <w:ind w:left="5" w:right="140"/>
        <w:spacing w:after="0" w:line="241" w:lineRule="auto"/>
        <w:rPr>
          <w:sz w:val="20"/>
          <w:szCs w:val="20"/>
          <w:color w:val="auto"/>
        </w:rPr>
      </w:pPr>
      <w:r>
        <w:rPr>
          <w:rFonts w:ascii="Calibri" w:cs="Calibri" w:eastAsia="Calibri" w:hAnsi="Calibri"/>
          <w:sz w:val="17"/>
          <w:szCs w:val="17"/>
          <w:color w:val="auto"/>
        </w:rPr>
        <w:t>Retred Chief Executve Ofcer of AT&amp;T Communicatons, LLC, a wholly-owned subsidiary of AT&amp;T Inc. Mr. Donovan served as CEO from August 2017 untl his retrement in October 2019. He was Chief Strategy Ofcer and Group President of AT&amp;T Technology and Operatons from January 2012 through August 2017, and Chief Technology Ofcer of AT&amp;T Inc. from April 2008 through January 2012. He is a member of the President’s Natonal Security Telecommunicatons Advisory Commitee.</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16"/>
          <w:szCs w:val="16"/>
          <w:color w:val="002E6D"/>
        </w:rPr>
        <w:t>Experience, Strategic Skills and Core Competencies</w:t>
      </w:r>
    </w:p>
    <w:p>
      <w:pPr>
        <w:spacing w:after="0" w:line="32" w:lineRule="exact"/>
        <w:rPr>
          <w:sz w:val="20"/>
          <w:szCs w:val="20"/>
          <w:color w:val="auto"/>
        </w:rPr>
      </w:pPr>
    </w:p>
    <w:p>
      <w:pPr>
        <w:ind w:left="185" w:right="680" w:hanging="185"/>
        <w:spacing w:after="0" w:line="235" w:lineRule="auto"/>
        <w:tabs>
          <w:tab w:leader="none" w:pos="144" w:val="left"/>
        </w:tabs>
        <w:numPr>
          <w:ilvl w:val="0"/>
          <w:numId w:val="16"/>
        </w:numPr>
        <w:rPr>
          <w:rFonts w:ascii="Arial" w:cs="Arial" w:eastAsia="Arial" w:hAnsi="Arial"/>
          <w:sz w:val="17"/>
          <w:szCs w:val="17"/>
          <w:color w:val="002E6D"/>
        </w:rPr>
      </w:pPr>
      <w:r>
        <w:rPr>
          <w:rFonts w:ascii="Calibri" w:cs="Calibri" w:eastAsia="Calibri" w:hAnsi="Calibri"/>
          <w:sz w:val="17"/>
          <w:szCs w:val="17"/>
          <w:color w:val="auto"/>
        </w:rPr>
        <w:t>Expertse in technology and innovaton, including the transiton to 5G networks, artfcial intelligence and machine learning</w:t>
      </w:r>
    </w:p>
    <w:p>
      <w:pPr>
        <w:spacing w:after="0" w:line="39" w:lineRule="exact"/>
        <w:rPr>
          <w:rFonts w:ascii="Arial" w:cs="Arial" w:eastAsia="Arial" w:hAnsi="Arial"/>
          <w:sz w:val="17"/>
          <w:szCs w:val="17"/>
          <w:color w:val="002E6D"/>
        </w:rPr>
      </w:pPr>
    </w:p>
    <w:p>
      <w:pPr>
        <w:ind w:left="185" w:right="240" w:hanging="185"/>
        <w:spacing w:after="0" w:line="235" w:lineRule="auto"/>
        <w:tabs>
          <w:tab w:leader="none" w:pos="186" w:val="left"/>
        </w:tabs>
        <w:numPr>
          <w:ilvl w:val="0"/>
          <w:numId w:val="16"/>
        </w:numPr>
        <w:rPr>
          <w:rFonts w:ascii="Calibri" w:cs="Calibri" w:eastAsia="Calibri" w:hAnsi="Calibri"/>
          <w:sz w:val="17"/>
          <w:szCs w:val="17"/>
          <w:color w:val="002E6D"/>
        </w:rPr>
      </w:pPr>
      <w:r>
        <w:rPr>
          <w:rFonts w:ascii="Calibri" w:cs="Calibri" w:eastAsia="Calibri" w:hAnsi="Calibri"/>
          <w:sz w:val="17"/>
          <w:szCs w:val="17"/>
          <w:color w:val="auto"/>
        </w:rPr>
        <w:t>Skilled in overseeing global informaton, sofware development, supply chain, network operatons and big data organizatons</w:t>
      </w:r>
    </w:p>
    <w:p>
      <w:pPr>
        <w:spacing w:after="0" w:line="39" w:lineRule="exact"/>
        <w:rPr>
          <w:rFonts w:ascii="Calibri" w:cs="Calibri" w:eastAsia="Calibri" w:hAnsi="Calibri"/>
          <w:sz w:val="17"/>
          <w:szCs w:val="17"/>
          <w:color w:val="002E6D"/>
        </w:rPr>
      </w:pPr>
    </w:p>
    <w:p>
      <w:pPr>
        <w:ind w:left="185" w:right="620" w:hanging="185"/>
        <w:spacing w:after="0" w:line="235" w:lineRule="auto"/>
        <w:tabs>
          <w:tab w:leader="none" w:pos="186" w:val="left"/>
        </w:tabs>
        <w:numPr>
          <w:ilvl w:val="0"/>
          <w:numId w:val="16"/>
        </w:numPr>
        <w:rPr>
          <w:rFonts w:ascii="Calibri" w:cs="Calibri" w:eastAsia="Calibri" w:hAnsi="Calibri"/>
          <w:sz w:val="17"/>
          <w:szCs w:val="17"/>
          <w:color w:val="002E6D"/>
        </w:rPr>
      </w:pPr>
      <w:r>
        <w:rPr>
          <w:rFonts w:ascii="Calibri" w:cs="Calibri" w:eastAsia="Calibri" w:hAnsi="Calibri"/>
          <w:sz w:val="17"/>
          <w:szCs w:val="17"/>
          <w:color w:val="auto"/>
        </w:rPr>
        <w:t>Experience in cybersecurity, including Lead Independent Director of a leading cybersecurity company and Cybersecurity &amp; Infrastructure Security Agency (CISA) commitee leadership</w:t>
      </w:r>
    </w:p>
    <w:p>
      <w:pPr>
        <w:spacing w:after="0" w:line="388" w:lineRule="exact"/>
        <w:rPr>
          <w:sz w:val="20"/>
          <w:szCs w:val="20"/>
          <w:color w:val="auto"/>
        </w:rPr>
      </w:pPr>
    </w:p>
    <w:tbl>
      <w:tblPr>
        <w:tblLayout w:type="fixed"/>
        <w:tblInd w:w="445" w:type="dxa"/>
        <w:tblCellMar>
          <w:top w:w="0" w:type="dxa"/>
          <w:left w:w="0" w:type="dxa"/>
          <w:bottom w:w="0" w:type="dxa"/>
          <w:right w:w="0" w:type="dxa"/>
        </w:tblCellMar>
      </w:tblPr>
      <w:tr>
        <w:trPr>
          <w:trHeight w:val="171"/>
        </w:trPr>
        <w:tc>
          <w:tcPr>
            <w:tcW w:w="2420" w:type="dxa"/>
            <w:vAlign w:val="bottom"/>
          </w:tcPr>
          <w:p>
            <w:pPr>
              <w:spacing w:after="0"/>
              <w:rPr>
                <w:sz w:val="20"/>
                <w:szCs w:val="20"/>
                <w:color w:val="auto"/>
              </w:rPr>
            </w:pPr>
            <w:r>
              <w:rPr>
                <w:rFonts w:ascii="Calibri" w:cs="Calibri" w:eastAsia="Calibri" w:hAnsi="Calibri"/>
                <w:sz w:val="14"/>
                <w:szCs w:val="14"/>
                <w:color w:val="auto"/>
              </w:rPr>
              <w:t>21st Century Security / Defense</w:t>
            </w:r>
          </w:p>
        </w:tc>
        <w:tc>
          <w:tcPr>
            <w:tcW w:w="2780" w:type="dxa"/>
            <w:vAlign w:val="bottom"/>
          </w:tcPr>
          <w:p>
            <w:pPr>
              <w:ind w:left="340"/>
              <w:spacing w:after="0"/>
              <w:rPr>
                <w:sz w:val="20"/>
                <w:szCs w:val="20"/>
                <w:color w:val="auto"/>
              </w:rPr>
            </w:pPr>
            <w:r>
              <w:rPr>
                <w:rFonts w:ascii="Calibri" w:cs="Calibri" w:eastAsia="Calibri" w:hAnsi="Calibri"/>
                <w:sz w:val="14"/>
                <w:szCs w:val="14"/>
                <w:color w:val="auto"/>
              </w:rPr>
              <w:t>5G.MIL / Digital &amp; Networking Open</w:t>
            </w:r>
          </w:p>
        </w:tc>
        <w:tc>
          <w:tcPr>
            <w:tcW w:w="2280" w:type="dxa"/>
            <w:vAlign w:val="bottom"/>
          </w:tcPr>
          <w:p>
            <w:pPr>
              <w:ind w:left="340"/>
              <w:spacing w:after="0"/>
              <w:rPr>
                <w:sz w:val="20"/>
                <w:szCs w:val="20"/>
                <w:color w:val="auto"/>
              </w:rPr>
            </w:pPr>
            <w:r>
              <w:rPr>
                <w:rFonts w:ascii="Calibri" w:cs="Calibri" w:eastAsia="Calibri" w:hAnsi="Calibri"/>
                <w:sz w:val="14"/>
                <w:szCs w:val="14"/>
                <w:color w:val="auto"/>
              </w:rPr>
              <w:t>AI, Autonomy, Advanced Comms,</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20"/>
                <w:szCs w:val="20"/>
                <w:color w:val="auto"/>
              </w:rPr>
            </w:pPr>
            <w:r>
              <w:rPr>
                <w:rFonts w:ascii="Calibri" w:cs="Calibri" w:eastAsia="Calibri" w:hAnsi="Calibri"/>
                <w:sz w:val="14"/>
                <w:szCs w:val="14"/>
                <w:color w:val="auto"/>
              </w:rPr>
              <w:t>Industry Transformaton</w:t>
            </w:r>
          </w:p>
        </w:tc>
        <w:tc>
          <w:tcPr>
            <w:tcW w:w="2780" w:type="dxa"/>
            <w:vAlign w:val="bottom"/>
          </w:tcPr>
          <w:p>
            <w:pPr>
              <w:ind w:left="340"/>
              <w:spacing w:after="0"/>
              <w:rPr>
                <w:sz w:val="20"/>
                <w:szCs w:val="20"/>
                <w:color w:val="auto"/>
              </w:rPr>
            </w:pPr>
            <w:r>
              <w:rPr>
                <w:rFonts w:ascii="Calibri" w:cs="Calibri" w:eastAsia="Calibri" w:hAnsi="Calibri"/>
                <w:sz w:val="14"/>
                <w:szCs w:val="14"/>
                <w:color w:val="auto"/>
              </w:rPr>
              <w:t>Architecture</w:t>
            </w:r>
          </w:p>
        </w:tc>
        <w:tc>
          <w:tcPr>
            <w:tcW w:w="2280" w:type="dxa"/>
            <w:vAlign w:val="bottom"/>
          </w:tcPr>
          <w:p>
            <w:pPr>
              <w:ind w:left="340"/>
              <w:spacing w:after="0"/>
              <w:rPr>
                <w:sz w:val="20"/>
                <w:szCs w:val="20"/>
                <w:color w:val="auto"/>
              </w:rPr>
            </w:pPr>
            <w:r>
              <w:rPr>
                <w:rFonts w:ascii="Calibri" w:cs="Calibri" w:eastAsia="Calibri" w:hAnsi="Calibri"/>
                <w:sz w:val="14"/>
                <w:szCs w:val="14"/>
                <w:color w:val="auto"/>
              </w:rPr>
              <w:t>Hypersonics, Space</w:t>
            </w:r>
          </w:p>
        </w:tc>
        <w:tc>
          <w:tcPr>
            <w:tcW w:w="0" w:type="dxa"/>
            <w:vAlign w:val="bottom"/>
          </w:tcPr>
          <w:p>
            <w:pPr>
              <w:spacing w:after="0"/>
              <w:rPr>
                <w:sz w:val="1"/>
                <w:szCs w:val="1"/>
                <w:color w:val="auto"/>
              </w:rPr>
            </w:pPr>
          </w:p>
        </w:tc>
      </w:tr>
      <w:tr>
        <w:trPr>
          <w:trHeight w:val="256"/>
        </w:trPr>
        <w:tc>
          <w:tcPr>
            <w:tcW w:w="2420" w:type="dxa"/>
            <w:vAlign w:val="bottom"/>
            <w:vMerge w:val="restart"/>
          </w:tcPr>
          <w:p>
            <w:pPr>
              <w:spacing w:after="0"/>
              <w:rPr>
                <w:sz w:val="20"/>
                <w:szCs w:val="20"/>
                <w:color w:val="auto"/>
              </w:rPr>
            </w:pPr>
            <w:r>
              <w:rPr>
                <w:rFonts w:ascii="Calibri" w:cs="Calibri" w:eastAsia="Calibri" w:hAnsi="Calibri"/>
                <w:sz w:val="14"/>
                <w:szCs w:val="14"/>
                <w:color w:val="auto"/>
              </w:rPr>
              <w:t>Business and Digital Transformaton</w:t>
            </w:r>
          </w:p>
        </w:tc>
        <w:tc>
          <w:tcPr>
            <w:tcW w:w="2780" w:type="dxa"/>
            <w:vAlign w:val="bottom"/>
          </w:tcPr>
          <w:p>
            <w:pPr>
              <w:ind w:left="340"/>
              <w:spacing w:after="0"/>
              <w:rPr>
                <w:sz w:val="20"/>
                <w:szCs w:val="20"/>
                <w:color w:val="auto"/>
              </w:rPr>
            </w:pPr>
            <w:r>
              <w:rPr>
                <w:rFonts w:ascii="Calibri" w:cs="Calibri" w:eastAsia="Calibri" w:hAnsi="Calibri"/>
                <w:sz w:val="14"/>
                <w:szCs w:val="14"/>
                <w:color w:val="auto"/>
              </w:rPr>
              <w:t>Business Model / Commercial</w:t>
            </w:r>
          </w:p>
        </w:tc>
        <w:tc>
          <w:tcPr>
            <w:tcW w:w="2280" w:type="dxa"/>
            <w:vAlign w:val="bottom"/>
          </w:tcPr>
          <w:p>
            <w:pPr>
              <w:ind w:left="340"/>
              <w:spacing w:after="0"/>
              <w:rPr>
                <w:sz w:val="20"/>
                <w:szCs w:val="20"/>
                <w:color w:val="auto"/>
              </w:rPr>
            </w:pPr>
            <w:r>
              <w:rPr>
                <w:rFonts w:ascii="Calibri" w:cs="Calibri" w:eastAsia="Calibri" w:hAnsi="Calibri"/>
                <w:sz w:val="14"/>
                <w:szCs w:val="14"/>
                <w:color w:val="auto"/>
              </w:rPr>
              <w:t>CEO Leadership</w:t>
            </w:r>
          </w:p>
        </w:tc>
        <w:tc>
          <w:tcPr>
            <w:tcW w:w="0" w:type="dxa"/>
            <w:vAlign w:val="bottom"/>
          </w:tcPr>
          <w:p>
            <w:pPr>
              <w:spacing w:after="0"/>
              <w:rPr>
                <w:sz w:val="1"/>
                <w:szCs w:val="1"/>
                <w:color w:val="auto"/>
              </w:rPr>
            </w:pPr>
          </w:p>
        </w:tc>
      </w:tr>
      <w:tr>
        <w:trPr>
          <w:trHeight w:val="95"/>
        </w:trPr>
        <w:tc>
          <w:tcPr>
            <w:tcW w:w="2420" w:type="dxa"/>
            <w:vAlign w:val="bottom"/>
            <w:vMerge w:val="continue"/>
          </w:tcPr>
          <w:p>
            <w:pPr>
              <w:spacing w:after="0"/>
              <w:rPr>
                <w:sz w:val="8"/>
                <w:szCs w:val="8"/>
                <w:color w:val="auto"/>
              </w:rPr>
            </w:pPr>
          </w:p>
        </w:tc>
        <w:tc>
          <w:tcPr>
            <w:tcW w:w="2780" w:type="dxa"/>
            <w:vAlign w:val="bottom"/>
            <w:vMerge w:val="restart"/>
          </w:tcPr>
          <w:p>
            <w:pPr>
              <w:ind w:left="340"/>
              <w:spacing w:after="0"/>
              <w:rPr>
                <w:sz w:val="20"/>
                <w:szCs w:val="20"/>
                <w:color w:val="auto"/>
              </w:rPr>
            </w:pPr>
            <w:r>
              <w:rPr>
                <w:rFonts w:ascii="Calibri" w:cs="Calibri" w:eastAsia="Calibri" w:hAnsi="Calibri"/>
                <w:sz w:val="14"/>
                <w:szCs w:val="14"/>
                <w:color w:val="auto"/>
              </w:rPr>
              <w:t>Partnerships</w:t>
            </w:r>
          </w:p>
        </w:tc>
        <w:tc>
          <w:tcPr>
            <w:tcW w:w="2280" w:type="dxa"/>
            <w:vAlign w:val="bottom"/>
            <w:vMerge w:val="restart"/>
          </w:tcPr>
          <w:p>
            <w:pPr>
              <w:ind w:left="340"/>
              <w:spacing w:after="0"/>
              <w:rPr>
                <w:sz w:val="20"/>
                <w:szCs w:val="20"/>
                <w:color w:val="auto"/>
              </w:rPr>
            </w:pPr>
            <w:r>
              <w:rPr>
                <w:rFonts w:ascii="Calibri" w:cs="Calibri" w:eastAsia="Calibri" w:hAnsi="Calibri"/>
                <w:sz w:val="14"/>
                <w:szCs w:val="14"/>
                <w:color w:val="auto"/>
              </w:rPr>
              <w:t>Experience</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420" w:type="dxa"/>
            <w:vAlign w:val="bottom"/>
          </w:tcPr>
          <w:p>
            <w:pPr>
              <w:spacing w:after="0"/>
              <w:rPr>
                <w:sz w:val="20"/>
                <w:szCs w:val="20"/>
                <w:color w:val="auto"/>
              </w:rPr>
            </w:pPr>
            <w:r>
              <w:rPr>
                <w:rFonts w:ascii="Calibri" w:cs="Calibri" w:eastAsia="Calibri" w:hAnsi="Calibri"/>
                <w:sz w:val="14"/>
                <w:szCs w:val="14"/>
                <w:color w:val="auto"/>
              </w:rPr>
              <w:t>Cybersecurity Expertse</w:t>
            </w:r>
          </w:p>
        </w:tc>
        <w:tc>
          <w:tcPr>
            <w:tcW w:w="2780" w:type="dxa"/>
            <w:vAlign w:val="bottom"/>
          </w:tcPr>
          <w:p>
            <w:pPr>
              <w:ind w:left="340"/>
              <w:spacing w:after="0"/>
              <w:rPr>
                <w:sz w:val="20"/>
                <w:szCs w:val="20"/>
                <w:color w:val="auto"/>
              </w:rPr>
            </w:pPr>
            <w:r>
              <w:rPr>
                <w:rFonts w:ascii="Calibri" w:cs="Calibri" w:eastAsia="Calibri" w:hAnsi="Calibri"/>
                <w:sz w:val="14"/>
                <w:szCs w:val="14"/>
                <w:color w:val="auto"/>
              </w:rPr>
              <w:t>Financial Expertse</w:t>
            </w:r>
          </w:p>
        </w:tc>
        <w:tc>
          <w:tcPr>
            <w:tcW w:w="2280" w:type="dxa"/>
            <w:vAlign w:val="bottom"/>
          </w:tcPr>
          <w:p>
            <w:pPr>
              <w:ind w:left="340"/>
              <w:spacing w:after="0"/>
              <w:rPr>
                <w:sz w:val="20"/>
                <w:szCs w:val="20"/>
                <w:color w:val="auto"/>
              </w:rPr>
            </w:pPr>
            <w:r>
              <w:rPr>
                <w:rFonts w:ascii="Calibri" w:cs="Calibri" w:eastAsia="Calibri" w:hAnsi="Calibri"/>
                <w:sz w:val="14"/>
                <w:szCs w:val="14"/>
                <w:color w:val="auto"/>
              </w:rPr>
              <w:t>Internatonal Business Expansion</w:t>
            </w:r>
          </w:p>
        </w:tc>
        <w:tc>
          <w:tcPr>
            <w:tcW w:w="0" w:type="dxa"/>
            <w:vAlign w:val="bottom"/>
          </w:tcPr>
          <w:p>
            <w:pPr>
              <w:spacing w:after="0"/>
              <w:rPr>
                <w:sz w:val="1"/>
                <w:szCs w:val="1"/>
                <w:color w:val="auto"/>
              </w:rPr>
            </w:pPr>
          </w:p>
        </w:tc>
      </w:tr>
    </w:tbl>
    <w:p>
      <w:pPr>
        <w:spacing w:after="0" w:line="162" w:lineRule="exact"/>
        <w:rPr>
          <w:sz w:val="20"/>
          <w:szCs w:val="20"/>
          <w:color w:val="auto"/>
        </w:rPr>
      </w:pPr>
    </w:p>
    <w:p>
      <w:pPr>
        <w:sectPr>
          <w:pgSz w:w="11900" w:h="16838" w:orient="portrait"/>
          <w:cols w:equalWidth="0" w:num="2">
            <w:col w:w="2400" w:space="555"/>
            <w:col w:w="8285"/>
          </w:cols>
          <w:pgMar w:left="320" w:top="230" w:right="339" w:bottom="1440" w:gutter="0" w:footer="0" w:header="0"/>
          <w:type w:val="continuous"/>
        </w:sectPr>
      </w:pPr>
    </w:p>
    <w:p>
      <w:pPr>
        <w:ind w:left="3400"/>
        <w:spacing w:after="0"/>
        <w:rPr>
          <w:sz w:val="20"/>
          <w:szCs w:val="20"/>
          <w:color w:val="auto"/>
        </w:rPr>
      </w:pPr>
      <w:r>
        <w:rPr>
          <w:rFonts w:ascii="Calibri" w:cs="Calibri" w:eastAsia="Calibri" w:hAnsi="Calibri"/>
          <w:sz w:val="14"/>
          <w:szCs w:val="14"/>
          <w:color w:val="auto"/>
        </w:rPr>
        <w:t xml:space="preserve">M&amp;A Expertse                    </w:t>
      </w:r>
      <w:r>
        <w:rPr>
          <w:sz w:val="1"/>
          <w:szCs w:val="1"/>
          <w:color w:val="auto"/>
        </w:rPr>
        <w:drawing>
          <wp:inline distT="0" distB="0" distL="0" distR="0">
            <wp:extent cx="171450" cy="1524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152400"/>
                    </a:xfrm>
                    <a:prstGeom prst="rect">
                      <a:avLst/>
                    </a:prstGeom>
                    <a:noFill/>
                    <a:ln>
                      <a:noFill/>
                    </a:ln>
                  </pic:spPr>
                </pic:pic>
              </a:graphicData>
            </a:graphic>
          </wp:inline>
        </w:drawing>
      </w:r>
      <w:r>
        <w:rPr>
          <w:rFonts w:ascii="Calibri" w:cs="Calibri" w:eastAsia="Calibri" w:hAnsi="Calibri"/>
          <w:sz w:val="14"/>
          <w:szCs w:val="14"/>
          <w:color w:val="auto"/>
        </w:rPr>
        <w:t xml:space="preserve">   Operatonal Executon and Efciency</w:t>
      </w:r>
    </w:p>
    <w:p>
      <w:pPr>
        <w:spacing w:after="0" w:line="200" w:lineRule="exact"/>
        <w:rPr>
          <w:sz w:val="20"/>
          <w:szCs w:val="20"/>
          <w:color w:val="auto"/>
        </w:rPr>
      </w:pPr>
    </w:p>
    <w:p>
      <w:pPr>
        <w:spacing w:after="0" w:line="379" w:lineRule="exact"/>
        <w:rPr>
          <w:sz w:val="20"/>
          <w:szCs w:val="20"/>
          <w:color w:val="auto"/>
        </w:rPr>
      </w:pPr>
    </w:p>
    <w:p>
      <w:pPr>
        <w:ind w:left="260" w:right="600" w:hanging="252"/>
        <w:spacing w:after="0" w:line="264" w:lineRule="auto"/>
        <w:tabs>
          <w:tab w:leader="none" w:pos="219"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Efectve afer the Annual Meetng and assuming his re-electon, Mr. Donovan will become a member and the Chair of the Compensaton Commitee and step down from the Audit Commitee.</w:t>
      </w:r>
    </w:p>
    <w:p>
      <w:pPr>
        <w:spacing w:after="0" w:line="55" w:lineRule="exact"/>
        <w:rPr>
          <w:sz w:val="20"/>
          <w:szCs w:val="20"/>
          <w:color w:val="auto"/>
        </w:rPr>
      </w:pPr>
    </w:p>
    <w:p>
      <w:pPr>
        <w:spacing w:after="0"/>
        <w:tabs>
          <w:tab w:leader="none" w:pos="260" w:val="left"/>
        </w:tabs>
        <w:rPr>
          <w:sz w:val="20"/>
          <w:szCs w:val="20"/>
          <w:color w:val="auto"/>
        </w:rPr>
      </w:pPr>
      <w:r>
        <w:rPr>
          <w:rFonts w:ascii="Calibri" w:cs="Calibri" w:eastAsia="Calibri" w:hAnsi="Calibri"/>
          <w:sz w:val="14"/>
          <w:szCs w:val="14"/>
          <w:color w:val="auto"/>
        </w:rPr>
        <w:t>**</w:t>
        <w:tab/>
        <w:t>Other public board commitees are listed on page 6.</w:t>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9340" w:val="left"/>
          <w:tab w:leader="none" w:pos="1106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2"/>
          <w:szCs w:val="12"/>
          <w:b w:val="1"/>
          <w:bCs w:val="1"/>
          <w:color w:val="959595"/>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6986270" cy="33858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86270" cy="3385820"/>
                    </a:xfrm>
                    <a:prstGeom prst="rect">
                      <a:avLst/>
                    </a:prstGeom>
                    <a:noFill/>
                  </pic:spPr>
                </pic:pic>
              </a:graphicData>
            </a:graphic>
          </wp:anchor>
        </w:drawing>
      </w:r>
    </w:p>
    <w:p>
      <w:pPr>
        <w:sectPr>
          <w:pgSz w:w="11900" w:h="16838" w:orient="portrait"/>
          <w:cols w:equalWidth="0" w:num="1">
            <w:col w:w="10900"/>
          </w:cols>
          <w:pgMar w:left="320" w:top="23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Joseph F. Dunford, Jr.</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67</w:t>
      </w:r>
    </w:p>
    <w:p>
      <w:pPr>
        <w:spacing w:after="0" w:line="140" w:lineRule="exact"/>
        <w:rPr>
          <w:sz w:val="20"/>
          <w:szCs w:val="20"/>
          <w:color w:val="auto"/>
        </w:rPr>
      </w:pPr>
    </w:p>
    <w:p>
      <w:pPr>
        <w:ind w:left="220" w:right="440"/>
        <w:spacing w:after="0" w:line="304" w:lineRule="auto"/>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2020</w:t>
      </w:r>
      <w:r>
        <w:rPr>
          <w:rFonts w:ascii="Arial" w:cs="Arial" w:eastAsia="Arial" w:hAnsi="Arial"/>
          <w:sz w:val="16"/>
          <w:szCs w:val="16"/>
          <w:color w:val="003478"/>
          <w:shd w:val="clear" w:color="auto" w:fill="E5E7EF"/>
        </w:rPr>
        <w:t xml:space="preserve"> Independent Director</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Classified Business and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Security; Nominating and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Corporate Governance</w:t>
      </w:r>
    </w:p>
    <w:p>
      <w:pPr>
        <w:spacing w:after="0" w:line="114" w:lineRule="exact"/>
        <w:rPr>
          <w:sz w:val="20"/>
          <w:szCs w:val="20"/>
          <w:color w:val="auto"/>
        </w:rPr>
      </w:pPr>
    </w:p>
    <w:p>
      <w:pPr>
        <w:ind w:left="220" w:right="380"/>
        <w:spacing w:after="0" w:line="304" w:lineRule="auto"/>
        <w:rPr>
          <w:sz w:val="20"/>
          <w:szCs w:val="20"/>
          <w:color w:val="auto"/>
        </w:rPr>
      </w:pPr>
      <w:r>
        <w:rPr>
          <w:rFonts w:ascii="Arial" w:cs="Arial" w:eastAsia="Arial" w:hAnsi="Arial"/>
          <w:sz w:val="16"/>
          <w:szCs w:val="16"/>
          <w:color w:val="003478"/>
          <w:shd w:val="clear" w:color="auto" w:fill="E5E7EF"/>
        </w:rPr>
        <w:t xml:space="preserve">Other Public Boards** </w:t>
      </w:r>
      <w:r>
        <w:rPr>
          <w:rFonts w:ascii="Arial" w:cs="Arial" w:eastAsia="Arial" w:hAnsi="Arial"/>
          <w:sz w:val="16"/>
          <w:szCs w:val="16"/>
          <w:color w:val="003478"/>
        </w:rPr>
        <w:t>Satellogic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003478"/>
        </w:rPr>
        <w:t>Biography</w:t>
      </w:r>
    </w:p>
    <w:p>
      <w:pPr>
        <w:spacing w:after="0" w:line="32" w:lineRule="exact"/>
        <w:rPr>
          <w:sz w:val="20"/>
          <w:szCs w:val="20"/>
          <w:color w:val="auto"/>
        </w:rPr>
      </w:pPr>
    </w:p>
    <w:p>
      <w:pPr>
        <w:ind w:right="80"/>
        <w:spacing w:after="0" w:line="245" w:lineRule="auto"/>
        <w:rPr>
          <w:sz w:val="20"/>
          <w:szCs w:val="20"/>
          <w:color w:val="auto"/>
        </w:rPr>
      </w:pPr>
      <w:r>
        <w:rPr>
          <w:rFonts w:ascii="Calibri" w:cs="Calibri" w:eastAsia="Calibri" w:hAnsi="Calibri"/>
          <w:sz w:val="17"/>
          <w:szCs w:val="17"/>
          <w:color w:val="auto"/>
        </w:rPr>
        <w:t>Retred U.S. Marine Corps General, Mr. Dunford has served as a senior managing director and partner of Liberty Strategic Capital and as a member of the frm’s investment commitee since February 2022. Previously, he served as the 19th Chairman of the Joint Chiefs of Staf from 2015 untl his retrement in September 2019. His previous assignments include serving as the 36th Commandant of the Marine Corps and the Commander of all U.S. and NATO Forces in Afghanistan. He is a Senior Fellow at the Belfer Center, Harvard University, and Chairman of the Board of the Semper Fi and America’s Fund.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002E6D"/>
        </w:rPr>
        <w:t>Experience, Strategic Skills and Core Competencies</w:t>
      </w:r>
    </w:p>
    <w:p>
      <w:pPr>
        <w:spacing w:after="0" w:line="26" w:lineRule="exact"/>
        <w:rPr>
          <w:sz w:val="20"/>
          <w:szCs w:val="20"/>
          <w:color w:val="auto"/>
        </w:rPr>
      </w:pPr>
    </w:p>
    <w:p>
      <w:pPr>
        <w:ind w:left="200" w:right="40" w:hanging="199"/>
        <w:spacing w:after="0" w:line="230" w:lineRule="auto"/>
        <w:tabs>
          <w:tab w:leader="none" w:pos="160" w:val="left"/>
        </w:tabs>
        <w:numPr>
          <w:ilvl w:val="0"/>
          <w:numId w:val="18"/>
        </w:numPr>
        <w:rPr>
          <w:rFonts w:ascii="Arial" w:cs="Arial" w:eastAsia="Arial" w:hAnsi="Arial"/>
          <w:sz w:val="17"/>
          <w:szCs w:val="17"/>
          <w:color w:val="002E6D"/>
        </w:rPr>
      </w:pPr>
      <w:r>
        <w:rPr>
          <w:rFonts w:ascii="Calibri" w:cs="Calibri" w:eastAsia="Calibri" w:hAnsi="Calibri"/>
          <w:sz w:val="17"/>
          <w:szCs w:val="17"/>
          <w:color w:val="auto"/>
        </w:rPr>
        <w:t>Industry-specifc expertse and knowledge of our core customer from his service in senior leadership positons with the military</w:t>
      </w:r>
    </w:p>
    <w:p>
      <w:pPr>
        <w:spacing w:after="0" w:line="67" w:lineRule="exact"/>
        <w:rPr>
          <w:rFonts w:ascii="Arial" w:cs="Arial" w:eastAsia="Arial" w:hAnsi="Arial"/>
          <w:sz w:val="17"/>
          <w:szCs w:val="17"/>
          <w:color w:val="002E6D"/>
        </w:rPr>
      </w:pPr>
    </w:p>
    <w:p>
      <w:pPr>
        <w:ind w:left="160" w:right="20" w:hanging="159"/>
        <w:spacing w:after="0" w:line="245" w:lineRule="auto"/>
        <w:tabs>
          <w:tab w:leader="none" w:pos="153" w:val="left"/>
        </w:tabs>
        <w:numPr>
          <w:ilvl w:val="0"/>
          <w:numId w:val="18"/>
        </w:numPr>
        <w:rPr>
          <w:rFonts w:ascii="Calibri" w:cs="Calibri" w:eastAsia="Calibri" w:hAnsi="Calibri"/>
          <w:sz w:val="17"/>
          <w:szCs w:val="17"/>
          <w:color w:val="002E6D"/>
        </w:rPr>
      </w:pPr>
      <w:r>
        <w:rPr>
          <w:rFonts w:ascii="Calibri" w:cs="Calibri" w:eastAsia="Calibri" w:hAnsi="Calibri"/>
          <w:sz w:val="17"/>
          <w:szCs w:val="17"/>
          <w:color w:val="auto"/>
        </w:rPr>
        <w:t>Experience with the demands and challenges associated with managing large organizatons from his service as a Commander and Chairman of the Joint Chiefs of Staf</w:t>
      </w:r>
    </w:p>
    <w:p>
      <w:pPr>
        <w:spacing w:after="0" w:line="58" w:lineRule="exact"/>
        <w:rPr>
          <w:rFonts w:ascii="Calibri" w:cs="Calibri" w:eastAsia="Calibri" w:hAnsi="Calibri"/>
          <w:sz w:val="17"/>
          <w:szCs w:val="17"/>
          <w:color w:val="002E6D"/>
        </w:rPr>
      </w:pPr>
    </w:p>
    <w:p>
      <w:pPr>
        <w:ind w:left="200" w:hanging="199"/>
        <w:spacing w:after="0"/>
        <w:tabs>
          <w:tab w:leader="none" w:pos="200" w:val="left"/>
        </w:tabs>
        <w:numPr>
          <w:ilvl w:val="0"/>
          <w:numId w:val="18"/>
        </w:numPr>
        <w:rPr>
          <w:rFonts w:ascii="Calibri" w:cs="Calibri" w:eastAsia="Calibri" w:hAnsi="Calibri"/>
          <w:sz w:val="17"/>
          <w:szCs w:val="17"/>
          <w:color w:val="002E6D"/>
        </w:rPr>
      </w:pPr>
      <w:r>
        <w:rPr>
          <w:rFonts w:ascii="Calibri" w:cs="Calibri" w:eastAsia="Calibri" w:hAnsi="Calibri"/>
          <w:sz w:val="17"/>
          <w:szCs w:val="17"/>
          <w:color w:val="auto"/>
        </w:rPr>
        <w:t>Skilled in executve management, logistcs, military procurement and cybersecurity threats</w:t>
      </w:r>
    </w:p>
    <w:p>
      <w:pPr>
        <w:spacing w:after="0" w:line="200" w:lineRule="exact"/>
        <w:rPr>
          <w:sz w:val="20"/>
          <w:szCs w:val="20"/>
          <w:color w:val="auto"/>
        </w:rPr>
      </w:pPr>
    </w:p>
    <w:p>
      <w:pPr>
        <w:spacing w:after="0" w:line="215"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260" w:type="dxa"/>
            <w:vAlign w:val="bottom"/>
          </w:tcPr>
          <w:p>
            <w:pPr>
              <w:spacing w:after="0"/>
              <w:rPr>
                <w:sz w:val="20"/>
                <w:szCs w:val="20"/>
                <w:color w:val="auto"/>
              </w:rPr>
            </w:pPr>
            <w:r>
              <w:rPr>
                <w:rFonts w:ascii="Calibri" w:cs="Calibri" w:eastAsia="Calibri" w:hAnsi="Calibri"/>
                <w:sz w:val="14"/>
                <w:szCs w:val="14"/>
                <w:color w:val="auto"/>
              </w:rPr>
              <w:t>21st Century Security / Defense</w:t>
            </w:r>
          </w:p>
        </w:tc>
        <w:tc>
          <w:tcPr>
            <w:tcW w:w="2760" w:type="dxa"/>
            <w:vAlign w:val="bottom"/>
          </w:tcPr>
          <w:p>
            <w:pPr>
              <w:ind w:left="440"/>
              <w:spacing w:after="0"/>
              <w:rPr>
                <w:sz w:val="20"/>
                <w:szCs w:val="20"/>
                <w:color w:val="auto"/>
              </w:rPr>
            </w:pPr>
            <w:r>
              <w:rPr>
                <w:rFonts w:ascii="Calibri" w:cs="Calibri" w:eastAsia="Calibri" w:hAnsi="Calibri"/>
                <w:sz w:val="14"/>
                <w:szCs w:val="14"/>
                <w:color w:val="auto"/>
              </w:rPr>
              <w:t>AI, Autonomy, Advanced Comms,</w:t>
            </w:r>
          </w:p>
        </w:tc>
        <w:tc>
          <w:tcPr>
            <w:tcW w:w="1740" w:type="dxa"/>
            <w:vAlign w:val="bottom"/>
            <w:vMerge w:val="restart"/>
          </w:tcPr>
          <w:p>
            <w:pPr>
              <w:ind w:left="380"/>
              <w:spacing w:after="0"/>
              <w:rPr>
                <w:sz w:val="20"/>
                <w:szCs w:val="20"/>
                <w:color w:val="auto"/>
              </w:rPr>
            </w:pPr>
            <w:r>
              <w:rPr>
                <w:rFonts w:ascii="Calibri" w:cs="Calibri" w:eastAsia="Calibri" w:hAnsi="Calibri"/>
                <w:sz w:val="14"/>
                <w:szCs w:val="14"/>
                <w:color w:val="auto"/>
              </w:rPr>
              <w:t>Cybersecurity Expertse</w:t>
            </w:r>
          </w:p>
        </w:tc>
        <w:tc>
          <w:tcPr>
            <w:tcW w:w="0" w:type="dxa"/>
            <w:vAlign w:val="bottom"/>
          </w:tcPr>
          <w:p>
            <w:pPr>
              <w:spacing w:after="0"/>
              <w:rPr>
                <w:sz w:val="1"/>
                <w:szCs w:val="1"/>
                <w:color w:val="auto"/>
              </w:rPr>
            </w:pPr>
          </w:p>
        </w:tc>
      </w:tr>
      <w:tr>
        <w:trPr>
          <w:trHeight w:val="94"/>
        </w:trPr>
        <w:tc>
          <w:tcPr>
            <w:tcW w:w="2260" w:type="dxa"/>
            <w:vAlign w:val="bottom"/>
            <w:vMerge w:val="restart"/>
          </w:tcPr>
          <w:p>
            <w:pPr>
              <w:spacing w:after="0"/>
              <w:rPr>
                <w:sz w:val="20"/>
                <w:szCs w:val="20"/>
                <w:color w:val="auto"/>
              </w:rPr>
            </w:pPr>
            <w:r>
              <w:rPr>
                <w:rFonts w:ascii="Calibri" w:cs="Calibri" w:eastAsia="Calibri" w:hAnsi="Calibri"/>
                <w:sz w:val="14"/>
                <w:szCs w:val="14"/>
                <w:color w:val="auto"/>
              </w:rPr>
              <w:t>Industry Transformaton</w:t>
            </w:r>
          </w:p>
        </w:tc>
        <w:tc>
          <w:tcPr>
            <w:tcW w:w="2760" w:type="dxa"/>
            <w:vAlign w:val="bottom"/>
            <w:vMerge w:val="restart"/>
          </w:tcPr>
          <w:p>
            <w:pPr>
              <w:ind w:left="440"/>
              <w:spacing w:after="0"/>
              <w:rPr>
                <w:sz w:val="20"/>
                <w:szCs w:val="20"/>
                <w:color w:val="auto"/>
              </w:rPr>
            </w:pPr>
            <w:r>
              <w:rPr>
                <w:rFonts w:ascii="Calibri" w:cs="Calibri" w:eastAsia="Calibri" w:hAnsi="Calibri"/>
                <w:sz w:val="14"/>
                <w:szCs w:val="14"/>
                <w:color w:val="auto"/>
              </w:rPr>
              <w:t>Hypersonics, Space</w:t>
            </w: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26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40"/>
        <w:spacing w:after="0"/>
        <w:rPr>
          <w:sz w:val="20"/>
          <w:szCs w:val="20"/>
          <w:color w:val="auto"/>
        </w:rPr>
      </w:pPr>
      <w:r>
        <w:rPr>
          <w:rFonts w:ascii="Calibri" w:cs="Calibri" w:eastAsia="Calibri" w:hAnsi="Calibri"/>
          <w:sz w:val="14"/>
          <w:szCs w:val="14"/>
          <w:color w:val="auto"/>
        </w:rPr>
        <w:t>Senior Military / Government</w:t>
      </w:r>
    </w:p>
    <w:p>
      <w:pPr>
        <w:ind w:left="440"/>
        <w:spacing w:after="0" w:line="199" w:lineRule="auto"/>
        <w:tabs>
          <w:tab w:leader="none" w:pos="3120" w:val="left"/>
        </w:tabs>
        <w:rPr>
          <w:sz w:val="20"/>
          <w:szCs w:val="20"/>
          <w:color w:val="auto"/>
        </w:rPr>
      </w:pPr>
      <w:r>
        <w:rPr>
          <w:rFonts w:ascii="Calibri" w:cs="Calibri" w:eastAsia="Calibri" w:hAnsi="Calibri"/>
          <w:sz w:val="8"/>
          <w:szCs w:val="8"/>
          <w:color w:val="auto"/>
        </w:rPr>
        <w:t>Internatonal Business Expansion</w:t>
      </w:r>
      <w:r>
        <w:rPr>
          <w:sz w:val="20"/>
          <w:szCs w:val="20"/>
          <w:color w:val="auto"/>
        </w:rPr>
        <w:tab/>
      </w:r>
      <w:r>
        <w:rPr>
          <w:rFonts w:ascii="Calibri" w:cs="Calibri" w:eastAsia="Calibri" w:hAnsi="Calibri"/>
          <w:sz w:val="8"/>
          <w:szCs w:val="8"/>
          <w:color w:val="auto"/>
        </w:rPr>
        <w:t>Operatonal Executon and Efciency</w:t>
      </w:r>
    </w:p>
    <w:p>
      <w:pPr>
        <w:ind w:left="5840"/>
        <w:spacing w:after="0" w:line="199" w:lineRule="auto"/>
        <w:rPr>
          <w:sz w:val="20"/>
          <w:szCs w:val="20"/>
          <w:color w:val="auto"/>
        </w:rPr>
      </w:pPr>
      <w:r>
        <w:rPr>
          <w:rFonts w:ascii="Calibri" w:cs="Calibri" w:eastAsia="Calibri" w:hAnsi="Calibri"/>
          <w:sz w:val="14"/>
          <w:szCs w:val="14"/>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835660</wp:posOffset>
            </wp:positionV>
            <wp:extent cx="6986270" cy="32575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86270" cy="3257550"/>
                    </a:xfrm>
                    <a:prstGeom prst="rect">
                      <a:avLst/>
                    </a:prstGeom>
                    <a:noFill/>
                  </pic:spPr>
                </pic:pic>
              </a:graphicData>
            </a:graphic>
          </wp:anchor>
        </w:drawing>
      </w:r>
    </w:p>
    <w:p>
      <w:pPr>
        <w:spacing w:after="0" w:line="820" w:lineRule="exact"/>
        <w:rPr>
          <w:sz w:val="20"/>
          <w:szCs w:val="20"/>
          <w:color w:val="auto"/>
        </w:rPr>
      </w:pPr>
    </w:p>
    <w:p>
      <w:pPr>
        <w:sectPr>
          <w:pgSz w:w="11900" w:h="16838" w:orient="portrait"/>
          <w:cols w:equalWidth="0" w:num="2">
            <w:col w:w="2180" w:space="720"/>
            <w:col w:w="8000"/>
          </w:cols>
          <w:pgMar w:left="320" w:top="230"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James O. Ellis, Jr.</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2E6D"/>
        </w:rPr>
        <w:t>75</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2004</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Independent Director</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spacing w:after="0" w:line="31" w:lineRule="exact"/>
        <w:rPr>
          <w:sz w:val="20"/>
          <w:szCs w:val="20"/>
          <w:color w:val="auto"/>
        </w:rPr>
      </w:pPr>
    </w:p>
    <w:p>
      <w:pPr>
        <w:ind w:left="220"/>
        <w:spacing w:after="0" w:line="288" w:lineRule="auto"/>
        <w:rPr>
          <w:sz w:val="20"/>
          <w:szCs w:val="20"/>
          <w:color w:val="auto"/>
        </w:rPr>
      </w:pPr>
      <w:r>
        <w:rPr>
          <w:rFonts w:ascii="Arial" w:cs="Arial" w:eastAsia="Arial" w:hAnsi="Arial"/>
          <w:sz w:val="16"/>
          <w:szCs w:val="16"/>
          <w:color w:val="003478"/>
        </w:rPr>
        <w:t>Audit; Classified Business and Security, Chair</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Other Public Boards**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002E6D"/>
        </w:rPr>
        <w:t>Dominion Energy,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31" w:lineRule="exact"/>
        <w:rPr>
          <w:sz w:val="20"/>
          <w:szCs w:val="20"/>
          <w:color w:val="auto"/>
        </w:rPr>
      </w:pPr>
    </w:p>
    <w:p>
      <w:pPr>
        <w:ind w:left="5" w:right="120"/>
        <w:spacing w:after="0" w:line="241" w:lineRule="auto"/>
        <w:rPr>
          <w:sz w:val="20"/>
          <w:szCs w:val="20"/>
          <w:color w:val="auto"/>
        </w:rPr>
      </w:pPr>
      <w:r>
        <w:rPr>
          <w:rFonts w:ascii="Calibri" w:cs="Calibri" w:eastAsia="Calibri" w:hAnsi="Calibri"/>
          <w:sz w:val="17"/>
          <w:szCs w:val="17"/>
          <w:color w:val="auto"/>
        </w:rPr>
        <w:t>Admiral Ellis has served as an Annenberg Distnguished Fellow at the Hoover Insttuton at Stanford University since 2014. Previously, he served as President and Chief Executve Ofcer of the Insttute of Nuclear Power Operatons from May 2005 untl his retrement in May 2012. Mr. Ellis retred from actve duty in July 2004 afer serving as Admiral and Commander, United States Strategic Command, Ofut Air Force Base, Nebraska. He formerly served as a director of Level 3 Communicatons, Inc. from March 2005 to November 2017.</w:t>
      </w:r>
    </w:p>
    <w:p>
      <w:pPr>
        <w:spacing w:after="0" w:line="134" w:lineRule="exact"/>
        <w:rPr>
          <w:sz w:val="20"/>
          <w:szCs w:val="20"/>
          <w:color w:val="auto"/>
        </w:rPr>
      </w:pPr>
    </w:p>
    <w:p>
      <w:pPr>
        <w:ind w:left="45"/>
        <w:spacing w:after="0"/>
        <w:rPr>
          <w:sz w:val="20"/>
          <w:szCs w:val="20"/>
          <w:color w:val="auto"/>
        </w:rPr>
      </w:pPr>
      <w:r>
        <w:rPr>
          <w:rFonts w:ascii="Arial" w:cs="Arial" w:eastAsia="Arial" w:hAnsi="Arial"/>
          <w:sz w:val="16"/>
          <w:szCs w:val="16"/>
          <w:color w:val="002E6D"/>
        </w:rPr>
        <w:t>Experience, Strategic Skills and Core Competencies</w:t>
      </w:r>
    </w:p>
    <w:p>
      <w:pPr>
        <w:spacing w:after="0" w:line="46" w:lineRule="exact"/>
        <w:rPr>
          <w:sz w:val="20"/>
          <w:szCs w:val="20"/>
          <w:color w:val="auto"/>
        </w:rPr>
      </w:pPr>
    </w:p>
    <w:p>
      <w:pPr>
        <w:ind w:left="165" w:right="680" w:hanging="165"/>
        <w:spacing w:after="0" w:line="235" w:lineRule="auto"/>
        <w:tabs>
          <w:tab w:leader="none" w:pos="130" w:val="left"/>
        </w:tabs>
        <w:numPr>
          <w:ilvl w:val="0"/>
          <w:numId w:val="19"/>
        </w:numPr>
        <w:rPr>
          <w:rFonts w:ascii="Arial" w:cs="Arial" w:eastAsia="Arial" w:hAnsi="Arial"/>
          <w:sz w:val="17"/>
          <w:szCs w:val="17"/>
          <w:color w:val="002E6D"/>
        </w:rPr>
      </w:pPr>
      <w:r>
        <w:rPr>
          <w:rFonts w:ascii="Calibri" w:cs="Calibri" w:eastAsia="Calibri" w:hAnsi="Calibri"/>
          <w:sz w:val="17"/>
          <w:szCs w:val="17"/>
          <w:color w:val="auto"/>
        </w:rPr>
        <w:t>Industry-specifc expertse and knowledge of our core customers from his service in senior leadership positons with the military and the private sector</w:t>
      </w:r>
    </w:p>
    <w:p>
      <w:pPr>
        <w:spacing w:after="0" w:line="66" w:lineRule="exact"/>
        <w:rPr>
          <w:rFonts w:ascii="Arial" w:cs="Arial" w:eastAsia="Arial" w:hAnsi="Arial"/>
          <w:sz w:val="17"/>
          <w:szCs w:val="17"/>
          <w:color w:val="002E6D"/>
        </w:rPr>
      </w:pPr>
    </w:p>
    <w:p>
      <w:pPr>
        <w:ind w:left="165" w:right="300" w:hanging="165"/>
        <w:spacing w:after="0" w:line="245" w:lineRule="auto"/>
        <w:tabs>
          <w:tab w:leader="none" w:pos="158" w:val="left"/>
        </w:tabs>
        <w:numPr>
          <w:ilvl w:val="0"/>
          <w:numId w:val="19"/>
        </w:numPr>
        <w:rPr>
          <w:rFonts w:ascii="Calibri" w:cs="Calibri" w:eastAsia="Calibri" w:hAnsi="Calibri"/>
          <w:sz w:val="17"/>
          <w:szCs w:val="17"/>
          <w:color w:val="002E6D"/>
        </w:rPr>
      </w:pPr>
      <w:r>
        <w:rPr>
          <w:rFonts w:ascii="Calibri" w:cs="Calibri" w:eastAsia="Calibri" w:hAnsi="Calibri"/>
          <w:sz w:val="17"/>
          <w:szCs w:val="17"/>
          <w:color w:val="auto"/>
        </w:rPr>
        <w:t>Expertse in aeronautcal and aerospace engineering, informaton technology and emerging energy issues; classifed program expertse</w:t>
      </w:r>
    </w:p>
    <w:p>
      <w:pPr>
        <w:spacing w:after="0" w:line="62" w:lineRule="exact"/>
        <w:rPr>
          <w:rFonts w:ascii="Calibri" w:cs="Calibri" w:eastAsia="Calibri" w:hAnsi="Calibri"/>
          <w:sz w:val="17"/>
          <w:szCs w:val="17"/>
          <w:color w:val="002E6D"/>
        </w:rPr>
      </w:pPr>
    </w:p>
    <w:p>
      <w:pPr>
        <w:ind w:left="165" w:right="240" w:hanging="165"/>
        <w:spacing w:after="0" w:line="245" w:lineRule="auto"/>
        <w:tabs>
          <w:tab w:leader="none" w:pos="158"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Over 40 years’ experience in managing and leading large and complex technology-focused organizatons, in large part as a result of serving for 35 years as an actve duty member of the United States Navy</w:t>
      </w:r>
    </w:p>
    <w:p>
      <w:pPr>
        <w:spacing w:after="0" w:line="200" w:lineRule="exact"/>
        <w:rPr>
          <w:sz w:val="20"/>
          <w:szCs w:val="20"/>
          <w:color w:val="auto"/>
        </w:rPr>
      </w:pPr>
    </w:p>
    <w:p>
      <w:pPr>
        <w:spacing w:after="0" w:line="360" w:lineRule="exact"/>
        <w:rPr>
          <w:sz w:val="20"/>
          <w:szCs w:val="20"/>
          <w:color w:val="auto"/>
        </w:rPr>
      </w:pPr>
    </w:p>
    <w:tbl>
      <w:tblPr>
        <w:tblLayout w:type="fixed"/>
        <w:tblInd w:w="425" w:type="dxa"/>
        <w:tblCellMar>
          <w:top w:w="0" w:type="dxa"/>
          <w:left w:w="0" w:type="dxa"/>
          <w:bottom w:w="0" w:type="dxa"/>
          <w:right w:w="0" w:type="dxa"/>
        </w:tblCellMar>
      </w:tblPr>
      <w:tr>
        <w:trPr>
          <w:trHeight w:val="171"/>
        </w:trPr>
        <w:tc>
          <w:tcPr>
            <w:tcW w:w="2280" w:type="dxa"/>
            <w:vAlign w:val="bottom"/>
          </w:tcPr>
          <w:p>
            <w:pPr>
              <w:spacing w:after="0"/>
              <w:rPr>
                <w:sz w:val="20"/>
                <w:szCs w:val="20"/>
                <w:color w:val="auto"/>
              </w:rPr>
            </w:pPr>
            <w:r>
              <w:rPr>
                <w:rFonts w:ascii="Calibri" w:cs="Calibri" w:eastAsia="Calibri" w:hAnsi="Calibri"/>
                <w:sz w:val="14"/>
                <w:szCs w:val="14"/>
                <w:color w:val="auto"/>
              </w:rPr>
              <w:t>21st Century Security / Defense</w:t>
            </w:r>
          </w:p>
        </w:tc>
        <w:tc>
          <w:tcPr>
            <w:tcW w:w="2740" w:type="dxa"/>
            <w:vAlign w:val="bottom"/>
          </w:tcPr>
          <w:p>
            <w:pPr>
              <w:ind w:left="420"/>
              <w:spacing w:after="0"/>
              <w:rPr>
                <w:sz w:val="20"/>
                <w:szCs w:val="20"/>
                <w:color w:val="auto"/>
              </w:rPr>
            </w:pPr>
            <w:r>
              <w:rPr>
                <w:rFonts w:ascii="Calibri" w:cs="Calibri" w:eastAsia="Calibri" w:hAnsi="Calibri"/>
                <w:sz w:val="14"/>
                <w:szCs w:val="14"/>
                <w:color w:val="auto"/>
              </w:rPr>
              <w:t>AI, Autonomy, Advanced Comms,</w:t>
            </w:r>
          </w:p>
        </w:tc>
        <w:tc>
          <w:tcPr>
            <w:tcW w:w="2300" w:type="dxa"/>
            <w:vAlign w:val="bottom"/>
            <w:vMerge w:val="restart"/>
          </w:tcPr>
          <w:p>
            <w:pPr>
              <w:ind w:left="380"/>
              <w:spacing w:after="0"/>
              <w:rPr>
                <w:sz w:val="20"/>
                <w:szCs w:val="20"/>
                <w:color w:val="auto"/>
              </w:rPr>
            </w:pPr>
            <w:r>
              <w:rPr>
                <w:rFonts w:ascii="Calibri" w:cs="Calibri" w:eastAsia="Calibri" w:hAnsi="Calibri"/>
                <w:sz w:val="14"/>
                <w:szCs w:val="14"/>
                <w:color w:val="auto"/>
              </w:rPr>
              <w:t>Internatonal Business Expansion</w:t>
            </w:r>
          </w:p>
        </w:tc>
        <w:tc>
          <w:tcPr>
            <w:tcW w:w="0" w:type="dxa"/>
            <w:vAlign w:val="bottom"/>
          </w:tcPr>
          <w:p>
            <w:pPr>
              <w:spacing w:after="0"/>
              <w:rPr>
                <w:sz w:val="1"/>
                <w:szCs w:val="1"/>
                <w:color w:val="auto"/>
              </w:rPr>
            </w:pPr>
          </w:p>
        </w:tc>
      </w:tr>
      <w:tr>
        <w:trPr>
          <w:trHeight w:val="95"/>
        </w:trPr>
        <w:tc>
          <w:tcPr>
            <w:tcW w:w="2280" w:type="dxa"/>
            <w:vAlign w:val="bottom"/>
            <w:vMerge w:val="restart"/>
          </w:tcPr>
          <w:p>
            <w:pPr>
              <w:spacing w:after="0"/>
              <w:rPr>
                <w:sz w:val="20"/>
                <w:szCs w:val="20"/>
                <w:color w:val="auto"/>
              </w:rPr>
            </w:pPr>
            <w:r>
              <w:rPr>
                <w:rFonts w:ascii="Calibri" w:cs="Calibri" w:eastAsia="Calibri" w:hAnsi="Calibri"/>
                <w:sz w:val="14"/>
                <w:szCs w:val="14"/>
                <w:color w:val="auto"/>
              </w:rPr>
              <w:t>Industry Transformaton</w:t>
            </w:r>
          </w:p>
        </w:tc>
        <w:tc>
          <w:tcPr>
            <w:tcW w:w="2740" w:type="dxa"/>
            <w:vAlign w:val="bottom"/>
            <w:vMerge w:val="restart"/>
          </w:tcPr>
          <w:p>
            <w:pPr>
              <w:ind w:left="420"/>
              <w:spacing w:after="0"/>
              <w:rPr>
                <w:sz w:val="20"/>
                <w:szCs w:val="20"/>
                <w:color w:val="auto"/>
              </w:rPr>
            </w:pPr>
            <w:r>
              <w:rPr>
                <w:rFonts w:ascii="Calibri" w:cs="Calibri" w:eastAsia="Calibri" w:hAnsi="Calibri"/>
                <w:sz w:val="14"/>
                <w:szCs w:val="14"/>
                <w:color w:val="auto"/>
              </w:rPr>
              <w:t>Hypersonics, Space</w:t>
            </w:r>
          </w:p>
        </w:tc>
        <w:tc>
          <w:tcPr>
            <w:tcW w:w="2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280" w:type="dxa"/>
            <w:vAlign w:val="bottom"/>
            <w:vMerge w:val="continue"/>
          </w:tcPr>
          <w:p>
            <w:pPr>
              <w:spacing w:after="0"/>
              <w:rPr>
                <w:sz w:val="7"/>
                <w:szCs w:val="7"/>
                <w:color w:val="auto"/>
              </w:rPr>
            </w:pPr>
          </w:p>
        </w:tc>
        <w:tc>
          <w:tcPr>
            <w:tcW w:w="2740" w:type="dxa"/>
            <w:vAlign w:val="bottom"/>
            <w:vMerge w:val="continue"/>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125"/>
        <w:spacing w:after="0"/>
        <w:rPr>
          <w:sz w:val="20"/>
          <w:szCs w:val="20"/>
          <w:color w:val="auto"/>
        </w:rPr>
      </w:pPr>
      <w:r>
        <w:rPr>
          <w:rFonts w:ascii="Calibri" w:cs="Calibri" w:eastAsia="Calibri" w:hAnsi="Calibri"/>
          <w:sz w:val="14"/>
          <w:szCs w:val="14"/>
          <w:color w:val="auto"/>
        </w:rPr>
        <w:t>Senior Military / Government</w:t>
      </w:r>
    </w:p>
    <w:p>
      <w:pPr>
        <w:ind w:left="425"/>
        <w:spacing w:after="0" w:line="199" w:lineRule="auto"/>
        <w:rPr>
          <w:sz w:val="20"/>
          <w:szCs w:val="20"/>
          <w:color w:val="auto"/>
        </w:rPr>
      </w:pPr>
      <w:r>
        <w:rPr>
          <w:rFonts w:ascii="Calibri" w:cs="Calibri" w:eastAsia="Calibri" w:hAnsi="Calibri"/>
          <w:sz w:val="8"/>
          <w:szCs w:val="8"/>
          <w:color w:val="auto"/>
        </w:rPr>
        <w:t>Operatonal Executon and Efciency</w:t>
      </w:r>
    </w:p>
    <w:p>
      <w:pPr>
        <w:ind w:left="3125"/>
        <w:spacing w:after="0" w:line="199" w:lineRule="auto"/>
        <w:rPr>
          <w:sz w:val="20"/>
          <w:szCs w:val="20"/>
          <w:color w:val="auto"/>
        </w:rPr>
      </w:pPr>
      <w:r>
        <w:rPr>
          <w:rFonts w:ascii="Calibri" w:cs="Calibri" w:eastAsia="Calibri" w:hAnsi="Calibri"/>
          <w:sz w:val="14"/>
          <w:szCs w:val="14"/>
          <w:color w:val="auto"/>
        </w:rPr>
        <w:t>Experience</w:t>
      </w:r>
    </w:p>
    <w:p>
      <w:pPr>
        <w:spacing w:after="0" w:line="388" w:lineRule="exact"/>
        <w:rPr>
          <w:sz w:val="20"/>
          <w:szCs w:val="20"/>
          <w:color w:val="auto"/>
        </w:rPr>
      </w:pPr>
    </w:p>
    <w:p>
      <w:pPr>
        <w:sectPr>
          <w:pgSz w:w="11900" w:h="16838" w:orient="portrait"/>
          <w:cols w:equalWidth="0" w:num="2">
            <w:col w:w="2400" w:space="515"/>
            <w:col w:w="7985"/>
          </w:cols>
          <w:pgMar w:left="320" w:top="230" w:right="679" w:bottom="1440" w:gutter="0" w:footer="0" w:header="0"/>
          <w:type w:val="continuous"/>
        </w:sectPr>
      </w:pPr>
    </w:p>
    <w:p>
      <w:pPr>
        <w:spacing w:after="0" w:line="400" w:lineRule="exact"/>
        <w:rPr>
          <w:sz w:val="20"/>
          <w:szCs w:val="20"/>
          <w:color w:val="auto"/>
        </w:rPr>
      </w:pPr>
    </w:p>
    <w:p>
      <w:pPr>
        <w:ind w:left="260" w:hanging="252"/>
        <w:spacing w:after="0" w:line="264" w:lineRule="auto"/>
        <w:tabs>
          <w:tab w:leader="none" w:pos="219" w:val="left"/>
        </w:tabs>
        <w:numPr>
          <w:ilvl w:val="0"/>
          <w:numId w:val="20"/>
        </w:numPr>
        <w:rPr>
          <w:rFonts w:ascii="Calibri" w:cs="Calibri" w:eastAsia="Calibri" w:hAnsi="Calibri"/>
          <w:sz w:val="14"/>
          <w:szCs w:val="14"/>
          <w:color w:val="auto"/>
        </w:rPr>
      </w:pPr>
      <w:r>
        <w:rPr>
          <w:rFonts w:ascii="Calibri" w:cs="Calibri" w:eastAsia="Calibri" w:hAnsi="Calibri"/>
          <w:sz w:val="14"/>
          <w:szCs w:val="14"/>
          <w:color w:val="auto"/>
        </w:rPr>
        <w:t>Efectve afer the Annual Meetng and assuming his re-electon, Mr. Dunford will become Chair of the Classifed Business and Security Commitee. Mr. Ellis will remain a member of the Commitee.</w:t>
      </w:r>
    </w:p>
    <w:p>
      <w:pPr>
        <w:spacing w:after="0" w:line="55" w:lineRule="exact"/>
        <w:rPr>
          <w:sz w:val="20"/>
          <w:szCs w:val="20"/>
          <w:color w:val="auto"/>
        </w:rPr>
      </w:pPr>
    </w:p>
    <w:p>
      <w:pPr>
        <w:spacing w:after="0"/>
        <w:tabs>
          <w:tab w:leader="none" w:pos="260" w:val="left"/>
        </w:tabs>
        <w:rPr>
          <w:sz w:val="20"/>
          <w:szCs w:val="20"/>
          <w:color w:val="auto"/>
        </w:rPr>
      </w:pPr>
      <w:r>
        <w:rPr>
          <w:rFonts w:ascii="Calibri" w:cs="Calibri" w:eastAsia="Calibri" w:hAnsi="Calibri"/>
          <w:sz w:val="14"/>
          <w:szCs w:val="14"/>
          <w:color w:val="auto"/>
        </w:rPr>
        <w:t>**</w:t>
        <w:tab/>
        <w:t>Other public board commitees are listed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304165</wp:posOffset>
            </wp:positionV>
            <wp:extent cx="1071880" cy="180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30" w:right="67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140575" cy="33947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0575" cy="33947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Thomas J. Falk</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Calibri" w:cs="Calibri" w:eastAsia="Calibri" w:hAnsi="Calibri"/>
          <w:sz w:val="16"/>
          <w:szCs w:val="16"/>
          <w:color w:val="003478"/>
        </w:rPr>
        <w:t>64</w:t>
      </w:r>
    </w:p>
    <w:p>
      <w:pPr>
        <w:spacing w:after="0" w:line="129" w:lineRule="exact"/>
        <w:rPr>
          <w:sz w:val="20"/>
          <w:szCs w:val="20"/>
          <w:color w:val="auto"/>
        </w:rPr>
      </w:pPr>
    </w:p>
    <w:p>
      <w:pPr>
        <w:ind w:left="220" w:right="495"/>
        <w:spacing w:after="0" w:line="304" w:lineRule="auto"/>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2010</w:t>
      </w:r>
      <w:r>
        <w:rPr>
          <w:rFonts w:ascii="Arial" w:cs="Arial" w:eastAsia="Arial" w:hAnsi="Arial"/>
          <w:sz w:val="16"/>
          <w:szCs w:val="16"/>
          <w:color w:val="003478"/>
          <w:shd w:val="clear" w:color="auto" w:fill="E5E7EF"/>
        </w:rPr>
        <w:t xml:space="preserve"> Independent Director</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Audit, Chair; Management</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Development and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Compensation</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Other Public Boards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002E6D"/>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31" w:lineRule="exact"/>
        <w:rPr>
          <w:sz w:val="20"/>
          <w:szCs w:val="20"/>
          <w:color w:val="auto"/>
        </w:rPr>
      </w:pPr>
    </w:p>
    <w:p>
      <w:pPr>
        <w:ind w:left="5" w:right="280"/>
        <w:spacing w:after="0" w:line="244" w:lineRule="auto"/>
        <w:rPr>
          <w:sz w:val="20"/>
          <w:szCs w:val="20"/>
          <w:color w:val="auto"/>
        </w:rPr>
      </w:pPr>
      <w:r>
        <w:rPr>
          <w:rFonts w:ascii="Calibri" w:cs="Calibri" w:eastAsia="Calibri" w:hAnsi="Calibri"/>
          <w:sz w:val="17"/>
          <w:szCs w:val="17"/>
          <w:color w:val="auto"/>
        </w:rPr>
        <w:t>Executve Chairman of Kimberly-Clark Corporaton from January 2019 through December 2019. Having served 36 years at Kimberly-Clark Corporaton, Mr. Falk was Chairman of the Board and Chief Executve Ofcer from 2003 untl December 2018; Chief Executve Ofcer from 2002 and President and Chief Operatng Ofcer from 1999 to 2002.</w:t>
      </w:r>
    </w:p>
    <w:p>
      <w:pPr>
        <w:spacing w:after="0" w:line="327" w:lineRule="exact"/>
        <w:rPr>
          <w:sz w:val="20"/>
          <w:szCs w:val="20"/>
          <w:color w:val="auto"/>
        </w:rPr>
      </w:pPr>
    </w:p>
    <w:p>
      <w:pPr>
        <w:ind w:left="5"/>
        <w:spacing w:after="0"/>
        <w:rPr>
          <w:sz w:val="20"/>
          <w:szCs w:val="20"/>
          <w:color w:val="auto"/>
        </w:rPr>
      </w:pPr>
      <w:r>
        <w:rPr>
          <w:rFonts w:ascii="Arial" w:cs="Arial" w:eastAsia="Arial" w:hAnsi="Arial"/>
          <w:sz w:val="16"/>
          <w:szCs w:val="16"/>
          <w:color w:val="002E6D"/>
        </w:rPr>
        <w:t>Experience, Strategic Skills and Core Competencies</w:t>
      </w:r>
    </w:p>
    <w:p>
      <w:pPr>
        <w:spacing w:after="0" w:line="32" w:lineRule="exact"/>
        <w:rPr>
          <w:sz w:val="20"/>
          <w:szCs w:val="20"/>
          <w:color w:val="auto"/>
        </w:rPr>
      </w:pPr>
    </w:p>
    <w:p>
      <w:pPr>
        <w:ind w:left="165" w:right="160" w:hanging="165"/>
        <w:spacing w:after="0" w:line="245" w:lineRule="auto"/>
        <w:tabs>
          <w:tab w:leader="none" w:pos="130" w:val="left"/>
        </w:tabs>
        <w:numPr>
          <w:ilvl w:val="0"/>
          <w:numId w:val="21"/>
        </w:numPr>
        <w:rPr>
          <w:rFonts w:ascii="Arial" w:cs="Arial" w:eastAsia="Arial" w:hAnsi="Arial"/>
          <w:sz w:val="17"/>
          <w:szCs w:val="17"/>
          <w:color w:val="002E6D"/>
        </w:rPr>
      </w:pPr>
      <w:r>
        <w:rPr>
          <w:rFonts w:ascii="Calibri" w:cs="Calibri" w:eastAsia="Calibri" w:hAnsi="Calibri"/>
          <w:sz w:val="17"/>
          <w:szCs w:val="17"/>
          <w:color w:val="auto"/>
        </w:rPr>
        <w:t>Experience with the demands and challenges associated with managing global organizatons from his experience as Chairman and Chief Executve Ofcer of Kimberly-Clark Corporaton</w:t>
      </w:r>
    </w:p>
    <w:p>
      <w:pPr>
        <w:spacing w:after="0" w:line="62" w:lineRule="exact"/>
        <w:rPr>
          <w:rFonts w:ascii="Arial" w:cs="Arial" w:eastAsia="Arial" w:hAnsi="Arial"/>
          <w:sz w:val="17"/>
          <w:szCs w:val="17"/>
          <w:color w:val="002E6D"/>
        </w:rPr>
      </w:pPr>
    </w:p>
    <w:p>
      <w:pPr>
        <w:ind w:left="165" w:right="220" w:hanging="165"/>
        <w:spacing w:after="0" w:line="245" w:lineRule="auto"/>
        <w:tabs>
          <w:tab w:leader="none" w:pos="157" w:val="left"/>
        </w:tabs>
        <w:numPr>
          <w:ilvl w:val="0"/>
          <w:numId w:val="21"/>
        </w:numPr>
        <w:rPr>
          <w:rFonts w:ascii="Calibri" w:cs="Calibri" w:eastAsia="Calibri" w:hAnsi="Calibri"/>
          <w:sz w:val="17"/>
          <w:szCs w:val="17"/>
          <w:color w:val="002E6D"/>
        </w:rPr>
      </w:pPr>
      <w:r>
        <w:rPr>
          <w:rFonts w:ascii="Calibri" w:cs="Calibri" w:eastAsia="Calibri" w:hAnsi="Calibri"/>
          <w:sz w:val="17"/>
          <w:szCs w:val="17"/>
          <w:color w:val="auto"/>
        </w:rPr>
        <w:t>Knowledge of fnancial system management, public company accountng, disclosure requirements and fnancial markets</w:t>
      </w:r>
    </w:p>
    <w:p>
      <w:pPr>
        <w:spacing w:after="0" w:line="45" w:lineRule="exact"/>
        <w:rPr>
          <w:rFonts w:ascii="Calibri" w:cs="Calibri" w:eastAsia="Calibri" w:hAnsi="Calibri"/>
          <w:sz w:val="17"/>
          <w:szCs w:val="17"/>
          <w:color w:val="002E6D"/>
        </w:rPr>
      </w:pPr>
    </w:p>
    <w:p>
      <w:pPr>
        <w:ind w:left="165" w:hanging="165"/>
        <w:spacing w:after="0"/>
        <w:tabs>
          <w:tab w:leader="none" w:pos="165" w:val="left"/>
        </w:tabs>
        <w:numPr>
          <w:ilvl w:val="0"/>
          <w:numId w:val="21"/>
        </w:numPr>
        <w:rPr>
          <w:rFonts w:ascii="Calibri" w:cs="Calibri" w:eastAsia="Calibri" w:hAnsi="Calibri"/>
          <w:sz w:val="17"/>
          <w:szCs w:val="17"/>
          <w:color w:val="002E6D"/>
        </w:rPr>
      </w:pPr>
      <w:r>
        <w:rPr>
          <w:rFonts w:ascii="Calibri" w:cs="Calibri" w:eastAsia="Calibri" w:hAnsi="Calibri"/>
          <w:sz w:val="17"/>
          <w:szCs w:val="17"/>
          <w:color w:val="auto"/>
        </w:rPr>
        <w:t>Skilled in manufacturing, human capital management, compensaton, governance and public company boards</w:t>
      </w:r>
    </w:p>
    <w:p>
      <w:pPr>
        <w:spacing w:after="0" w:line="375" w:lineRule="exact"/>
        <w:rPr>
          <w:sz w:val="20"/>
          <w:szCs w:val="20"/>
          <w:color w:val="auto"/>
        </w:rPr>
      </w:pPr>
    </w:p>
    <w:tbl>
      <w:tblPr>
        <w:tblLayout w:type="fixed"/>
        <w:tblInd w:w="445" w:type="dxa"/>
        <w:tblCellMar>
          <w:top w:w="0" w:type="dxa"/>
          <w:left w:w="0" w:type="dxa"/>
          <w:bottom w:w="0" w:type="dxa"/>
          <w:right w:w="0" w:type="dxa"/>
        </w:tblCellMar>
      </w:tblPr>
      <w:tr>
        <w:trPr>
          <w:trHeight w:val="171"/>
        </w:trPr>
        <w:tc>
          <w:tcPr>
            <w:tcW w:w="2420" w:type="dxa"/>
            <w:vAlign w:val="bottom"/>
            <w:vMerge w:val="restart"/>
          </w:tcPr>
          <w:p>
            <w:pPr>
              <w:spacing w:after="0"/>
              <w:rPr>
                <w:sz w:val="20"/>
                <w:szCs w:val="20"/>
                <w:color w:val="auto"/>
              </w:rPr>
            </w:pPr>
            <w:r>
              <w:rPr>
                <w:rFonts w:ascii="Calibri" w:cs="Calibri" w:eastAsia="Calibri" w:hAnsi="Calibri"/>
                <w:sz w:val="14"/>
                <w:szCs w:val="14"/>
                <w:color w:val="auto"/>
              </w:rPr>
              <w:t>Business and Digital Transformaton</w:t>
            </w:r>
          </w:p>
        </w:tc>
        <w:tc>
          <w:tcPr>
            <w:tcW w:w="2600" w:type="dxa"/>
            <w:vAlign w:val="bottom"/>
          </w:tcPr>
          <w:p>
            <w:pPr>
              <w:ind w:left="340"/>
              <w:spacing w:after="0"/>
              <w:rPr>
                <w:sz w:val="20"/>
                <w:szCs w:val="20"/>
                <w:color w:val="auto"/>
              </w:rPr>
            </w:pPr>
            <w:r>
              <w:rPr>
                <w:rFonts w:ascii="Calibri" w:cs="Calibri" w:eastAsia="Calibri" w:hAnsi="Calibri"/>
                <w:sz w:val="14"/>
                <w:szCs w:val="14"/>
                <w:color w:val="auto"/>
              </w:rPr>
              <w:t>Business Model / Commercial</w:t>
            </w:r>
          </w:p>
        </w:tc>
        <w:tc>
          <w:tcPr>
            <w:tcW w:w="1420" w:type="dxa"/>
            <w:vAlign w:val="bottom"/>
          </w:tcPr>
          <w:p>
            <w:pPr>
              <w:ind w:left="520"/>
              <w:spacing w:after="0"/>
              <w:rPr>
                <w:sz w:val="20"/>
                <w:szCs w:val="20"/>
                <w:color w:val="auto"/>
              </w:rPr>
            </w:pPr>
            <w:r>
              <w:rPr>
                <w:rFonts w:ascii="Calibri" w:cs="Calibri" w:eastAsia="Calibri" w:hAnsi="Calibri"/>
                <w:sz w:val="14"/>
                <w:szCs w:val="14"/>
                <w:color w:val="auto"/>
                <w:w w:val="98"/>
              </w:rPr>
              <w:t>CEO Leadership</w:t>
            </w:r>
          </w:p>
        </w:tc>
        <w:tc>
          <w:tcPr>
            <w:tcW w:w="0" w:type="dxa"/>
            <w:vAlign w:val="bottom"/>
          </w:tcPr>
          <w:p>
            <w:pPr>
              <w:spacing w:after="0"/>
              <w:rPr>
                <w:sz w:val="1"/>
                <w:szCs w:val="1"/>
                <w:color w:val="auto"/>
              </w:rPr>
            </w:pPr>
          </w:p>
        </w:tc>
      </w:tr>
      <w:tr>
        <w:trPr>
          <w:trHeight w:val="94"/>
        </w:trPr>
        <w:tc>
          <w:tcPr>
            <w:tcW w:w="2420" w:type="dxa"/>
            <w:vAlign w:val="bottom"/>
            <w:vMerge w:val="continue"/>
          </w:tcPr>
          <w:p>
            <w:pPr>
              <w:spacing w:after="0"/>
              <w:rPr>
                <w:sz w:val="8"/>
                <w:szCs w:val="8"/>
                <w:color w:val="auto"/>
              </w:rPr>
            </w:pPr>
          </w:p>
        </w:tc>
        <w:tc>
          <w:tcPr>
            <w:tcW w:w="2600" w:type="dxa"/>
            <w:vAlign w:val="bottom"/>
            <w:vMerge w:val="restart"/>
          </w:tcPr>
          <w:p>
            <w:pPr>
              <w:ind w:left="340"/>
              <w:spacing w:after="0"/>
              <w:rPr>
                <w:sz w:val="20"/>
                <w:szCs w:val="20"/>
                <w:color w:val="auto"/>
              </w:rPr>
            </w:pPr>
            <w:r>
              <w:rPr>
                <w:rFonts w:ascii="Calibri" w:cs="Calibri" w:eastAsia="Calibri" w:hAnsi="Calibri"/>
                <w:sz w:val="14"/>
                <w:szCs w:val="14"/>
                <w:color w:val="auto"/>
              </w:rPr>
              <w:t>Partnerships</w:t>
            </w:r>
          </w:p>
        </w:tc>
        <w:tc>
          <w:tcPr>
            <w:tcW w:w="1420" w:type="dxa"/>
            <w:vAlign w:val="bottom"/>
            <w:vMerge w:val="restart"/>
          </w:tcPr>
          <w:p>
            <w:pPr>
              <w:ind w:left="520"/>
              <w:spacing w:after="0"/>
              <w:rPr>
                <w:sz w:val="20"/>
                <w:szCs w:val="20"/>
                <w:color w:val="auto"/>
              </w:rPr>
            </w:pPr>
            <w:r>
              <w:rPr>
                <w:rFonts w:ascii="Calibri" w:cs="Calibri" w:eastAsia="Calibri" w:hAnsi="Calibri"/>
                <w:sz w:val="14"/>
                <w:szCs w:val="14"/>
                <w:color w:val="auto"/>
              </w:rPr>
              <w:t>Experience</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60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45"/>
        <w:spacing w:after="0"/>
        <w:rPr>
          <w:sz w:val="20"/>
          <w:szCs w:val="20"/>
          <w:color w:val="auto"/>
        </w:rPr>
      </w:pPr>
      <w:r>
        <w:rPr>
          <w:rFonts w:ascii="Calibri" w:cs="Calibri" w:eastAsia="Calibri" w:hAnsi="Calibri"/>
          <w:sz w:val="14"/>
          <w:szCs w:val="14"/>
          <w:color w:val="auto"/>
        </w:rPr>
        <w:t>Environment, Social and Governance</w:t>
      </w:r>
    </w:p>
    <w:p>
      <w:pPr>
        <w:ind w:left="3205"/>
        <w:spacing w:after="0" w:line="199" w:lineRule="auto"/>
        <w:tabs>
          <w:tab w:leader="none" w:pos="5964" w:val="left"/>
        </w:tabs>
        <w:rPr>
          <w:sz w:val="20"/>
          <w:szCs w:val="20"/>
          <w:color w:val="auto"/>
        </w:rPr>
      </w:pPr>
      <w:r>
        <w:rPr>
          <w:rFonts w:ascii="Calibri" w:cs="Calibri" w:eastAsia="Calibri" w:hAnsi="Calibri"/>
          <w:sz w:val="8"/>
          <w:szCs w:val="8"/>
          <w:color w:val="auto"/>
        </w:rPr>
        <w:t>Financial Expertse</w:t>
      </w:r>
      <w:r>
        <w:rPr>
          <w:sz w:val="20"/>
          <w:szCs w:val="20"/>
          <w:color w:val="auto"/>
        </w:rPr>
        <w:tab/>
      </w:r>
      <w:r>
        <w:rPr>
          <w:rFonts w:ascii="Calibri" w:cs="Calibri" w:eastAsia="Calibri" w:hAnsi="Calibri"/>
          <w:sz w:val="8"/>
          <w:szCs w:val="8"/>
          <w:color w:val="auto"/>
        </w:rPr>
        <w:t>Internatonal Business Expansion</w:t>
      </w:r>
    </w:p>
    <w:p>
      <w:pPr>
        <w:ind w:left="445"/>
        <w:spacing w:after="0" w:line="199" w:lineRule="auto"/>
        <w:rPr>
          <w:sz w:val="20"/>
          <w:szCs w:val="20"/>
          <w:color w:val="auto"/>
        </w:rPr>
      </w:pPr>
      <w:r>
        <w:rPr>
          <w:rFonts w:ascii="Calibri" w:cs="Calibri" w:eastAsia="Calibri" w:hAnsi="Calibri"/>
          <w:sz w:val="14"/>
          <w:szCs w:val="14"/>
          <w:color w:val="auto"/>
        </w:rPr>
        <w:t>Expertse</w:t>
      </w:r>
    </w:p>
    <w:p>
      <w:pPr>
        <w:spacing w:after="0" w:line="37" w:lineRule="exact"/>
        <w:rPr>
          <w:sz w:val="20"/>
          <w:szCs w:val="20"/>
          <w:color w:val="auto"/>
        </w:rPr>
      </w:pPr>
    </w:p>
    <w:p>
      <w:pPr>
        <w:ind w:left="445"/>
        <w:spacing w:after="0"/>
        <w:rPr>
          <w:sz w:val="20"/>
          <w:szCs w:val="20"/>
          <w:color w:val="auto"/>
        </w:rPr>
      </w:pPr>
      <w:r>
        <w:rPr>
          <w:rFonts w:ascii="Calibri" w:cs="Calibri" w:eastAsia="Calibri" w:hAnsi="Calibri"/>
          <w:sz w:val="14"/>
          <w:szCs w:val="14"/>
          <w:color w:val="auto"/>
        </w:rPr>
        <w:t xml:space="preserve">M&amp;A Expertse                    </w:t>
      </w:r>
      <w:r>
        <w:rPr>
          <w:sz w:val="1"/>
          <w:szCs w:val="1"/>
          <w:color w:val="auto"/>
        </w:rPr>
        <w:drawing>
          <wp:inline distT="0" distB="0" distL="0" distR="0">
            <wp:extent cx="171450" cy="1714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Calibri" w:cs="Calibri" w:eastAsia="Calibri" w:hAnsi="Calibri"/>
          <w:sz w:val="14"/>
          <w:szCs w:val="14"/>
          <w:color w:val="auto"/>
        </w:rPr>
        <w:t xml:space="preserve">   Operatonal Executon and Efciency  </w:t>
      </w:r>
      <w:r>
        <w:rPr>
          <w:sz w:val="1"/>
          <w:szCs w:val="1"/>
          <w:color w:val="auto"/>
        </w:rPr>
        <w:drawing>
          <wp:inline distT="0" distB="0" distL="0" distR="0">
            <wp:extent cx="171450" cy="20574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205740"/>
                    </a:xfrm>
                    <a:prstGeom prst="rect">
                      <a:avLst/>
                    </a:prstGeom>
                    <a:noFill/>
                    <a:ln>
                      <a:noFill/>
                    </a:ln>
                  </pic:spPr>
                </pic:pic>
              </a:graphicData>
            </a:graphic>
          </wp:inline>
        </w:drawing>
      </w:r>
      <w:r>
        <w:rPr>
          <w:rFonts w:ascii="Calibri" w:cs="Calibri" w:eastAsia="Calibri" w:hAnsi="Calibri"/>
          <w:sz w:val="14"/>
          <w:szCs w:val="14"/>
          <w:color w:val="auto"/>
        </w:rPr>
        <w:t xml:space="preserve">   Supply Chain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857250</wp:posOffset>
            </wp:positionV>
            <wp:extent cx="7140575" cy="34118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0575" cy="3411855"/>
                    </a:xfrm>
                    <a:prstGeom prst="rect">
                      <a:avLst/>
                    </a:prstGeom>
                    <a:noFill/>
                  </pic:spPr>
                </pic:pic>
              </a:graphicData>
            </a:graphic>
          </wp:anchor>
        </w:drawing>
      </w:r>
    </w:p>
    <w:p>
      <w:pPr>
        <w:spacing w:after="0" w:line="827" w:lineRule="exact"/>
        <w:rPr>
          <w:sz w:val="20"/>
          <w:szCs w:val="20"/>
          <w:color w:val="auto"/>
        </w:rPr>
      </w:pPr>
    </w:p>
    <w:p>
      <w:pPr>
        <w:sectPr>
          <w:pgSz w:w="11900" w:h="16838" w:orient="portrait"/>
          <w:cols w:equalWidth="0" w:num="2">
            <w:col w:w="2235" w:space="720"/>
            <w:col w:w="8285"/>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Ilene S. Gordon</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69</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2016</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Independent Director</w:t>
      </w:r>
    </w:p>
    <w:p>
      <w:pPr>
        <w:spacing w:after="0" w:line="114" w:lineRule="exact"/>
        <w:rPr>
          <w:sz w:val="20"/>
          <w:szCs w:val="20"/>
          <w:color w:val="auto"/>
        </w:rPr>
      </w:pPr>
    </w:p>
    <w:p>
      <w:pPr>
        <w:ind w:left="220" w:right="600"/>
        <w:spacing w:after="0" w:line="277" w:lineRule="auto"/>
        <w:rPr>
          <w:sz w:val="20"/>
          <w:szCs w:val="20"/>
          <w:color w:val="auto"/>
        </w:rPr>
      </w:pPr>
      <w:r>
        <w:rPr>
          <w:rFonts w:ascii="Arial" w:cs="Arial" w:eastAsia="Arial" w:hAnsi="Arial"/>
          <w:sz w:val="16"/>
          <w:szCs w:val="16"/>
          <w:color w:val="003478"/>
        </w:rPr>
        <w:t>Committees* Audit; Management Development and Compensation, Chair</w:t>
      </w:r>
    </w:p>
    <w:p>
      <w:pPr>
        <w:spacing w:after="0" w:line="69" w:lineRule="exact"/>
        <w:rPr>
          <w:sz w:val="20"/>
          <w:szCs w:val="20"/>
          <w:color w:val="auto"/>
        </w:rPr>
      </w:pPr>
    </w:p>
    <w:p>
      <w:pPr>
        <w:ind w:left="220"/>
        <w:spacing w:after="0" w:line="304" w:lineRule="auto"/>
        <w:rPr>
          <w:sz w:val="20"/>
          <w:szCs w:val="20"/>
          <w:color w:val="auto"/>
        </w:rPr>
      </w:pPr>
      <w:r>
        <w:rPr>
          <w:rFonts w:ascii="Arial" w:cs="Arial" w:eastAsia="Arial" w:hAnsi="Arial"/>
          <w:sz w:val="16"/>
          <w:szCs w:val="16"/>
          <w:color w:val="003478"/>
          <w:shd w:val="clear" w:color="auto" w:fill="E5E7EF"/>
        </w:rPr>
        <w:t xml:space="preserve">Other Public Boards** </w:t>
      </w:r>
      <w:r>
        <w:rPr>
          <w:rFonts w:ascii="Arial" w:cs="Arial" w:eastAsia="Arial" w:hAnsi="Arial"/>
          <w:sz w:val="16"/>
          <w:szCs w:val="16"/>
          <w:color w:val="003478"/>
        </w:rPr>
        <w:t>International Paper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31" w:lineRule="exact"/>
        <w:rPr>
          <w:sz w:val="20"/>
          <w:szCs w:val="20"/>
          <w:color w:val="auto"/>
        </w:rPr>
      </w:pPr>
    </w:p>
    <w:p>
      <w:pPr>
        <w:ind w:left="5" w:right="260"/>
        <w:spacing w:after="0" w:line="236" w:lineRule="auto"/>
        <w:rPr>
          <w:sz w:val="20"/>
          <w:szCs w:val="20"/>
          <w:color w:val="auto"/>
        </w:rPr>
      </w:pPr>
      <w:r>
        <w:rPr>
          <w:rFonts w:ascii="Calibri" w:cs="Calibri" w:eastAsia="Calibri" w:hAnsi="Calibri"/>
          <w:sz w:val="17"/>
          <w:szCs w:val="17"/>
          <w:color w:val="auto"/>
        </w:rPr>
        <w:t>Executve Chairman of the Board of Ingredion Incorporated from January 2018 through July 2018. Previously, Ms. Gordon was Chairman of the Board, President and Chief Executve Ofcer of Ingredion Incorporated from May</w:t>
      </w:r>
    </w:p>
    <w:p>
      <w:pPr>
        <w:ind w:left="5" w:right="100"/>
        <w:spacing w:after="0" w:line="246" w:lineRule="auto"/>
        <w:rPr>
          <w:sz w:val="20"/>
          <w:szCs w:val="20"/>
          <w:color w:val="auto"/>
        </w:rPr>
      </w:pPr>
      <w:r>
        <w:rPr>
          <w:rFonts w:ascii="Calibri" w:cs="Calibri" w:eastAsia="Calibri" w:hAnsi="Calibri"/>
          <w:sz w:val="17"/>
          <w:szCs w:val="17"/>
          <w:color w:val="auto"/>
        </w:rPr>
        <w:t>2009 through December 2017. Ingredion Incorporated is a publicly traded corporaton that manufactures food ingredients globally. Ms. Gordon served as a director of Internatonal Flavors &amp; Fragrances, Inc. from February 2021 to February 2023.</w:t>
      </w:r>
    </w:p>
    <w:p>
      <w:pPr>
        <w:spacing w:after="0" w:line="129" w:lineRule="exact"/>
        <w:rPr>
          <w:sz w:val="20"/>
          <w:szCs w:val="20"/>
          <w:color w:val="auto"/>
        </w:rPr>
      </w:pPr>
    </w:p>
    <w:p>
      <w:pPr>
        <w:ind w:left="5"/>
        <w:spacing w:after="0"/>
        <w:rPr>
          <w:sz w:val="20"/>
          <w:szCs w:val="20"/>
          <w:color w:val="auto"/>
        </w:rPr>
      </w:pPr>
      <w:r>
        <w:rPr>
          <w:rFonts w:ascii="Arial" w:cs="Arial" w:eastAsia="Arial" w:hAnsi="Arial"/>
          <w:sz w:val="16"/>
          <w:szCs w:val="16"/>
          <w:color w:val="002E6D"/>
        </w:rPr>
        <w:t>Experience, Strategic Skills and Core Competencies</w:t>
      </w:r>
    </w:p>
    <w:p>
      <w:pPr>
        <w:spacing w:after="0" w:line="31" w:lineRule="exact"/>
        <w:rPr>
          <w:sz w:val="20"/>
          <w:szCs w:val="20"/>
          <w:color w:val="auto"/>
        </w:rPr>
      </w:pPr>
    </w:p>
    <w:p>
      <w:pPr>
        <w:ind w:left="185" w:right="880" w:hanging="185"/>
        <w:spacing w:after="0" w:line="228" w:lineRule="auto"/>
        <w:tabs>
          <w:tab w:leader="none" w:pos="186" w:val="left"/>
        </w:tabs>
        <w:numPr>
          <w:ilvl w:val="0"/>
          <w:numId w:val="22"/>
        </w:numPr>
        <w:rPr>
          <w:rFonts w:ascii="Calibri" w:cs="Calibri" w:eastAsia="Calibri" w:hAnsi="Calibri"/>
          <w:sz w:val="17"/>
          <w:szCs w:val="17"/>
          <w:color w:val="002E6D"/>
        </w:rPr>
      </w:pPr>
      <w:r>
        <w:rPr>
          <w:rFonts w:ascii="Calibri" w:cs="Calibri" w:eastAsia="Calibri" w:hAnsi="Calibri"/>
          <w:sz w:val="17"/>
          <w:szCs w:val="17"/>
          <w:color w:val="auto"/>
        </w:rPr>
        <w:t>Experience with the demands and challenges associated with managing global organizatons from her experience as Chairman, President and Chief Executve Ofcer of Ingredion Incorporated</w:t>
      </w:r>
    </w:p>
    <w:p>
      <w:pPr>
        <w:spacing w:after="0" w:line="66" w:lineRule="exact"/>
        <w:rPr>
          <w:rFonts w:ascii="Calibri" w:cs="Calibri" w:eastAsia="Calibri" w:hAnsi="Calibri"/>
          <w:sz w:val="17"/>
          <w:szCs w:val="17"/>
          <w:color w:val="002E6D"/>
        </w:rPr>
      </w:pPr>
    </w:p>
    <w:p>
      <w:pPr>
        <w:ind w:left="165" w:right="220" w:hanging="165"/>
        <w:spacing w:after="0" w:line="245" w:lineRule="auto"/>
        <w:tabs>
          <w:tab w:leader="none" w:pos="157" w:val="left"/>
        </w:tabs>
        <w:numPr>
          <w:ilvl w:val="0"/>
          <w:numId w:val="22"/>
        </w:numPr>
        <w:rPr>
          <w:rFonts w:ascii="Calibri" w:cs="Calibri" w:eastAsia="Calibri" w:hAnsi="Calibri"/>
          <w:sz w:val="17"/>
          <w:szCs w:val="17"/>
          <w:color w:val="002E6D"/>
        </w:rPr>
      </w:pPr>
      <w:r>
        <w:rPr>
          <w:rFonts w:ascii="Calibri" w:cs="Calibri" w:eastAsia="Calibri" w:hAnsi="Calibri"/>
          <w:sz w:val="17"/>
          <w:szCs w:val="17"/>
          <w:color w:val="auto"/>
        </w:rPr>
        <w:t>Knowledge of fnancial system management, public company accountng, disclosure requirements and fnancial markets</w:t>
      </w:r>
    </w:p>
    <w:p>
      <w:pPr>
        <w:spacing w:after="0" w:line="58" w:lineRule="exact"/>
        <w:rPr>
          <w:rFonts w:ascii="Calibri" w:cs="Calibri" w:eastAsia="Calibri" w:hAnsi="Calibri"/>
          <w:sz w:val="17"/>
          <w:szCs w:val="17"/>
          <w:color w:val="002E6D"/>
        </w:rPr>
      </w:pPr>
    </w:p>
    <w:p>
      <w:pPr>
        <w:ind w:left="205" w:hanging="205"/>
        <w:spacing w:after="0"/>
        <w:tabs>
          <w:tab w:leader="none" w:pos="205" w:val="left"/>
        </w:tabs>
        <w:numPr>
          <w:ilvl w:val="0"/>
          <w:numId w:val="22"/>
        </w:numPr>
        <w:rPr>
          <w:rFonts w:ascii="Calibri" w:cs="Calibri" w:eastAsia="Calibri" w:hAnsi="Calibri"/>
          <w:sz w:val="17"/>
          <w:szCs w:val="17"/>
          <w:color w:val="002E6D"/>
        </w:rPr>
      </w:pPr>
      <w:r>
        <w:rPr>
          <w:rFonts w:ascii="Calibri" w:cs="Calibri" w:eastAsia="Calibri" w:hAnsi="Calibri"/>
          <w:sz w:val="17"/>
          <w:szCs w:val="17"/>
          <w:color w:val="auto"/>
        </w:rPr>
        <w:t>Skilled in marketng, human capital management, compensaton, governance and public company boards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45" w:type="dxa"/>
        <w:tblCellMar>
          <w:top w:w="0" w:type="dxa"/>
          <w:left w:w="0" w:type="dxa"/>
          <w:bottom w:w="0" w:type="dxa"/>
          <w:right w:w="0" w:type="dxa"/>
        </w:tblCellMar>
      </w:tblPr>
      <w:tr>
        <w:trPr>
          <w:trHeight w:val="171"/>
        </w:trPr>
        <w:tc>
          <w:tcPr>
            <w:tcW w:w="2440" w:type="dxa"/>
            <w:vAlign w:val="bottom"/>
          </w:tcPr>
          <w:p>
            <w:pPr>
              <w:spacing w:after="0"/>
              <w:rPr>
                <w:sz w:val="20"/>
                <w:szCs w:val="20"/>
                <w:color w:val="auto"/>
              </w:rPr>
            </w:pPr>
            <w:r>
              <w:rPr>
                <w:rFonts w:ascii="Calibri" w:cs="Calibri" w:eastAsia="Calibri" w:hAnsi="Calibri"/>
                <w:sz w:val="14"/>
                <w:szCs w:val="14"/>
                <w:color w:val="auto"/>
              </w:rPr>
              <w:t>Business Model / Commercial</w:t>
            </w:r>
          </w:p>
        </w:tc>
        <w:tc>
          <w:tcPr>
            <w:tcW w:w="2680" w:type="dxa"/>
            <w:vAlign w:val="bottom"/>
          </w:tcPr>
          <w:p>
            <w:pPr>
              <w:ind w:left="320"/>
              <w:spacing w:after="0"/>
              <w:rPr>
                <w:sz w:val="20"/>
                <w:szCs w:val="20"/>
                <w:color w:val="auto"/>
              </w:rPr>
            </w:pPr>
            <w:r>
              <w:rPr>
                <w:rFonts w:ascii="Calibri" w:cs="Calibri" w:eastAsia="Calibri" w:hAnsi="Calibri"/>
                <w:sz w:val="14"/>
                <w:szCs w:val="14"/>
                <w:color w:val="auto"/>
              </w:rPr>
              <w:t>CEO Leadership</w:t>
            </w:r>
          </w:p>
        </w:tc>
        <w:tc>
          <w:tcPr>
            <w:tcW w:w="2560" w:type="dxa"/>
            <w:vAlign w:val="bottom"/>
          </w:tcPr>
          <w:p>
            <w:pPr>
              <w:ind w:left="420"/>
              <w:spacing w:after="0"/>
              <w:rPr>
                <w:sz w:val="20"/>
                <w:szCs w:val="20"/>
                <w:color w:val="auto"/>
              </w:rPr>
            </w:pPr>
            <w:r>
              <w:rPr>
                <w:rFonts w:ascii="Calibri" w:cs="Calibri" w:eastAsia="Calibri" w:hAnsi="Calibri"/>
                <w:sz w:val="14"/>
                <w:szCs w:val="14"/>
                <w:color w:val="auto"/>
              </w:rPr>
              <w:t>Environment, Social and Governance</w:t>
            </w:r>
          </w:p>
        </w:tc>
      </w:tr>
      <w:tr>
        <w:trPr>
          <w:trHeight w:val="175"/>
        </w:trPr>
        <w:tc>
          <w:tcPr>
            <w:tcW w:w="2440" w:type="dxa"/>
            <w:vAlign w:val="bottom"/>
          </w:tcPr>
          <w:p>
            <w:pPr>
              <w:spacing w:after="0"/>
              <w:rPr>
                <w:sz w:val="20"/>
                <w:szCs w:val="20"/>
                <w:color w:val="auto"/>
              </w:rPr>
            </w:pPr>
            <w:r>
              <w:rPr>
                <w:rFonts w:ascii="Calibri" w:cs="Calibri" w:eastAsia="Calibri" w:hAnsi="Calibri"/>
                <w:sz w:val="14"/>
                <w:szCs w:val="14"/>
                <w:color w:val="auto"/>
              </w:rPr>
              <w:t>Partnerships</w:t>
            </w:r>
          </w:p>
        </w:tc>
        <w:tc>
          <w:tcPr>
            <w:tcW w:w="2680" w:type="dxa"/>
            <w:vAlign w:val="bottom"/>
          </w:tcPr>
          <w:p>
            <w:pPr>
              <w:ind w:left="320"/>
              <w:spacing w:after="0"/>
              <w:rPr>
                <w:sz w:val="20"/>
                <w:szCs w:val="20"/>
                <w:color w:val="auto"/>
              </w:rPr>
            </w:pPr>
            <w:r>
              <w:rPr>
                <w:rFonts w:ascii="Calibri" w:cs="Calibri" w:eastAsia="Calibri" w:hAnsi="Calibri"/>
                <w:sz w:val="14"/>
                <w:szCs w:val="14"/>
                <w:color w:val="auto"/>
              </w:rPr>
              <w:t>Experience</w:t>
            </w:r>
          </w:p>
        </w:tc>
        <w:tc>
          <w:tcPr>
            <w:tcW w:w="2560" w:type="dxa"/>
            <w:vAlign w:val="bottom"/>
          </w:tcPr>
          <w:p>
            <w:pPr>
              <w:ind w:left="420"/>
              <w:spacing w:after="0"/>
              <w:rPr>
                <w:sz w:val="20"/>
                <w:szCs w:val="20"/>
                <w:color w:val="auto"/>
              </w:rPr>
            </w:pPr>
            <w:r>
              <w:rPr>
                <w:rFonts w:ascii="Calibri" w:cs="Calibri" w:eastAsia="Calibri" w:hAnsi="Calibri"/>
                <w:sz w:val="14"/>
                <w:szCs w:val="14"/>
                <w:color w:val="auto"/>
              </w:rPr>
              <w:t>Expertse</w:t>
            </w:r>
          </w:p>
        </w:tc>
      </w:tr>
      <w:tr>
        <w:trPr>
          <w:trHeight w:val="351"/>
        </w:trPr>
        <w:tc>
          <w:tcPr>
            <w:tcW w:w="2440" w:type="dxa"/>
            <w:vAlign w:val="bottom"/>
          </w:tcPr>
          <w:p>
            <w:pPr>
              <w:spacing w:after="0"/>
              <w:rPr>
                <w:sz w:val="20"/>
                <w:szCs w:val="20"/>
                <w:color w:val="auto"/>
              </w:rPr>
            </w:pPr>
            <w:r>
              <w:rPr>
                <w:rFonts w:ascii="Calibri" w:cs="Calibri" w:eastAsia="Calibri" w:hAnsi="Calibri"/>
                <w:sz w:val="14"/>
                <w:szCs w:val="14"/>
                <w:color w:val="auto"/>
              </w:rPr>
              <w:t>Financial Expertse</w:t>
            </w:r>
          </w:p>
        </w:tc>
        <w:tc>
          <w:tcPr>
            <w:tcW w:w="2680" w:type="dxa"/>
            <w:vAlign w:val="bottom"/>
          </w:tcPr>
          <w:p>
            <w:pPr>
              <w:ind w:left="320"/>
              <w:spacing w:after="0"/>
              <w:rPr>
                <w:sz w:val="20"/>
                <w:szCs w:val="20"/>
                <w:color w:val="auto"/>
              </w:rPr>
            </w:pPr>
            <w:r>
              <w:rPr>
                <w:rFonts w:ascii="Calibri" w:cs="Calibri" w:eastAsia="Calibri" w:hAnsi="Calibri"/>
                <w:sz w:val="14"/>
                <w:szCs w:val="14"/>
                <w:color w:val="auto"/>
              </w:rPr>
              <w:t>Internatonal Business Expansion</w:t>
            </w:r>
          </w:p>
        </w:tc>
        <w:tc>
          <w:tcPr>
            <w:tcW w:w="2560" w:type="dxa"/>
            <w:vAlign w:val="bottom"/>
          </w:tcPr>
          <w:p>
            <w:pPr>
              <w:ind w:left="420"/>
              <w:spacing w:after="0"/>
              <w:rPr>
                <w:sz w:val="20"/>
                <w:szCs w:val="20"/>
                <w:color w:val="auto"/>
              </w:rPr>
            </w:pPr>
            <w:r>
              <w:rPr>
                <w:rFonts w:ascii="Calibri" w:cs="Calibri" w:eastAsia="Calibri" w:hAnsi="Calibri"/>
                <w:sz w:val="14"/>
                <w:szCs w:val="14"/>
                <w:color w:val="auto"/>
              </w:rPr>
              <w:t>M&amp;A Expertse</w:t>
            </w:r>
          </w:p>
        </w:tc>
      </w:tr>
      <w:tr>
        <w:trPr>
          <w:trHeight w:val="432"/>
        </w:trPr>
        <w:tc>
          <w:tcPr>
            <w:tcW w:w="2440" w:type="dxa"/>
            <w:vAlign w:val="bottom"/>
          </w:tcPr>
          <w:p>
            <w:pPr>
              <w:spacing w:after="0"/>
              <w:rPr>
                <w:sz w:val="20"/>
                <w:szCs w:val="20"/>
                <w:color w:val="auto"/>
              </w:rPr>
            </w:pPr>
            <w:r>
              <w:rPr>
                <w:rFonts w:ascii="Calibri" w:cs="Calibri" w:eastAsia="Calibri" w:hAnsi="Calibri"/>
                <w:sz w:val="14"/>
                <w:szCs w:val="14"/>
                <w:color w:val="auto"/>
              </w:rPr>
              <w:t>Operatonal Executon and Efciency</w:t>
            </w:r>
          </w:p>
        </w:tc>
        <w:tc>
          <w:tcPr>
            <w:tcW w:w="268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pacing w:after="0" w:line="482" w:lineRule="exact"/>
        <w:rPr>
          <w:sz w:val="20"/>
          <w:szCs w:val="20"/>
          <w:color w:val="auto"/>
        </w:rPr>
      </w:pPr>
    </w:p>
    <w:p>
      <w:pPr>
        <w:sectPr>
          <w:pgSz w:w="11900" w:h="16838" w:orient="portrait"/>
          <w:cols w:equalWidth="0" w:num="2">
            <w:col w:w="2340" w:space="615"/>
            <w:col w:w="8285"/>
          </w:cols>
          <w:pgMar w:left="320" w:top="230" w:right="339" w:bottom="1440" w:gutter="0" w:footer="0" w:header="0"/>
          <w:type w:val="continuous"/>
        </w:sectPr>
      </w:pPr>
    </w:p>
    <w:p>
      <w:pPr>
        <w:spacing w:after="0" w:line="373" w:lineRule="exact"/>
        <w:rPr>
          <w:sz w:val="20"/>
          <w:szCs w:val="20"/>
          <w:color w:val="auto"/>
        </w:rPr>
      </w:pPr>
    </w:p>
    <w:p>
      <w:pPr>
        <w:ind w:left="260" w:right="180" w:hanging="252"/>
        <w:spacing w:after="0" w:line="264" w:lineRule="auto"/>
        <w:tabs>
          <w:tab w:leader="none" w:pos="219"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Efectve afer the Annual Meetng and assuming his re-electon, Mr. Donovan will become a member and the Chair of the Compensaton Commitee. Ms. Gordon will remain a member of the Commitee.</w:t>
      </w:r>
    </w:p>
    <w:p>
      <w:pPr>
        <w:spacing w:after="0" w:line="55" w:lineRule="exact"/>
        <w:rPr>
          <w:sz w:val="20"/>
          <w:szCs w:val="20"/>
          <w:color w:val="auto"/>
        </w:rPr>
      </w:pPr>
    </w:p>
    <w:p>
      <w:pPr>
        <w:spacing w:after="0"/>
        <w:tabs>
          <w:tab w:leader="none" w:pos="260" w:val="left"/>
        </w:tabs>
        <w:rPr>
          <w:sz w:val="20"/>
          <w:szCs w:val="20"/>
          <w:color w:val="auto"/>
        </w:rPr>
      </w:pPr>
      <w:r>
        <w:rPr>
          <w:rFonts w:ascii="Calibri" w:cs="Calibri" w:eastAsia="Calibri" w:hAnsi="Calibri"/>
          <w:sz w:val="14"/>
          <w:szCs w:val="14"/>
          <w:color w:val="auto"/>
        </w:rPr>
        <w:t>**</w:t>
        <w:tab/>
        <w:t>Other public board commitees are listed on page 6.</w:t>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20" w:type="dxa"/>
            <w:vAlign w:val="bottom"/>
            <w:tcBorders>
              <w:top w:val="single" w:sz="8" w:color="002E6D"/>
              <w:left w:val="single" w:sz="8" w:color="002E6D"/>
            </w:tcBorders>
          </w:tcPr>
          <w:p>
            <w:pPr>
              <w:spacing w:after="0"/>
              <w:rPr>
                <w:sz w:val="12"/>
                <w:szCs w:val="12"/>
                <w:color w:val="auto"/>
              </w:rPr>
            </w:pPr>
          </w:p>
        </w:tc>
        <w:tc>
          <w:tcPr>
            <w:tcW w:w="100" w:type="dxa"/>
            <w:vAlign w:val="bottom"/>
            <w:tcBorders>
              <w:top w:val="single" w:sz="8" w:color="002E6D"/>
            </w:tcBorders>
          </w:tcPr>
          <w:p>
            <w:pPr>
              <w:spacing w:after="0"/>
              <w:rPr>
                <w:sz w:val="12"/>
                <w:szCs w:val="12"/>
                <w:color w:val="auto"/>
              </w:rPr>
            </w:pPr>
          </w:p>
        </w:tc>
        <w:tc>
          <w:tcPr>
            <w:tcW w:w="280" w:type="dxa"/>
            <w:vAlign w:val="bottom"/>
            <w:tcBorders>
              <w:top w:val="single" w:sz="8" w:color="002E6D"/>
            </w:tcBorders>
          </w:tcPr>
          <w:p>
            <w:pPr>
              <w:spacing w:after="0"/>
              <w:rPr>
                <w:sz w:val="12"/>
                <w:szCs w:val="12"/>
                <w:color w:val="auto"/>
              </w:rPr>
            </w:pPr>
          </w:p>
        </w:tc>
        <w:tc>
          <w:tcPr>
            <w:tcW w:w="760" w:type="dxa"/>
            <w:vAlign w:val="bottom"/>
            <w:tcBorders>
              <w:top w:val="single" w:sz="8" w:color="002E6D"/>
            </w:tcBorders>
          </w:tcPr>
          <w:p>
            <w:pPr>
              <w:spacing w:after="0"/>
              <w:rPr>
                <w:sz w:val="12"/>
                <w:szCs w:val="12"/>
                <w:color w:val="auto"/>
              </w:rPr>
            </w:pPr>
          </w:p>
        </w:tc>
        <w:tc>
          <w:tcPr>
            <w:tcW w:w="480" w:type="dxa"/>
            <w:vAlign w:val="bottom"/>
            <w:tcBorders>
              <w:top w:val="single" w:sz="8" w:color="002E6D"/>
            </w:tcBorders>
          </w:tcPr>
          <w:p>
            <w:pPr>
              <w:spacing w:after="0"/>
              <w:rPr>
                <w:sz w:val="12"/>
                <w:szCs w:val="12"/>
                <w:color w:val="auto"/>
              </w:rPr>
            </w:pPr>
          </w:p>
        </w:tc>
        <w:tc>
          <w:tcPr>
            <w:tcW w:w="780" w:type="dxa"/>
            <w:vAlign w:val="bottom"/>
            <w:tcBorders>
              <w:top w:val="single" w:sz="8" w:color="002E6D"/>
            </w:tcBorders>
          </w:tcPr>
          <w:p>
            <w:pPr>
              <w:spacing w:after="0"/>
              <w:rPr>
                <w:sz w:val="12"/>
                <w:szCs w:val="12"/>
                <w:color w:val="auto"/>
              </w:rPr>
            </w:pPr>
          </w:p>
        </w:tc>
        <w:tc>
          <w:tcPr>
            <w:tcW w:w="160" w:type="dxa"/>
            <w:vAlign w:val="bottom"/>
            <w:tcBorders>
              <w:top w:val="single" w:sz="8" w:color="002E6D"/>
            </w:tcBorders>
          </w:tcPr>
          <w:p>
            <w:pPr>
              <w:spacing w:after="0"/>
              <w:rPr>
                <w:sz w:val="12"/>
                <w:szCs w:val="12"/>
                <w:color w:val="auto"/>
              </w:rPr>
            </w:pPr>
          </w:p>
        </w:tc>
        <w:tc>
          <w:tcPr>
            <w:tcW w:w="40" w:type="dxa"/>
            <w:vAlign w:val="bottom"/>
            <w:tcBorders>
              <w:top w:val="single" w:sz="8" w:color="002E6D"/>
            </w:tcBorders>
          </w:tcPr>
          <w:p>
            <w:pPr>
              <w:spacing w:after="0"/>
              <w:rPr>
                <w:sz w:val="12"/>
                <w:szCs w:val="12"/>
                <w:color w:val="auto"/>
              </w:rPr>
            </w:pPr>
          </w:p>
        </w:tc>
        <w:tc>
          <w:tcPr>
            <w:tcW w:w="3020" w:type="dxa"/>
            <w:vAlign w:val="bottom"/>
            <w:tcBorders>
              <w:top w:val="single" w:sz="8" w:color="002E6D"/>
            </w:tcBorders>
            <w:vMerge w:val="restart"/>
          </w:tcPr>
          <w:p>
            <w:pPr>
              <w:ind w:left="180"/>
              <w:spacing w:after="0"/>
              <w:rPr>
                <w:sz w:val="20"/>
                <w:szCs w:val="20"/>
                <w:color w:val="auto"/>
              </w:rPr>
            </w:pPr>
            <w:r>
              <w:rPr>
                <w:rFonts w:ascii="Arial" w:cs="Arial" w:eastAsia="Arial" w:hAnsi="Arial"/>
                <w:sz w:val="16"/>
                <w:szCs w:val="16"/>
                <w:color w:val="003478"/>
              </w:rPr>
              <w:t>Biography</w:t>
            </w:r>
          </w:p>
        </w:tc>
        <w:tc>
          <w:tcPr>
            <w:tcW w:w="2940" w:type="dxa"/>
            <w:vAlign w:val="bottom"/>
            <w:tcBorders>
              <w:top w:val="single" w:sz="8" w:color="002E6D"/>
            </w:tcBorders>
          </w:tcPr>
          <w:p>
            <w:pPr>
              <w:spacing w:after="0"/>
              <w:rPr>
                <w:sz w:val="12"/>
                <w:szCs w:val="12"/>
                <w:color w:val="auto"/>
              </w:rPr>
            </w:pPr>
          </w:p>
        </w:tc>
        <w:tc>
          <w:tcPr>
            <w:tcW w:w="2340" w:type="dxa"/>
            <w:vAlign w:val="bottom"/>
            <w:tcBorders>
              <w:top w:val="single" w:sz="8" w:color="002E6D"/>
              <w:right w:val="single" w:sz="8" w:color="002E6D"/>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20" w:type="dxa"/>
            <w:vAlign w:val="bottom"/>
            <w:tcBorders>
              <w:left w:val="single" w:sz="8" w:color="002E6D"/>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020" w:type="dxa"/>
            <w:vAlign w:val="bottom"/>
            <w:vMerge w:val="continue"/>
          </w:tcPr>
          <w:p>
            <w:pPr>
              <w:spacing w:after="0"/>
              <w:rPr>
                <w:sz w:val="19"/>
                <w:szCs w:val="19"/>
                <w:color w:val="auto"/>
              </w:rPr>
            </w:pPr>
          </w:p>
        </w:tc>
        <w:tc>
          <w:tcPr>
            <w:tcW w:w="2940" w:type="dxa"/>
            <w:vAlign w:val="bottom"/>
          </w:tcPr>
          <w:p>
            <w:pPr>
              <w:spacing w:after="0"/>
              <w:rPr>
                <w:sz w:val="19"/>
                <w:szCs w:val="19"/>
                <w:color w:val="auto"/>
              </w:rPr>
            </w:pPr>
          </w:p>
        </w:tc>
        <w:tc>
          <w:tcPr>
            <w:tcW w:w="2340" w:type="dxa"/>
            <w:vAlign w:val="bottom"/>
            <w:tcBorders>
              <w:right w:val="single" w:sz="8" w:color="002E6D"/>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20" w:type="dxa"/>
            <w:vAlign w:val="bottom"/>
            <w:tcBorders>
              <w:left w:val="single" w:sz="8" w:color="002E6D"/>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300" w:type="dxa"/>
            <w:vAlign w:val="bottom"/>
            <w:tcBorders>
              <w:right w:val="single" w:sz="8" w:color="002E6D"/>
            </w:tcBorders>
            <w:gridSpan w:val="3"/>
          </w:tcPr>
          <w:p>
            <w:pPr>
              <w:ind w:left="180"/>
              <w:spacing w:after="0" w:line="205" w:lineRule="exact"/>
              <w:rPr>
                <w:sz w:val="20"/>
                <w:szCs w:val="20"/>
                <w:color w:val="auto"/>
              </w:rPr>
            </w:pPr>
            <w:r>
              <w:rPr>
                <w:rFonts w:ascii="Calibri" w:cs="Calibri" w:eastAsia="Calibri" w:hAnsi="Calibri"/>
                <w:sz w:val="17"/>
                <w:szCs w:val="17"/>
                <w:color w:val="auto"/>
              </w:rPr>
              <w:t>President and Chief Executve Ofcer of Occidental Petroleum Corporaton (Occidental), an internatonal oil and</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002E6D"/>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300" w:type="dxa"/>
            <w:vAlign w:val="bottom"/>
            <w:tcBorders>
              <w:right w:val="single" w:sz="8" w:color="002E6D"/>
            </w:tcBorders>
            <w:gridSpan w:val="3"/>
          </w:tcPr>
          <w:p>
            <w:pPr>
              <w:ind w:left="180"/>
              <w:spacing w:after="0"/>
              <w:rPr>
                <w:sz w:val="20"/>
                <w:szCs w:val="20"/>
                <w:color w:val="auto"/>
              </w:rPr>
            </w:pPr>
            <w:r>
              <w:rPr>
                <w:rFonts w:ascii="Calibri" w:cs="Calibri" w:eastAsia="Calibri" w:hAnsi="Calibri"/>
                <w:sz w:val="17"/>
                <w:szCs w:val="17"/>
                <w:color w:val="auto"/>
              </w:rPr>
              <w:t>gas exploraton and producton company, since April 2016. Having served more than 30 years at Occidental, Ms.</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002E6D"/>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300" w:type="dxa"/>
            <w:vAlign w:val="bottom"/>
            <w:tcBorders>
              <w:right w:val="single" w:sz="8" w:color="002E6D"/>
            </w:tcBorders>
            <w:gridSpan w:val="3"/>
          </w:tcPr>
          <w:p>
            <w:pPr>
              <w:ind w:left="180"/>
              <w:spacing w:after="0"/>
              <w:rPr>
                <w:sz w:val="20"/>
                <w:szCs w:val="20"/>
                <w:color w:val="auto"/>
              </w:rPr>
            </w:pPr>
            <w:r>
              <w:rPr>
                <w:rFonts w:ascii="Calibri" w:cs="Calibri" w:eastAsia="Calibri" w:hAnsi="Calibri"/>
                <w:sz w:val="17"/>
                <w:szCs w:val="17"/>
                <w:color w:val="auto"/>
              </w:rPr>
              <w:t>Hollub served as President and Chief Operatng Ofcer from 2015 to 2016; Senior Executve Vice President,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 w:type="dxa"/>
            <w:vAlign w:val="bottom"/>
            <w:tcBorders>
              <w:left w:val="single" w:sz="8" w:color="002E6D"/>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300" w:type="dxa"/>
            <w:vAlign w:val="bottom"/>
            <w:tcBorders>
              <w:right w:val="single" w:sz="8" w:color="002E6D"/>
            </w:tcBorders>
            <w:gridSpan w:val="3"/>
          </w:tcPr>
          <w:p>
            <w:pPr>
              <w:ind w:left="180"/>
              <w:spacing w:after="0"/>
              <w:rPr>
                <w:sz w:val="20"/>
                <w:szCs w:val="20"/>
                <w:color w:val="auto"/>
              </w:rPr>
            </w:pPr>
            <w:r>
              <w:rPr>
                <w:rFonts w:ascii="Calibri" w:cs="Calibri" w:eastAsia="Calibri" w:hAnsi="Calibri"/>
                <w:sz w:val="17"/>
                <w:szCs w:val="17"/>
                <w:color w:val="auto"/>
              </w:rPr>
              <w:t>Occidental and President, Oxy Oil and Gas - Americas from 2014 to 2015; and Executve Vice President,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20" w:type="dxa"/>
            <w:vAlign w:val="bottom"/>
            <w:tcBorders>
              <w:left w:val="single" w:sz="8" w:color="002E6D"/>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300" w:type="dxa"/>
            <w:vAlign w:val="bottom"/>
            <w:tcBorders>
              <w:right w:val="single" w:sz="8" w:color="002E6D"/>
            </w:tcBorders>
            <w:gridSpan w:val="3"/>
          </w:tcPr>
          <w:p>
            <w:pPr>
              <w:ind w:left="180"/>
              <w:spacing w:after="0" w:line="205" w:lineRule="exact"/>
              <w:rPr>
                <w:sz w:val="20"/>
                <w:szCs w:val="20"/>
                <w:color w:val="auto"/>
              </w:rPr>
            </w:pPr>
            <w:r>
              <w:rPr>
                <w:rFonts w:ascii="Calibri" w:cs="Calibri" w:eastAsia="Calibri" w:hAnsi="Calibri"/>
                <w:sz w:val="17"/>
                <w:szCs w:val="17"/>
                <w:color w:val="auto"/>
              </w:rPr>
              <w:t>Occidental and Executve Vice President, U.S. Operatons and Oxy Oil and Gas from 2013 to 2014.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120" w:type="dxa"/>
            <w:vAlign w:val="bottom"/>
            <w:tcBorders>
              <w:left w:val="single" w:sz="8" w:color="002E6D"/>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960" w:type="dxa"/>
            <w:vAlign w:val="bottom"/>
            <w:gridSpan w:val="2"/>
          </w:tcPr>
          <w:p>
            <w:pPr>
              <w:ind w:left="180"/>
              <w:spacing w:after="0"/>
              <w:rPr>
                <w:sz w:val="20"/>
                <w:szCs w:val="20"/>
                <w:color w:val="auto"/>
              </w:rPr>
            </w:pPr>
            <w:r>
              <w:rPr>
                <w:rFonts w:ascii="Arial" w:cs="Arial" w:eastAsia="Arial" w:hAnsi="Arial"/>
                <w:sz w:val="17"/>
                <w:szCs w:val="17"/>
                <w:color w:val="002E6D"/>
              </w:rPr>
              <w:t>Experience, Strategic Skills and Core Competencies</w:t>
            </w:r>
          </w:p>
        </w:tc>
        <w:tc>
          <w:tcPr>
            <w:tcW w:w="2340" w:type="dxa"/>
            <w:vAlign w:val="bottom"/>
            <w:tcBorders>
              <w:right w:val="single" w:sz="8" w:color="002E6D"/>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20" w:type="dxa"/>
            <w:vAlign w:val="bottom"/>
            <w:tcBorders>
              <w:left w:val="single" w:sz="8" w:color="002E6D"/>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300" w:type="dxa"/>
            <w:vAlign w:val="bottom"/>
            <w:tcBorders>
              <w:right w:val="single" w:sz="8" w:color="002E6D"/>
            </w:tcBorders>
            <w:gridSpan w:val="3"/>
          </w:tcPr>
          <w:p>
            <w:pPr>
              <w:ind w:left="180"/>
              <w:spacing w:after="0" w:line="205" w:lineRule="exact"/>
              <w:rPr>
                <w:sz w:val="20"/>
                <w:szCs w:val="20"/>
                <w:color w:val="auto"/>
              </w:rPr>
            </w:pPr>
            <w:r>
              <w:rPr>
                <w:rFonts w:ascii="Calibri" w:cs="Calibri" w:eastAsia="Calibri" w:hAnsi="Calibri"/>
                <w:sz w:val="17"/>
                <w:szCs w:val="17"/>
                <w:color w:val="002E6D"/>
              </w:rPr>
              <w:t xml:space="preserve">• </w:t>
            </w:r>
            <w:r>
              <w:rPr>
                <w:rFonts w:ascii="Calibri" w:cs="Calibri" w:eastAsia="Calibri" w:hAnsi="Calibri"/>
                <w:sz w:val="17"/>
                <w:szCs w:val="17"/>
                <w:color w:val="000000"/>
              </w:rPr>
              <w:t>Broad insight and experience with the demands and challenges associated with managing global organizatons</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20" w:type="dxa"/>
            <w:vAlign w:val="bottom"/>
            <w:tcBorders>
              <w:left w:val="single" w:sz="8" w:color="002E6D"/>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300" w:type="dxa"/>
            <w:vAlign w:val="bottom"/>
            <w:tcBorders>
              <w:right w:val="single" w:sz="8" w:color="002E6D"/>
            </w:tcBorders>
            <w:gridSpan w:val="3"/>
          </w:tcPr>
          <w:p>
            <w:pPr>
              <w:ind w:left="340"/>
              <w:spacing w:after="0"/>
              <w:rPr>
                <w:sz w:val="20"/>
                <w:szCs w:val="20"/>
                <w:color w:val="auto"/>
              </w:rPr>
            </w:pPr>
            <w:r>
              <w:rPr>
                <w:rFonts w:ascii="Calibri" w:cs="Calibri" w:eastAsia="Calibri" w:hAnsi="Calibri"/>
                <w:sz w:val="17"/>
                <w:szCs w:val="17"/>
                <w:color w:val="auto"/>
              </w:rPr>
              <w:t>from her experience as President and Chief Executve Ofcer of Occidental and more than three decades in</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002E6D"/>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020" w:type="dxa"/>
            <w:vAlign w:val="bottom"/>
          </w:tcPr>
          <w:p>
            <w:pPr>
              <w:ind w:left="340"/>
              <w:spacing w:after="0" w:line="203" w:lineRule="exact"/>
              <w:rPr>
                <w:sz w:val="20"/>
                <w:szCs w:val="20"/>
                <w:color w:val="auto"/>
              </w:rPr>
            </w:pPr>
            <w:r>
              <w:rPr>
                <w:rFonts w:ascii="Calibri" w:cs="Calibri" w:eastAsia="Calibri" w:hAnsi="Calibri"/>
                <w:sz w:val="17"/>
                <w:szCs w:val="17"/>
                <w:color w:val="auto"/>
              </w:rPr>
              <w:t>executve and operatonal roles</w:t>
            </w:r>
          </w:p>
        </w:tc>
        <w:tc>
          <w:tcPr>
            <w:tcW w:w="2940" w:type="dxa"/>
            <w:vAlign w:val="bottom"/>
          </w:tcPr>
          <w:p>
            <w:pPr>
              <w:spacing w:after="0"/>
              <w:rPr>
                <w:sz w:val="17"/>
                <w:szCs w:val="17"/>
                <w:color w:val="auto"/>
              </w:rPr>
            </w:pPr>
          </w:p>
        </w:tc>
        <w:tc>
          <w:tcPr>
            <w:tcW w:w="2340" w:type="dxa"/>
            <w:vAlign w:val="bottom"/>
            <w:tcBorders>
              <w:right w:val="single" w:sz="8" w:color="002E6D"/>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20" w:type="dxa"/>
            <w:vAlign w:val="bottom"/>
            <w:tcBorders>
              <w:left w:val="single" w:sz="8" w:color="002E6D"/>
            </w:tcBorders>
          </w:tcPr>
          <w:p>
            <w:pPr>
              <w:spacing w:after="0"/>
              <w:rPr>
                <w:sz w:val="23"/>
                <w:szCs w:val="23"/>
                <w:color w:val="auto"/>
              </w:rPr>
            </w:pPr>
          </w:p>
        </w:tc>
        <w:tc>
          <w:tcPr>
            <w:tcW w:w="100" w:type="dxa"/>
            <w:vAlign w:val="bottom"/>
            <w:shd w:val="clear" w:color="auto" w:fill="E5E7EF"/>
          </w:tcPr>
          <w:p>
            <w:pPr>
              <w:spacing w:after="0"/>
              <w:rPr>
                <w:sz w:val="23"/>
                <w:szCs w:val="23"/>
                <w:color w:val="auto"/>
              </w:rPr>
            </w:pPr>
          </w:p>
        </w:tc>
        <w:tc>
          <w:tcPr>
            <w:tcW w:w="1520" w:type="dxa"/>
            <w:vAlign w:val="bottom"/>
            <w:gridSpan w:val="3"/>
            <w:shd w:val="clear" w:color="auto" w:fill="E5E7EF"/>
          </w:tcPr>
          <w:p>
            <w:pPr>
              <w:spacing w:after="0"/>
              <w:rPr>
                <w:sz w:val="20"/>
                <w:szCs w:val="20"/>
                <w:color w:val="auto"/>
              </w:rPr>
            </w:pPr>
            <w:r>
              <w:rPr>
                <w:rFonts w:ascii="Arial" w:cs="Arial" w:eastAsia="Arial" w:hAnsi="Arial"/>
                <w:sz w:val="18"/>
                <w:szCs w:val="18"/>
                <w:color w:val="003478"/>
                <w:shd w:val="clear" w:color="auto" w:fill="E5E7EF"/>
              </w:rPr>
              <w:t>Vicki A. Hollub</w:t>
            </w:r>
          </w:p>
        </w:tc>
        <w:tc>
          <w:tcPr>
            <w:tcW w:w="780" w:type="dxa"/>
            <w:vAlign w:val="bottom"/>
            <w:shd w:val="clear" w:color="auto" w:fill="E5E7EF"/>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960" w:type="dxa"/>
            <w:vAlign w:val="bottom"/>
            <w:gridSpan w:val="2"/>
          </w:tcPr>
          <w:p>
            <w:pPr>
              <w:ind w:left="180"/>
              <w:spacing w:after="0"/>
              <w:rPr>
                <w:sz w:val="20"/>
                <w:szCs w:val="20"/>
                <w:color w:val="auto"/>
              </w:rPr>
            </w:pPr>
            <w:r>
              <w:rPr>
                <w:rFonts w:ascii="Calibri" w:cs="Calibri" w:eastAsia="Calibri" w:hAnsi="Calibri"/>
                <w:sz w:val="17"/>
                <w:szCs w:val="17"/>
                <w:color w:val="002E6D"/>
              </w:rPr>
              <w:t xml:space="preserve">• </w:t>
            </w:r>
            <w:r>
              <w:rPr>
                <w:rFonts w:ascii="Calibri" w:cs="Calibri" w:eastAsia="Calibri" w:hAnsi="Calibri"/>
                <w:sz w:val="17"/>
                <w:szCs w:val="17"/>
                <w:color w:val="000000"/>
              </w:rPr>
              <w:t>Expertse in the Middle East region and Latn America</w:t>
            </w:r>
          </w:p>
        </w:tc>
        <w:tc>
          <w:tcPr>
            <w:tcW w:w="2340" w:type="dxa"/>
            <w:vAlign w:val="bottom"/>
            <w:tcBorders>
              <w:right w:val="single" w:sz="8" w:color="002E6D"/>
            </w:tcBorders>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20" w:type="dxa"/>
            <w:vAlign w:val="bottom"/>
            <w:tcBorders>
              <w:left w:val="single" w:sz="8" w:color="002E6D"/>
            </w:tcBorders>
          </w:tcPr>
          <w:p>
            <w:pPr>
              <w:spacing w:after="0"/>
              <w:rPr>
                <w:sz w:val="24"/>
                <w:szCs w:val="24"/>
                <w:color w:val="auto"/>
              </w:rPr>
            </w:pPr>
          </w:p>
        </w:tc>
        <w:tc>
          <w:tcPr>
            <w:tcW w:w="100" w:type="dxa"/>
            <w:vAlign w:val="bottom"/>
            <w:shd w:val="clear" w:color="auto" w:fill="E5E7EF"/>
          </w:tcPr>
          <w:p>
            <w:pPr>
              <w:spacing w:after="0"/>
              <w:rPr>
                <w:sz w:val="24"/>
                <w:szCs w:val="24"/>
                <w:color w:val="auto"/>
              </w:rPr>
            </w:pPr>
          </w:p>
        </w:tc>
        <w:tc>
          <w:tcPr>
            <w:tcW w:w="280" w:type="dxa"/>
            <w:vAlign w:val="bottom"/>
            <w:shd w:val="clear" w:color="auto" w:fill="E5E7EF"/>
          </w:tcPr>
          <w:p>
            <w:pPr>
              <w:spacing w:after="0"/>
              <w:rPr>
                <w:sz w:val="20"/>
                <w:szCs w:val="20"/>
                <w:color w:val="auto"/>
              </w:rPr>
            </w:pPr>
            <w:r>
              <w:rPr>
                <w:rFonts w:ascii="Arial" w:cs="Arial" w:eastAsia="Arial" w:hAnsi="Arial"/>
                <w:sz w:val="16"/>
                <w:szCs w:val="16"/>
                <w:color w:val="003478"/>
                <w:w w:val="91"/>
                <w:shd w:val="clear" w:color="auto" w:fill="E5E7EF"/>
              </w:rPr>
              <w:t>Age</w:t>
            </w:r>
          </w:p>
        </w:tc>
        <w:tc>
          <w:tcPr>
            <w:tcW w:w="760" w:type="dxa"/>
            <w:vAlign w:val="bottom"/>
            <w:shd w:val="clear" w:color="auto" w:fill="E5E7EF"/>
          </w:tcPr>
          <w:p>
            <w:pPr>
              <w:jc w:val="right"/>
              <w:ind w:right="459"/>
              <w:spacing w:after="0"/>
              <w:rPr>
                <w:sz w:val="20"/>
                <w:szCs w:val="20"/>
                <w:color w:val="auto"/>
              </w:rPr>
            </w:pPr>
            <w:r>
              <w:rPr>
                <w:rFonts w:ascii="Arial" w:cs="Arial" w:eastAsia="Arial" w:hAnsi="Arial"/>
                <w:sz w:val="16"/>
                <w:szCs w:val="16"/>
                <w:color w:val="003478"/>
              </w:rPr>
              <w:t>63</w:t>
            </w:r>
          </w:p>
        </w:tc>
        <w:tc>
          <w:tcPr>
            <w:tcW w:w="480" w:type="dxa"/>
            <w:vAlign w:val="bottom"/>
            <w:shd w:val="clear" w:color="auto" w:fill="E5E7EF"/>
          </w:tcPr>
          <w:p>
            <w:pPr>
              <w:spacing w:after="0"/>
              <w:rPr>
                <w:sz w:val="24"/>
                <w:szCs w:val="24"/>
                <w:color w:val="auto"/>
              </w:rPr>
            </w:pPr>
          </w:p>
        </w:tc>
        <w:tc>
          <w:tcPr>
            <w:tcW w:w="780" w:type="dxa"/>
            <w:vAlign w:val="bottom"/>
            <w:shd w:val="clear" w:color="auto" w:fill="E5E7EF"/>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300" w:type="dxa"/>
            <w:vAlign w:val="bottom"/>
            <w:tcBorders>
              <w:right w:val="single" w:sz="8" w:color="002E6D"/>
            </w:tcBorders>
            <w:gridSpan w:val="3"/>
          </w:tcPr>
          <w:p>
            <w:pPr>
              <w:ind w:left="180"/>
              <w:spacing w:after="0"/>
              <w:rPr>
                <w:sz w:val="20"/>
                <w:szCs w:val="20"/>
                <w:color w:val="auto"/>
              </w:rPr>
            </w:pPr>
            <w:r>
              <w:rPr>
                <w:rFonts w:ascii="Calibri" w:cs="Calibri" w:eastAsia="Calibri" w:hAnsi="Calibri"/>
                <w:sz w:val="17"/>
                <w:szCs w:val="17"/>
                <w:color w:val="002E6D"/>
              </w:rPr>
              <w:t xml:space="preserve">• </w:t>
            </w:r>
            <w:r>
              <w:rPr>
                <w:rFonts w:ascii="Calibri" w:cs="Calibri" w:eastAsia="Calibri" w:hAnsi="Calibri"/>
                <w:sz w:val="17"/>
                <w:szCs w:val="17"/>
                <w:color w:val="000000"/>
              </w:rPr>
              <w:t>Skilled in enterprise risk management, environmental, safety and sustainability, including leading carbon</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20" w:type="dxa"/>
            <w:vAlign w:val="bottom"/>
            <w:tcBorders>
              <w:left w:val="single" w:sz="8" w:color="002E6D"/>
            </w:tcBorders>
          </w:tcPr>
          <w:p>
            <w:pPr>
              <w:spacing w:after="0"/>
              <w:rPr>
                <w:sz w:val="17"/>
                <w:szCs w:val="17"/>
                <w:color w:val="auto"/>
              </w:rPr>
            </w:pPr>
          </w:p>
        </w:tc>
        <w:tc>
          <w:tcPr>
            <w:tcW w:w="100" w:type="dxa"/>
            <w:vAlign w:val="bottom"/>
            <w:shd w:val="clear" w:color="auto" w:fill="E5E7EF"/>
          </w:tcPr>
          <w:p>
            <w:pPr>
              <w:spacing w:after="0"/>
              <w:rPr>
                <w:sz w:val="17"/>
                <w:szCs w:val="17"/>
                <w:color w:val="auto"/>
              </w:rPr>
            </w:pPr>
          </w:p>
        </w:tc>
        <w:tc>
          <w:tcPr>
            <w:tcW w:w="1040" w:type="dxa"/>
            <w:vAlign w:val="bottom"/>
            <w:gridSpan w:val="2"/>
            <w:vMerge w:val="restart"/>
            <w:shd w:val="clear" w:color="auto" w:fill="E5E7EF"/>
          </w:tcPr>
          <w:p>
            <w:pPr>
              <w:spacing w:after="0"/>
              <w:rPr>
                <w:sz w:val="20"/>
                <w:szCs w:val="20"/>
                <w:color w:val="auto"/>
              </w:rPr>
            </w:pPr>
            <w:r>
              <w:rPr>
                <w:rFonts w:ascii="Arial" w:cs="Arial" w:eastAsia="Arial" w:hAnsi="Arial"/>
                <w:sz w:val="16"/>
                <w:szCs w:val="16"/>
                <w:color w:val="003478"/>
                <w:shd w:val="clear" w:color="auto" w:fill="E5E7EF"/>
              </w:rPr>
              <w:t>Director since</w:t>
            </w:r>
          </w:p>
        </w:tc>
        <w:tc>
          <w:tcPr>
            <w:tcW w:w="480" w:type="dxa"/>
            <w:vAlign w:val="bottom"/>
            <w:vMerge w:val="restart"/>
            <w:shd w:val="clear" w:color="auto" w:fill="E5E7EF"/>
          </w:tcPr>
          <w:p>
            <w:pPr>
              <w:spacing w:after="0"/>
              <w:rPr>
                <w:sz w:val="20"/>
                <w:szCs w:val="20"/>
                <w:color w:val="auto"/>
              </w:rPr>
            </w:pPr>
            <w:r>
              <w:rPr>
                <w:rFonts w:ascii="Arial" w:cs="Arial" w:eastAsia="Arial" w:hAnsi="Arial"/>
                <w:sz w:val="16"/>
                <w:szCs w:val="16"/>
                <w:color w:val="002E6D"/>
              </w:rPr>
              <w:t>2018</w:t>
            </w:r>
          </w:p>
        </w:tc>
        <w:tc>
          <w:tcPr>
            <w:tcW w:w="780" w:type="dxa"/>
            <w:vAlign w:val="bottom"/>
            <w:shd w:val="clear" w:color="auto" w:fill="E5E7EF"/>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60" w:type="dxa"/>
            <w:vAlign w:val="bottom"/>
            <w:gridSpan w:val="2"/>
          </w:tcPr>
          <w:p>
            <w:pPr>
              <w:ind w:left="340"/>
              <w:spacing w:after="0" w:line="205" w:lineRule="exact"/>
              <w:rPr>
                <w:sz w:val="20"/>
                <w:szCs w:val="20"/>
                <w:color w:val="auto"/>
              </w:rPr>
            </w:pPr>
            <w:r>
              <w:rPr>
                <w:rFonts w:ascii="Calibri" w:cs="Calibri" w:eastAsia="Calibri" w:hAnsi="Calibri"/>
                <w:sz w:val="17"/>
                <w:szCs w:val="17"/>
                <w:color w:val="auto"/>
              </w:rPr>
              <w:t>capture, utlizaton and storage and other decarbonizaton initatves</w:t>
            </w:r>
          </w:p>
        </w:tc>
        <w:tc>
          <w:tcPr>
            <w:tcW w:w="2340" w:type="dxa"/>
            <w:vAlign w:val="bottom"/>
            <w:tcBorders>
              <w:right w:val="single" w:sz="8" w:color="002E6D"/>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20" w:type="dxa"/>
            <w:vAlign w:val="bottom"/>
            <w:tcBorders>
              <w:left w:val="single" w:sz="8" w:color="002E6D"/>
            </w:tcBorders>
          </w:tcPr>
          <w:p>
            <w:pPr>
              <w:spacing w:after="0"/>
              <w:rPr>
                <w:sz w:val="10"/>
                <w:szCs w:val="10"/>
                <w:color w:val="auto"/>
              </w:rPr>
            </w:pPr>
          </w:p>
        </w:tc>
        <w:tc>
          <w:tcPr>
            <w:tcW w:w="100" w:type="dxa"/>
            <w:vAlign w:val="bottom"/>
            <w:shd w:val="clear" w:color="auto" w:fill="E5E7EF"/>
          </w:tcPr>
          <w:p>
            <w:pPr>
              <w:spacing w:after="0"/>
              <w:rPr>
                <w:sz w:val="10"/>
                <w:szCs w:val="10"/>
                <w:color w:val="auto"/>
              </w:rPr>
            </w:pPr>
          </w:p>
        </w:tc>
        <w:tc>
          <w:tcPr>
            <w:tcW w:w="1040" w:type="dxa"/>
            <w:vAlign w:val="bottom"/>
            <w:gridSpan w:val="2"/>
            <w:vMerge w:val="continue"/>
            <w:shd w:val="clear" w:color="auto" w:fill="E5E7EF"/>
          </w:tcPr>
          <w:p>
            <w:pPr>
              <w:spacing w:after="0"/>
              <w:rPr>
                <w:sz w:val="10"/>
                <w:szCs w:val="10"/>
                <w:color w:val="auto"/>
              </w:rPr>
            </w:pPr>
          </w:p>
        </w:tc>
        <w:tc>
          <w:tcPr>
            <w:tcW w:w="480" w:type="dxa"/>
            <w:vAlign w:val="bottom"/>
            <w:vMerge w:val="continue"/>
            <w:shd w:val="clear" w:color="auto" w:fill="E5E7EF"/>
          </w:tcPr>
          <w:p>
            <w:pPr>
              <w:spacing w:after="0"/>
              <w:rPr>
                <w:sz w:val="10"/>
                <w:szCs w:val="10"/>
                <w:color w:val="auto"/>
              </w:rPr>
            </w:pPr>
          </w:p>
        </w:tc>
        <w:tc>
          <w:tcPr>
            <w:tcW w:w="780" w:type="dxa"/>
            <w:vAlign w:val="bottom"/>
            <w:shd w:val="clear" w:color="auto" w:fill="E5E7EF"/>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340" w:type="dxa"/>
            <w:vAlign w:val="bottom"/>
            <w:tcBorders>
              <w:right w:val="single" w:sz="8" w:color="002E6D"/>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002E6D"/>
            </w:tcBorders>
          </w:tcPr>
          <w:p>
            <w:pPr>
              <w:spacing w:after="0"/>
              <w:rPr>
                <w:sz w:val="17"/>
                <w:szCs w:val="17"/>
                <w:color w:val="auto"/>
              </w:rPr>
            </w:pPr>
          </w:p>
        </w:tc>
        <w:tc>
          <w:tcPr>
            <w:tcW w:w="100" w:type="dxa"/>
            <w:vAlign w:val="bottom"/>
            <w:shd w:val="clear" w:color="auto" w:fill="E5E7EF"/>
          </w:tcPr>
          <w:p>
            <w:pPr>
              <w:spacing w:after="0"/>
              <w:rPr>
                <w:sz w:val="17"/>
                <w:szCs w:val="17"/>
                <w:color w:val="auto"/>
              </w:rPr>
            </w:pPr>
          </w:p>
        </w:tc>
        <w:tc>
          <w:tcPr>
            <w:tcW w:w="1040" w:type="dxa"/>
            <w:vAlign w:val="bottom"/>
            <w:gridSpan w:val="2"/>
            <w:shd w:val="clear" w:color="auto" w:fill="E5E7EF"/>
          </w:tcPr>
          <w:p>
            <w:pPr>
              <w:spacing w:after="0"/>
              <w:rPr>
                <w:sz w:val="20"/>
                <w:szCs w:val="20"/>
                <w:color w:val="auto"/>
              </w:rPr>
            </w:pPr>
            <w:r>
              <w:rPr>
                <w:rFonts w:ascii="Arial" w:cs="Arial" w:eastAsia="Arial" w:hAnsi="Arial"/>
                <w:sz w:val="16"/>
                <w:szCs w:val="16"/>
                <w:color w:val="003478"/>
                <w:shd w:val="clear" w:color="auto" w:fill="E5E7EF"/>
              </w:rPr>
              <w:t>Independent</w:t>
            </w:r>
          </w:p>
        </w:tc>
        <w:tc>
          <w:tcPr>
            <w:tcW w:w="480" w:type="dxa"/>
            <w:vAlign w:val="bottom"/>
            <w:shd w:val="clear" w:color="auto" w:fill="E5E7EF"/>
          </w:tcPr>
          <w:p>
            <w:pPr>
              <w:spacing w:after="0"/>
              <w:rPr>
                <w:sz w:val="20"/>
                <w:szCs w:val="20"/>
                <w:color w:val="auto"/>
              </w:rPr>
            </w:pPr>
            <w:r>
              <w:rPr>
                <w:rFonts w:ascii="Arial" w:cs="Arial" w:eastAsia="Arial" w:hAnsi="Arial"/>
                <w:sz w:val="16"/>
                <w:szCs w:val="16"/>
                <w:color w:val="003478"/>
                <w:w w:val="82"/>
                <w:shd w:val="clear" w:color="auto" w:fill="E5E7EF"/>
              </w:rPr>
              <w:t>Director</w:t>
            </w:r>
          </w:p>
        </w:tc>
        <w:tc>
          <w:tcPr>
            <w:tcW w:w="780" w:type="dxa"/>
            <w:vAlign w:val="bottom"/>
            <w:shd w:val="clear" w:color="auto" w:fill="E5E7EF"/>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340" w:type="dxa"/>
            <w:vAlign w:val="bottom"/>
            <w:tcBorders>
              <w:right w:val="single" w:sz="8" w:color="002E6D"/>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20" w:type="dxa"/>
            <w:vAlign w:val="bottom"/>
            <w:tcBorders>
              <w:left w:val="single" w:sz="8" w:color="002E6D"/>
            </w:tcBorders>
          </w:tcPr>
          <w:p>
            <w:pPr>
              <w:spacing w:after="0"/>
              <w:rPr>
                <w:sz w:val="23"/>
                <w:szCs w:val="23"/>
                <w:color w:val="auto"/>
              </w:rPr>
            </w:pPr>
          </w:p>
        </w:tc>
        <w:tc>
          <w:tcPr>
            <w:tcW w:w="100" w:type="dxa"/>
            <w:vAlign w:val="bottom"/>
            <w:shd w:val="clear" w:color="auto" w:fill="E5E7EF"/>
          </w:tcPr>
          <w:p>
            <w:pPr>
              <w:spacing w:after="0"/>
              <w:rPr>
                <w:sz w:val="23"/>
                <w:szCs w:val="23"/>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Committees</w:t>
            </w:r>
          </w:p>
        </w:tc>
        <w:tc>
          <w:tcPr>
            <w:tcW w:w="1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3020" w:type="dxa"/>
            <w:vAlign w:val="bottom"/>
          </w:tcPr>
          <w:p>
            <w:pPr>
              <w:ind w:left="620"/>
              <w:spacing w:after="0"/>
              <w:rPr>
                <w:sz w:val="20"/>
                <w:szCs w:val="20"/>
                <w:color w:val="auto"/>
              </w:rPr>
            </w:pPr>
            <w:r>
              <w:rPr>
                <w:rFonts w:ascii="Calibri" w:cs="Calibri" w:eastAsia="Calibri" w:hAnsi="Calibri"/>
                <w:sz w:val="14"/>
                <w:szCs w:val="14"/>
                <w:color w:val="auto"/>
              </w:rPr>
              <w:t>Business Model / Commercial</w:t>
            </w:r>
          </w:p>
        </w:tc>
        <w:tc>
          <w:tcPr>
            <w:tcW w:w="2940" w:type="dxa"/>
            <w:vAlign w:val="bottom"/>
          </w:tcPr>
          <w:p>
            <w:pPr>
              <w:ind w:left="300"/>
              <w:spacing w:after="0"/>
              <w:rPr>
                <w:sz w:val="20"/>
                <w:szCs w:val="20"/>
                <w:color w:val="auto"/>
              </w:rPr>
            </w:pPr>
            <w:r>
              <w:rPr>
                <w:rFonts w:ascii="Calibri" w:cs="Calibri" w:eastAsia="Calibri" w:hAnsi="Calibri"/>
                <w:sz w:val="14"/>
                <w:szCs w:val="14"/>
                <w:color w:val="auto"/>
              </w:rPr>
              <w:t>CEO Leadership</w:t>
            </w:r>
          </w:p>
        </w:tc>
        <w:tc>
          <w:tcPr>
            <w:tcW w:w="2340" w:type="dxa"/>
            <w:vAlign w:val="bottom"/>
            <w:tcBorders>
              <w:right w:val="single" w:sz="8" w:color="002E6D"/>
            </w:tcBorders>
          </w:tcPr>
          <w:p>
            <w:pPr>
              <w:ind w:left="60"/>
              <w:spacing w:after="0"/>
              <w:rPr>
                <w:sz w:val="20"/>
                <w:szCs w:val="20"/>
                <w:color w:val="auto"/>
              </w:rPr>
            </w:pPr>
            <w:r>
              <w:rPr>
                <w:rFonts w:ascii="Calibri" w:cs="Calibri" w:eastAsia="Calibri" w:hAnsi="Calibri"/>
                <w:sz w:val="14"/>
                <w:szCs w:val="14"/>
                <w:color w:val="auto"/>
              </w:rPr>
              <w:t>Environment, Social and Governance</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20" w:type="dxa"/>
            <w:vAlign w:val="bottom"/>
            <w:tcBorders>
              <w:left w:val="single" w:sz="8" w:color="002E6D"/>
            </w:tcBorders>
          </w:tcPr>
          <w:p>
            <w:pPr>
              <w:spacing w:after="0"/>
              <w:rPr>
                <w:sz w:val="14"/>
                <w:szCs w:val="14"/>
                <w:color w:val="auto"/>
              </w:rPr>
            </w:pPr>
          </w:p>
        </w:tc>
        <w:tc>
          <w:tcPr>
            <w:tcW w:w="100" w:type="dxa"/>
            <w:vAlign w:val="bottom"/>
            <w:shd w:val="clear" w:color="auto" w:fill="E5E7EF"/>
          </w:tcPr>
          <w:p>
            <w:pPr>
              <w:spacing w:after="0"/>
              <w:rPr>
                <w:sz w:val="14"/>
                <w:szCs w:val="14"/>
                <w:color w:val="auto"/>
              </w:rPr>
            </w:pPr>
          </w:p>
        </w:tc>
        <w:tc>
          <w:tcPr>
            <w:tcW w:w="2300" w:type="dxa"/>
            <w:vAlign w:val="bottom"/>
            <w:gridSpan w:val="4"/>
            <w:vMerge w:val="restart"/>
            <w:shd w:val="clear" w:color="auto" w:fill="E5E7EF"/>
          </w:tcPr>
          <w:p>
            <w:pPr>
              <w:spacing w:after="0"/>
              <w:rPr>
                <w:sz w:val="20"/>
                <w:szCs w:val="20"/>
                <w:color w:val="auto"/>
              </w:rPr>
            </w:pPr>
            <w:r>
              <w:rPr>
                <w:rFonts w:ascii="Arial" w:cs="Arial" w:eastAsia="Arial" w:hAnsi="Arial"/>
                <w:sz w:val="16"/>
                <w:szCs w:val="16"/>
                <w:color w:val="003478"/>
              </w:rPr>
              <w:t>Management Development</w:t>
            </w:r>
          </w:p>
        </w:tc>
        <w:tc>
          <w:tcPr>
            <w:tcW w:w="1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tcPr>
          <w:p>
            <w:pPr>
              <w:ind w:left="620"/>
              <w:spacing w:after="0"/>
              <w:rPr>
                <w:sz w:val="20"/>
                <w:szCs w:val="20"/>
                <w:color w:val="auto"/>
              </w:rPr>
            </w:pPr>
            <w:r>
              <w:rPr>
                <w:rFonts w:ascii="Calibri" w:cs="Calibri" w:eastAsia="Calibri" w:hAnsi="Calibri"/>
                <w:sz w:val="14"/>
                <w:szCs w:val="14"/>
                <w:color w:val="auto"/>
              </w:rPr>
              <w:t>Partnerships</w:t>
            </w:r>
          </w:p>
        </w:tc>
        <w:tc>
          <w:tcPr>
            <w:tcW w:w="2940" w:type="dxa"/>
            <w:vAlign w:val="bottom"/>
          </w:tcPr>
          <w:p>
            <w:pPr>
              <w:ind w:left="300"/>
              <w:spacing w:after="0"/>
              <w:rPr>
                <w:sz w:val="20"/>
                <w:szCs w:val="20"/>
                <w:color w:val="auto"/>
              </w:rPr>
            </w:pPr>
            <w:r>
              <w:rPr>
                <w:rFonts w:ascii="Calibri" w:cs="Calibri" w:eastAsia="Calibri" w:hAnsi="Calibri"/>
                <w:sz w:val="14"/>
                <w:szCs w:val="14"/>
                <w:color w:val="auto"/>
              </w:rPr>
              <w:t>Experience</w:t>
            </w:r>
          </w:p>
        </w:tc>
        <w:tc>
          <w:tcPr>
            <w:tcW w:w="2340" w:type="dxa"/>
            <w:vAlign w:val="bottom"/>
            <w:tcBorders>
              <w:right w:val="single" w:sz="8" w:color="002E6D"/>
            </w:tcBorders>
          </w:tcPr>
          <w:p>
            <w:pPr>
              <w:ind w:left="60"/>
              <w:spacing w:after="0"/>
              <w:rPr>
                <w:sz w:val="20"/>
                <w:szCs w:val="20"/>
                <w:color w:val="auto"/>
              </w:rPr>
            </w:pPr>
            <w:r>
              <w:rPr>
                <w:rFonts w:ascii="Calibri" w:cs="Calibri" w:eastAsia="Calibri" w:hAnsi="Calibri"/>
                <w:sz w:val="14"/>
                <w:szCs w:val="14"/>
                <w:color w:val="auto"/>
              </w:rPr>
              <w:t>Expertse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20" w:type="dxa"/>
            <w:vAlign w:val="bottom"/>
            <w:tcBorders>
              <w:left w:val="single" w:sz="8" w:color="002E6D"/>
            </w:tcBorders>
          </w:tcPr>
          <w:p>
            <w:pPr>
              <w:spacing w:after="0"/>
              <w:rPr>
                <w:sz w:val="6"/>
                <w:szCs w:val="6"/>
                <w:color w:val="auto"/>
              </w:rPr>
            </w:pPr>
          </w:p>
        </w:tc>
        <w:tc>
          <w:tcPr>
            <w:tcW w:w="100" w:type="dxa"/>
            <w:vAlign w:val="bottom"/>
            <w:shd w:val="clear" w:color="auto" w:fill="E5E7EF"/>
          </w:tcPr>
          <w:p>
            <w:pPr>
              <w:spacing w:after="0"/>
              <w:rPr>
                <w:sz w:val="6"/>
                <w:szCs w:val="6"/>
                <w:color w:val="auto"/>
              </w:rPr>
            </w:pPr>
          </w:p>
        </w:tc>
        <w:tc>
          <w:tcPr>
            <w:tcW w:w="2300" w:type="dxa"/>
            <w:vAlign w:val="bottom"/>
            <w:gridSpan w:val="4"/>
            <w:vMerge w:val="continue"/>
            <w:shd w:val="clear" w:color="auto" w:fill="E5E7EF"/>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020" w:type="dxa"/>
            <w:vAlign w:val="bottom"/>
          </w:tcPr>
          <w:p>
            <w:pPr>
              <w:spacing w:after="0"/>
              <w:rPr>
                <w:sz w:val="6"/>
                <w:szCs w:val="6"/>
                <w:color w:val="auto"/>
              </w:rPr>
            </w:pPr>
          </w:p>
        </w:tc>
        <w:tc>
          <w:tcPr>
            <w:tcW w:w="2940" w:type="dxa"/>
            <w:vAlign w:val="bottom"/>
          </w:tcPr>
          <w:p>
            <w:pPr>
              <w:spacing w:after="0"/>
              <w:rPr>
                <w:sz w:val="6"/>
                <w:szCs w:val="6"/>
                <w:color w:val="auto"/>
              </w:rPr>
            </w:pPr>
          </w:p>
        </w:tc>
        <w:tc>
          <w:tcPr>
            <w:tcW w:w="2340" w:type="dxa"/>
            <w:vAlign w:val="bottom"/>
            <w:tcBorders>
              <w:right w:val="single" w:sz="8" w:color="002E6D"/>
            </w:tcBorders>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002E6D"/>
            </w:tcBorders>
          </w:tcPr>
          <w:p>
            <w:pPr>
              <w:spacing w:after="0"/>
              <w:rPr>
                <w:sz w:val="17"/>
                <w:szCs w:val="17"/>
                <w:color w:val="auto"/>
              </w:rPr>
            </w:pPr>
          </w:p>
        </w:tc>
        <w:tc>
          <w:tcPr>
            <w:tcW w:w="100" w:type="dxa"/>
            <w:vAlign w:val="bottom"/>
            <w:shd w:val="clear" w:color="auto" w:fill="E5E7EF"/>
          </w:tcPr>
          <w:p>
            <w:pPr>
              <w:spacing w:after="0"/>
              <w:rPr>
                <w:sz w:val="17"/>
                <w:szCs w:val="17"/>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and Compensation;</w:t>
            </w:r>
          </w:p>
        </w:tc>
        <w:tc>
          <w:tcPr>
            <w:tcW w:w="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020" w:type="dxa"/>
            <w:vAlign w:val="bottom"/>
            <w:vMerge w:val="restart"/>
          </w:tcPr>
          <w:p>
            <w:pPr>
              <w:ind w:left="620"/>
              <w:spacing w:after="0"/>
              <w:rPr>
                <w:sz w:val="20"/>
                <w:szCs w:val="20"/>
                <w:color w:val="auto"/>
              </w:rPr>
            </w:pPr>
            <w:r>
              <w:rPr>
                <w:rFonts w:ascii="Calibri" w:cs="Calibri" w:eastAsia="Calibri" w:hAnsi="Calibri"/>
                <w:sz w:val="14"/>
                <w:szCs w:val="14"/>
                <w:color w:val="auto"/>
              </w:rPr>
              <w:t>Financial Expertse</w:t>
            </w:r>
          </w:p>
        </w:tc>
        <w:tc>
          <w:tcPr>
            <w:tcW w:w="2940" w:type="dxa"/>
            <w:vAlign w:val="bottom"/>
            <w:vMerge w:val="restart"/>
          </w:tcPr>
          <w:p>
            <w:pPr>
              <w:ind w:left="300"/>
              <w:spacing w:after="0"/>
              <w:rPr>
                <w:sz w:val="20"/>
                <w:szCs w:val="20"/>
                <w:color w:val="auto"/>
              </w:rPr>
            </w:pPr>
            <w:r>
              <w:rPr>
                <w:rFonts w:ascii="Calibri" w:cs="Calibri" w:eastAsia="Calibri" w:hAnsi="Calibri"/>
                <w:sz w:val="14"/>
                <w:szCs w:val="14"/>
                <w:color w:val="auto"/>
              </w:rPr>
              <w:t>Internatonal Business Expansion</w:t>
            </w:r>
          </w:p>
        </w:tc>
        <w:tc>
          <w:tcPr>
            <w:tcW w:w="2340" w:type="dxa"/>
            <w:vAlign w:val="bottom"/>
            <w:tcBorders>
              <w:right w:val="single" w:sz="8" w:color="002E6D"/>
            </w:tcBorders>
            <w:vMerge w:val="restart"/>
          </w:tcPr>
          <w:p>
            <w:pPr>
              <w:ind w:left="60"/>
              <w:spacing w:after="0"/>
              <w:rPr>
                <w:sz w:val="20"/>
                <w:szCs w:val="20"/>
                <w:color w:val="auto"/>
              </w:rPr>
            </w:pPr>
            <w:r>
              <w:rPr>
                <w:rFonts w:ascii="Calibri" w:cs="Calibri" w:eastAsia="Calibri" w:hAnsi="Calibri"/>
                <w:sz w:val="14"/>
                <w:szCs w:val="14"/>
                <w:color w:val="auto"/>
              </w:rPr>
              <w:t>M&amp;A Expertse</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20" w:type="dxa"/>
            <w:vAlign w:val="bottom"/>
            <w:tcBorders>
              <w:left w:val="single" w:sz="8" w:color="002E6D"/>
            </w:tcBorders>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2300" w:type="dxa"/>
            <w:vAlign w:val="bottom"/>
            <w:gridSpan w:val="4"/>
            <w:vMerge w:val="restart"/>
            <w:shd w:val="clear" w:color="auto" w:fill="E5E7EF"/>
          </w:tcPr>
          <w:p>
            <w:pPr>
              <w:spacing w:after="0"/>
              <w:rPr>
                <w:sz w:val="20"/>
                <w:szCs w:val="20"/>
                <w:color w:val="auto"/>
              </w:rPr>
            </w:pPr>
            <w:r>
              <w:rPr>
                <w:rFonts w:ascii="Arial" w:cs="Arial" w:eastAsia="Arial" w:hAnsi="Arial"/>
                <w:sz w:val="16"/>
                <w:szCs w:val="16"/>
                <w:color w:val="003478"/>
              </w:rPr>
              <w:t>Nominating and Corporate</w:t>
            </w:r>
          </w:p>
        </w:tc>
        <w:tc>
          <w:tcPr>
            <w:tcW w:w="1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2340" w:type="dxa"/>
            <w:vAlign w:val="bottom"/>
            <w:tcBorders>
              <w:right w:val="single" w:sz="8" w:color="002E6D"/>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20" w:type="dxa"/>
            <w:vAlign w:val="bottom"/>
            <w:tcBorders>
              <w:left w:val="single" w:sz="8" w:color="002E6D"/>
            </w:tcBorders>
          </w:tcPr>
          <w:p>
            <w:pPr>
              <w:spacing w:after="0"/>
              <w:rPr>
                <w:sz w:val="12"/>
                <w:szCs w:val="12"/>
                <w:color w:val="auto"/>
              </w:rPr>
            </w:pPr>
          </w:p>
        </w:tc>
        <w:tc>
          <w:tcPr>
            <w:tcW w:w="100" w:type="dxa"/>
            <w:vAlign w:val="bottom"/>
            <w:shd w:val="clear" w:color="auto" w:fill="E5E7EF"/>
          </w:tcPr>
          <w:p>
            <w:pPr>
              <w:spacing w:after="0"/>
              <w:rPr>
                <w:sz w:val="12"/>
                <w:szCs w:val="12"/>
                <w:color w:val="auto"/>
              </w:rPr>
            </w:pPr>
          </w:p>
        </w:tc>
        <w:tc>
          <w:tcPr>
            <w:tcW w:w="2300" w:type="dxa"/>
            <w:vAlign w:val="bottom"/>
            <w:gridSpan w:val="4"/>
            <w:vMerge w:val="continue"/>
            <w:shd w:val="clear" w:color="auto" w:fill="E5E7EF"/>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340" w:type="dxa"/>
            <w:vAlign w:val="bottom"/>
            <w:tcBorders>
              <w:right w:val="single" w:sz="8" w:color="002E6D"/>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20" w:type="dxa"/>
            <w:vAlign w:val="bottom"/>
            <w:tcBorders>
              <w:left w:val="single" w:sz="8" w:color="002E6D"/>
            </w:tcBorders>
          </w:tcPr>
          <w:p>
            <w:pPr>
              <w:spacing w:after="0"/>
              <w:rPr>
                <w:sz w:val="18"/>
                <w:szCs w:val="18"/>
                <w:color w:val="auto"/>
              </w:rPr>
            </w:pPr>
          </w:p>
        </w:tc>
        <w:tc>
          <w:tcPr>
            <w:tcW w:w="100" w:type="dxa"/>
            <w:vAlign w:val="bottom"/>
            <w:shd w:val="clear" w:color="auto" w:fill="E5E7EF"/>
          </w:tcPr>
          <w:p>
            <w:pPr>
              <w:spacing w:after="0"/>
              <w:rPr>
                <w:sz w:val="18"/>
                <w:szCs w:val="18"/>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Governance</w:t>
            </w: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vMerge w:val="restart"/>
          </w:tcPr>
          <w:p>
            <w:pPr>
              <w:ind w:left="620"/>
              <w:spacing w:after="0"/>
              <w:rPr>
                <w:sz w:val="20"/>
                <w:szCs w:val="20"/>
                <w:color w:val="auto"/>
              </w:rPr>
            </w:pPr>
            <w:r>
              <w:rPr>
                <w:rFonts w:ascii="Calibri" w:cs="Calibri" w:eastAsia="Calibri" w:hAnsi="Calibri"/>
                <w:sz w:val="14"/>
                <w:szCs w:val="14"/>
                <w:color w:val="auto"/>
              </w:rPr>
              <w:t>Operatonal Executon and Efciency</w:t>
            </w:r>
          </w:p>
        </w:tc>
        <w:tc>
          <w:tcPr>
            <w:tcW w:w="2940" w:type="dxa"/>
            <w:vAlign w:val="bottom"/>
            <w:vMerge w:val="restart"/>
          </w:tcPr>
          <w:p>
            <w:pPr>
              <w:ind w:left="300"/>
              <w:spacing w:after="0"/>
              <w:rPr>
                <w:sz w:val="20"/>
                <w:szCs w:val="20"/>
                <w:color w:val="auto"/>
              </w:rPr>
            </w:pPr>
            <w:r>
              <w:rPr>
                <w:rFonts w:ascii="Calibri" w:cs="Calibri" w:eastAsia="Calibri" w:hAnsi="Calibri"/>
                <w:sz w:val="14"/>
                <w:szCs w:val="14"/>
                <w:color w:val="auto"/>
              </w:rPr>
              <w:t>Supply Chain Excellence</w:t>
            </w:r>
          </w:p>
        </w:tc>
        <w:tc>
          <w:tcPr>
            <w:tcW w:w="2340" w:type="dxa"/>
            <w:vAlign w:val="bottom"/>
            <w:tcBorders>
              <w:right w:val="single" w:sz="8" w:color="002E6D"/>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20" w:type="dxa"/>
            <w:vAlign w:val="bottom"/>
            <w:tcBorders>
              <w:left w:val="single" w:sz="8" w:color="002E6D"/>
            </w:tcBorders>
          </w:tcPr>
          <w:p>
            <w:pPr>
              <w:spacing w:after="0"/>
              <w:rPr>
                <w:sz w:val="6"/>
                <w:szCs w:val="6"/>
                <w:color w:val="auto"/>
              </w:rPr>
            </w:pPr>
          </w:p>
        </w:tc>
        <w:tc>
          <w:tcPr>
            <w:tcW w:w="100" w:type="dxa"/>
            <w:vAlign w:val="bottom"/>
            <w:shd w:val="clear" w:color="auto" w:fill="E5E7EF"/>
          </w:tcPr>
          <w:p>
            <w:pPr>
              <w:spacing w:after="0"/>
              <w:rPr>
                <w:sz w:val="6"/>
                <w:szCs w:val="6"/>
                <w:color w:val="auto"/>
              </w:rPr>
            </w:pPr>
          </w:p>
        </w:tc>
        <w:tc>
          <w:tcPr>
            <w:tcW w:w="280" w:type="dxa"/>
            <w:vAlign w:val="bottom"/>
            <w:shd w:val="clear" w:color="auto" w:fill="E5E7EF"/>
          </w:tcPr>
          <w:p>
            <w:pPr>
              <w:spacing w:after="0"/>
              <w:rPr>
                <w:sz w:val="6"/>
                <w:szCs w:val="6"/>
                <w:color w:val="auto"/>
              </w:rPr>
            </w:pPr>
          </w:p>
        </w:tc>
        <w:tc>
          <w:tcPr>
            <w:tcW w:w="760" w:type="dxa"/>
            <w:vAlign w:val="bottom"/>
            <w:shd w:val="clear" w:color="auto" w:fill="E5E7EF"/>
          </w:tcPr>
          <w:p>
            <w:pPr>
              <w:spacing w:after="0"/>
              <w:rPr>
                <w:sz w:val="6"/>
                <w:szCs w:val="6"/>
                <w:color w:val="auto"/>
              </w:rPr>
            </w:pPr>
          </w:p>
        </w:tc>
        <w:tc>
          <w:tcPr>
            <w:tcW w:w="480" w:type="dxa"/>
            <w:vAlign w:val="bottom"/>
            <w:shd w:val="clear" w:color="auto" w:fill="E5E7EF"/>
          </w:tcPr>
          <w:p>
            <w:pPr>
              <w:spacing w:after="0"/>
              <w:rPr>
                <w:sz w:val="6"/>
                <w:szCs w:val="6"/>
                <w:color w:val="auto"/>
              </w:rPr>
            </w:pPr>
          </w:p>
        </w:tc>
        <w:tc>
          <w:tcPr>
            <w:tcW w:w="780" w:type="dxa"/>
            <w:vAlign w:val="bottom"/>
            <w:shd w:val="clear" w:color="auto" w:fill="E5E7EF"/>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020" w:type="dxa"/>
            <w:vAlign w:val="bottom"/>
            <w:vMerge w:val="continue"/>
          </w:tcPr>
          <w:p>
            <w:pPr>
              <w:spacing w:after="0"/>
              <w:rPr>
                <w:sz w:val="6"/>
                <w:szCs w:val="6"/>
                <w:color w:val="auto"/>
              </w:rPr>
            </w:pPr>
          </w:p>
        </w:tc>
        <w:tc>
          <w:tcPr>
            <w:tcW w:w="2940" w:type="dxa"/>
            <w:vAlign w:val="bottom"/>
            <w:vMerge w:val="continue"/>
          </w:tcPr>
          <w:p>
            <w:pPr>
              <w:spacing w:after="0"/>
              <w:rPr>
                <w:sz w:val="6"/>
                <w:szCs w:val="6"/>
                <w:color w:val="auto"/>
              </w:rPr>
            </w:pPr>
          </w:p>
        </w:tc>
        <w:tc>
          <w:tcPr>
            <w:tcW w:w="2340" w:type="dxa"/>
            <w:vAlign w:val="bottom"/>
            <w:tcBorders>
              <w:right w:val="single" w:sz="8" w:color="002E6D"/>
            </w:tcBorders>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20" w:type="dxa"/>
            <w:vAlign w:val="bottom"/>
            <w:tcBorders>
              <w:left w:val="single" w:sz="8" w:color="002E6D"/>
            </w:tcBorders>
          </w:tcPr>
          <w:p>
            <w:pPr>
              <w:spacing w:after="0"/>
              <w:rPr>
                <w:sz w:val="19"/>
                <w:szCs w:val="19"/>
                <w:color w:val="auto"/>
              </w:rPr>
            </w:pPr>
          </w:p>
        </w:tc>
        <w:tc>
          <w:tcPr>
            <w:tcW w:w="100" w:type="dxa"/>
            <w:vAlign w:val="bottom"/>
            <w:shd w:val="clear" w:color="auto" w:fill="E5E7EF"/>
          </w:tcPr>
          <w:p>
            <w:pPr>
              <w:spacing w:after="0"/>
              <w:rPr>
                <w:sz w:val="19"/>
                <w:szCs w:val="19"/>
                <w:color w:val="auto"/>
              </w:rPr>
            </w:pPr>
          </w:p>
        </w:tc>
        <w:tc>
          <w:tcPr>
            <w:tcW w:w="1520" w:type="dxa"/>
            <w:vAlign w:val="bottom"/>
            <w:gridSpan w:val="3"/>
            <w:shd w:val="clear" w:color="auto" w:fill="E5E7EF"/>
          </w:tcPr>
          <w:p>
            <w:pPr>
              <w:spacing w:after="0"/>
              <w:rPr>
                <w:sz w:val="20"/>
                <w:szCs w:val="20"/>
                <w:color w:val="auto"/>
              </w:rPr>
            </w:pPr>
            <w:r>
              <w:rPr>
                <w:rFonts w:ascii="Arial" w:cs="Arial" w:eastAsia="Arial" w:hAnsi="Arial"/>
                <w:sz w:val="16"/>
                <w:szCs w:val="16"/>
                <w:color w:val="003478"/>
                <w:shd w:val="clear" w:color="auto" w:fill="E5E7EF"/>
              </w:rPr>
              <w:t>Other Public Boards*</w:t>
            </w:r>
          </w:p>
        </w:tc>
        <w:tc>
          <w:tcPr>
            <w:tcW w:w="780" w:type="dxa"/>
            <w:vAlign w:val="bottom"/>
            <w:shd w:val="clear" w:color="auto" w:fill="E5E7EF"/>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340" w:type="dxa"/>
            <w:vAlign w:val="bottom"/>
            <w:tcBorders>
              <w:right w:val="single" w:sz="8" w:color="002E6D"/>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Borders>
              <w:left w:val="single" w:sz="8" w:color="002E6D"/>
            </w:tcBorders>
          </w:tcPr>
          <w:p>
            <w:pPr>
              <w:spacing w:after="0"/>
              <w:rPr>
                <w:sz w:val="18"/>
                <w:szCs w:val="18"/>
                <w:color w:val="auto"/>
              </w:rPr>
            </w:pPr>
          </w:p>
        </w:tc>
        <w:tc>
          <w:tcPr>
            <w:tcW w:w="100" w:type="dxa"/>
            <w:vAlign w:val="bottom"/>
            <w:shd w:val="clear" w:color="auto" w:fill="E5E7EF"/>
          </w:tcPr>
          <w:p>
            <w:pPr>
              <w:spacing w:after="0"/>
              <w:rPr>
                <w:sz w:val="18"/>
                <w:szCs w:val="18"/>
                <w:color w:val="auto"/>
              </w:rPr>
            </w:pPr>
          </w:p>
        </w:tc>
        <w:tc>
          <w:tcPr>
            <w:tcW w:w="1520" w:type="dxa"/>
            <w:vAlign w:val="bottom"/>
            <w:gridSpan w:val="3"/>
            <w:shd w:val="clear" w:color="auto" w:fill="E5E7EF"/>
          </w:tcPr>
          <w:p>
            <w:pPr>
              <w:spacing w:after="0"/>
              <w:rPr>
                <w:sz w:val="20"/>
                <w:szCs w:val="20"/>
                <w:color w:val="auto"/>
              </w:rPr>
            </w:pPr>
            <w:r>
              <w:rPr>
                <w:rFonts w:ascii="Arial" w:cs="Arial" w:eastAsia="Arial" w:hAnsi="Arial"/>
                <w:sz w:val="16"/>
                <w:szCs w:val="16"/>
                <w:color w:val="003478"/>
              </w:rPr>
              <w:t>Occidental</w:t>
            </w:r>
          </w:p>
        </w:tc>
        <w:tc>
          <w:tcPr>
            <w:tcW w:w="780" w:type="dxa"/>
            <w:vAlign w:val="bottom"/>
            <w:shd w:val="clear" w:color="auto" w:fill="E5E7EF"/>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340" w:type="dxa"/>
            <w:vAlign w:val="bottom"/>
            <w:tcBorders>
              <w:right w:val="single" w:sz="8" w:color="002E6D"/>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20" w:type="dxa"/>
            <w:vAlign w:val="bottom"/>
            <w:tcBorders>
              <w:left w:val="single" w:sz="8" w:color="002E6D"/>
            </w:tcBorders>
          </w:tcPr>
          <w:p>
            <w:pPr>
              <w:spacing w:after="0"/>
              <w:rPr>
                <w:sz w:val="24"/>
                <w:szCs w:val="24"/>
                <w:color w:val="auto"/>
              </w:rPr>
            </w:pPr>
          </w:p>
        </w:tc>
        <w:tc>
          <w:tcPr>
            <w:tcW w:w="100" w:type="dxa"/>
            <w:vAlign w:val="bottom"/>
            <w:shd w:val="clear" w:color="auto" w:fill="E5E7EF"/>
          </w:tcPr>
          <w:p>
            <w:pPr>
              <w:spacing w:after="0"/>
              <w:rPr>
                <w:sz w:val="24"/>
                <w:szCs w:val="24"/>
                <w:color w:val="auto"/>
              </w:rPr>
            </w:pPr>
          </w:p>
        </w:tc>
        <w:tc>
          <w:tcPr>
            <w:tcW w:w="280" w:type="dxa"/>
            <w:vAlign w:val="bottom"/>
            <w:shd w:val="clear" w:color="auto" w:fill="E5E7EF"/>
          </w:tcPr>
          <w:p>
            <w:pPr>
              <w:spacing w:after="0"/>
              <w:rPr>
                <w:sz w:val="24"/>
                <w:szCs w:val="24"/>
                <w:color w:val="auto"/>
              </w:rPr>
            </w:pPr>
          </w:p>
        </w:tc>
        <w:tc>
          <w:tcPr>
            <w:tcW w:w="760" w:type="dxa"/>
            <w:vAlign w:val="bottom"/>
            <w:shd w:val="clear" w:color="auto" w:fill="E5E7EF"/>
          </w:tcPr>
          <w:p>
            <w:pPr>
              <w:spacing w:after="0"/>
              <w:rPr>
                <w:sz w:val="24"/>
                <w:szCs w:val="24"/>
                <w:color w:val="auto"/>
              </w:rPr>
            </w:pPr>
          </w:p>
        </w:tc>
        <w:tc>
          <w:tcPr>
            <w:tcW w:w="480" w:type="dxa"/>
            <w:vAlign w:val="bottom"/>
            <w:shd w:val="clear" w:color="auto" w:fill="E5E7EF"/>
          </w:tcPr>
          <w:p>
            <w:pPr>
              <w:spacing w:after="0"/>
              <w:rPr>
                <w:sz w:val="24"/>
                <w:szCs w:val="24"/>
                <w:color w:val="auto"/>
              </w:rPr>
            </w:pPr>
          </w:p>
        </w:tc>
        <w:tc>
          <w:tcPr>
            <w:tcW w:w="780" w:type="dxa"/>
            <w:vAlign w:val="bottom"/>
            <w:shd w:val="clear" w:color="auto" w:fill="E5E7EF"/>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40" w:type="dxa"/>
            <w:vAlign w:val="bottom"/>
            <w:tcBorders>
              <w:right w:val="single" w:sz="8" w:color="002E6D"/>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 w:type="dxa"/>
            <w:vAlign w:val="bottom"/>
            <w:tcBorders>
              <w:left w:val="single" w:sz="8" w:color="002E6D"/>
              <w:bottom w:val="single" w:sz="8" w:color="002E6D"/>
            </w:tcBorders>
          </w:tcPr>
          <w:p>
            <w:pPr>
              <w:spacing w:after="0"/>
              <w:rPr>
                <w:sz w:val="12"/>
                <w:szCs w:val="12"/>
                <w:color w:val="auto"/>
              </w:rPr>
            </w:pPr>
          </w:p>
        </w:tc>
        <w:tc>
          <w:tcPr>
            <w:tcW w:w="100" w:type="dxa"/>
            <w:vAlign w:val="bottom"/>
            <w:tcBorders>
              <w:bottom w:val="single" w:sz="8" w:color="002E6D"/>
            </w:tcBorders>
          </w:tcPr>
          <w:p>
            <w:pPr>
              <w:spacing w:after="0"/>
              <w:rPr>
                <w:sz w:val="12"/>
                <w:szCs w:val="12"/>
                <w:color w:val="auto"/>
              </w:rPr>
            </w:pPr>
          </w:p>
        </w:tc>
        <w:tc>
          <w:tcPr>
            <w:tcW w:w="280" w:type="dxa"/>
            <w:vAlign w:val="bottom"/>
            <w:tcBorders>
              <w:bottom w:val="single" w:sz="8" w:color="002E6D"/>
            </w:tcBorders>
          </w:tcPr>
          <w:p>
            <w:pPr>
              <w:spacing w:after="0"/>
              <w:rPr>
                <w:sz w:val="12"/>
                <w:szCs w:val="12"/>
                <w:color w:val="auto"/>
              </w:rPr>
            </w:pPr>
          </w:p>
        </w:tc>
        <w:tc>
          <w:tcPr>
            <w:tcW w:w="760" w:type="dxa"/>
            <w:vAlign w:val="bottom"/>
            <w:tcBorders>
              <w:bottom w:val="single" w:sz="8" w:color="002E6D"/>
            </w:tcBorders>
          </w:tcPr>
          <w:p>
            <w:pPr>
              <w:spacing w:after="0"/>
              <w:rPr>
                <w:sz w:val="12"/>
                <w:szCs w:val="12"/>
                <w:color w:val="auto"/>
              </w:rPr>
            </w:pPr>
          </w:p>
        </w:tc>
        <w:tc>
          <w:tcPr>
            <w:tcW w:w="480" w:type="dxa"/>
            <w:vAlign w:val="bottom"/>
            <w:tcBorders>
              <w:bottom w:val="single" w:sz="8" w:color="002E6D"/>
            </w:tcBorders>
          </w:tcPr>
          <w:p>
            <w:pPr>
              <w:spacing w:after="0"/>
              <w:rPr>
                <w:sz w:val="12"/>
                <w:szCs w:val="12"/>
                <w:color w:val="auto"/>
              </w:rPr>
            </w:pPr>
          </w:p>
        </w:tc>
        <w:tc>
          <w:tcPr>
            <w:tcW w:w="780" w:type="dxa"/>
            <w:vAlign w:val="bottom"/>
            <w:tcBorders>
              <w:bottom w:val="single" w:sz="8" w:color="002E6D"/>
            </w:tcBorders>
          </w:tcPr>
          <w:p>
            <w:pPr>
              <w:spacing w:after="0"/>
              <w:rPr>
                <w:sz w:val="12"/>
                <w:szCs w:val="12"/>
                <w:color w:val="auto"/>
              </w:rPr>
            </w:pPr>
          </w:p>
        </w:tc>
        <w:tc>
          <w:tcPr>
            <w:tcW w:w="160" w:type="dxa"/>
            <w:vAlign w:val="bottom"/>
            <w:tcBorders>
              <w:bottom w:val="single" w:sz="8" w:color="002E6D"/>
            </w:tcBorders>
          </w:tcPr>
          <w:p>
            <w:pPr>
              <w:spacing w:after="0"/>
              <w:rPr>
                <w:sz w:val="12"/>
                <w:szCs w:val="12"/>
                <w:color w:val="auto"/>
              </w:rPr>
            </w:pPr>
          </w:p>
        </w:tc>
        <w:tc>
          <w:tcPr>
            <w:tcW w:w="40" w:type="dxa"/>
            <w:vAlign w:val="bottom"/>
            <w:tcBorders>
              <w:bottom w:val="single" w:sz="8" w:color="002E6D"/>
            </w:tcBorders>
          </w:tcPr>
          <w:p>
            <w:pPr>
              <w:spacing w:after="0"/>
              <w:rPr>
                <w:sz w:val="12"/>
                <w:szCs w:val="12"/>
                <w:color w:val="auto"/>
              </w:rPr>
            </w:pPr>
          </w:p>
        </w:tc>
        <w:tc>
          <w:tcPr>
            <w:tcW w:w="3020" w:type="dxa"/>
            <w:vAlign w:val="bottom"/>
            <w:tcBorders>
              <w:bottom w:val="single" w:sz="8" w:color="002E6D"/>
            </w:tcBorders>
          </w:tcPr>
          <w:p>
            <w:pPr>
              <w:spacing w:after="0"/>
              <w:rPr>
                <w:sz w:val="12"/>
                <w:szCs w:val="12"/>
                <w:color w:val="auto"/>
              </w:rPr>
            </w:pPr>
          </w:p>
        </w:tc>
        <w:tc>
          <w:tcPr>
            <w:tcW w:w="2940" w:type="dxa"/>
            <w:vAlign w:val="bottom"/>
            <w:tcBorders>
              <w:bottom w:val="single" w:sz="8" w:color="002E6D"/>
            </w:tcBorders>
          </w:tcPr>
          <w:p>
            <w:pPr>
              <w:spacing w:after="0"/>
              <w:rPr>
                <w:sz w:val="12"/>
                <w:szCs w:val="12"/>
                <w:color w:val="auto"/>
              </w:rPr>
            </w:pPr>
          </w:p>
        </w:tc>
        <w:tc>
          <w:tcPr>
            <w:tcW w:w="2340" w:type="dxa"/>
            <w:vAlign w:val="bottom"/>
            <w:tcBorders>
              <w:bottom w:val="single" w:sz="8" w:color="002E6D"/>
              <w:right w:val="single" w:sz="8" w:color="002E6D"/>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20" w:type="dxa"/>
            <w:vAlign w:val="bottom"/>
            <w:tcBorders>
              <w:bottom w:val="single" w:sz="8" w:color="002E6D"/>
            </w:tcBorders>
          </w:tcPr>
          <w:p>
            <w:pPr>
              <w:spacing w:after="0"/>
              <w:rPr>
                <w:sz w:val="24"/>
                <w:szCs w:val="24"/>
                <w:color w:val="auto"/>
              </w:rPr>
            </w:pPr>
          </w:p>
        </w:tc>
        <w:tc>
          <w:tcPr>
            <w:tcW w:w="100" w:type="dxa"/>
            <w:vAlign w:val="bottom"/>
            <w:tcBorders>
              <w:bottom w:val="single" w:sz="8" w:color="002E6D"/>
            </w:tcBorders>
          </w:tcPr>
          <w:p>
            <w:pPr>
              <w:spacing w:after="0"/>
              <w:rPr>
                <w:sz w:val="24"/>
                <w:szCs w:val="24"/>
                <w:color w:val="auto"/>
              </w:rPr>
            </w:pPr>
          </w:p>
        </w:tc>
        <w:tc>
          <w:tcPr>
            <w:tcW w:w="280" w:type="dxa"/>
            <w:vAlign w:val="bottom"/>
            <w:tcBorders>
              <w:bottom w:val="single" w:sz="8" w:color="002E6D"/>
            </w:tcBorders>
          </w:tcPr>
          <w:p>
            <w:pPr>
              <w:spacing w:after="0"/>
              <w:rPr>
                <w:sz w:val="24"/>
                <w:szCs w:val="24"/>
                <w:color w:val="auto"/>
              </w:rPr>
            </w:pPr>
          </w:p>
        </w:tc>
        <w:tc>
          <w:tcPr>
            <w:tcW w:w="760" w:type="dxa"/>
            <w:vAlign w:val="bottom"/>
            <w:tcBorders>
              <w:bottom w:val="single" w:sz="8" w:color="002E6D"/>
            </w:tcBorders>
          </w:tcPr>
          <w:p>
            <w:pPr>
              <w:spacing w:after="0"/>
              <w:rPr>
                <w:sz w:val="24"/>
                <w:szCs w:val="24"/>
                <w:color w:val="auto"/>
              </w:rPr>
            </w:pPr>
          </w:p>
        </w:tc>
        <w:tc>
          <w:tcPr>
            <w:tcW w:w="480" w:type="dxa"/>
            <w:vAlign w:val="bottom"/>
            <w:tcBorders>
              <w:bottom w:val="single" w:sz="8" w:color="002E6D"/>
            </w:tcBorders>
          </w:tcPr>
          <w:p>
            <w:pPr>
              <w:spacing w:after="0"/>
              <w:rPr>
                <w:sz w:val="24"/>
                <w:szCs w:val="24"/>
                <w:color w:val="auto"/>
              </w:rPr>
            </w:pPr>
          </w:p>
        </w:tc>
        <w:tc>
          <w:tcPr>
            <w:tcW w:w="780" w:type="dxa"/>
            <w:vAlign w:val="bottom"/>
            <w:tcBorders>
              <w:bottom w:val="single" w:sz="8" w:color="002E6D"/>
            </w:tcBorders>
          </w:tcPr>
          <w:p>
            <w:pPr>
              <w:spacing w:after="0"/>
              <w:rPr>
                <w:sz w:val="24"/>
                <w:szCs w:val="24"/>
                <w:color w:val="auto"/>
              </w:rPr>
            </w:pPr>
          </w:p>
        </w:tc>
        <w:tc>
          <w:tcPr>
            <w:tcW w:w="160" w:type="dxa"/>
            <w:vAlign w:val="bottom"/>
            <w:tcBorders>
              <w:bottom w:val="single" w:sz="8" w:color="002E6D"/>
            </w:tcBorders>
          </w:tcPr>
          <w:p>
            <w:pPr>
              <w:spacing w:after="0"/>
              <w:rPr>
                <w:sz w:val="24"/>
                <w:szCs w:val="24"/>
                <w:color w:val="auto"/>
              </w:rPr>
            </w:pPr>
          </w:p>
        </w:tc>
        <w:tc>
          <w:tcPr>
            <w:tcW w:w="40" w:type="dxa"/>
            <w:vAlign w:val="bottom"/>
            <w:tcBorders>
              <w:bottom w:val="single" w:sz="8" w:color="002E6D"/>
            </w:tcBorders>
          </w:tcPr>
          <w:p>
            <w:pPr>
              <w:spacing w:after="0"/>
              <w:rPr>
                <w:sz w:val="24"/>
                <w:szCs w:val="24"/>
                <w:color w:val="auto"/>
              </w:rPr>
            </w:pPr>
          </w:p>
        </w:tc>
        <w:tc>
          <w:tcPr>
            <w:tcW w:w="3020" w:type="dxa"/>
            <w:vAlign w:val="bottom"/>
            <w:tcBorders>
              <w:bottom w:val="single" w:sz="8" w:color="002E6D"/>
            </w:tcBorders>
          </w:tcPr>
          <w:p>
            <w:pPr>
              <w:spacing w:after="0"/>
              <w:rPr>
                <w:sz w:val="24"/>
                <w:szCs w:val="24"/>
                <w:color w:val="auto"/>
              </w:rPr>
            </w:pPr>
          </w:p>
        </w:tc>
        <w:tc>
          <w:tcPr>
            <w:tcW w:w="2940" w:type="dxa"/>
            <w:vAlign w:val="bottom"/>
            <w:tcBorders>
              <w:bottom w:val="single" w:sz="8" w:color="002E6D"/>
            </w:tcBorders>
          </w:tcPr>
          <w:p>
            <w:pPr>
              <w:spacing w:after="0"/>
              <w:rPr>
                <w:sz w:val="24"/>
                <w:szCs w:val="24"/>
                <w:color w:val="auto"/>
              </w:rPr>
            </w:pPr>
          </w:p>
        </w:tc>
        <w:tc>
          <w:tcPr>
            <w:tcW w:w="2340" w:type="dxa"/>
            <w:vAlign w:val="bottom"/>
            <w:tcBorders>
              <w:bottom w:val="single" w:sz="8" w:color="002E6D"/>
            </w:tcBorders>
          </w:tcPr>
          <w:p>
            <w:pPr>
              <w:spacing w:after="0"/>
              <w:rPr>
                <w:sz w:val="24"/>
                <w:szCs w:val="24"/>
                <w:color w:val="auto"/>
              </w:rPr>
            </w:pPr>
          </w:p>
        </w:tc>
        <w:tc>
          <w:tcPr>
            <w:tcW w:w="240" w:type="dxa"/>
            <w:vAlign w:val="bottom"/>
            <w:tcBorders>
              <w:bottom w:val="single" w:sz="8" w:color="002E6D"/>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0" w:type="dxa"/>
            <w:vAlign w:val="bottom"/>
            <w:tcBorders>
              <w:left w:val="single" w:sz="8" w:color="002E6D"/>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20" w:type="dxa"/>
            <w:vAlign w:val="bottom"/>
            <w:vMerge w:val="restart"/>
          </w:tcPr>
          <w:p>
            <w:pPr>
              <w:ind w:left="240"/>
              <w:spacing w:after="0"/>
              <w:rPr>
                <w:sz w:val="20"/>
                <w:szCs w:val="20"/>
                <w:color w:val="auto"/>
              </w:rPr>
            </w:pPr>
            <w:r>
              <w:rPr>
                <w:rFonts w:ascii="Arial" w:cs="Arial" w:eastAsia="Arial" w:hAnsi="Arial"/>
                <w:sz w:val="17"/>
                <w:szCs w:val="17"/>
                <w:color w:val="003478"/>
              </w:rPr>
              <w:t>Biography</w:t>
            </w:r>
          </w:p>
        </w:tc>
        <w:tc>
          <w:tcPr>
            <w:tcW w:w="29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40" w:type="dxa"/>
            <w:vAlign w:val="bottom"/>
            <w:tcBorders>
              <w:right w:val="single" w:sz="8" w:color="002E6D"/>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0" w:type="dxa"/>
            <w:vAlign w:val="bottom"/>
            <w:tcBorders>
              <w:left w:val="single" w:sz="8" w:color="002E6D"/>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020" w:type="dxa"/>
            <w:vAlign w:val="bottom"/>
            <w:vMerge w:val="continue"/>
          </w:tcPr>
          <w:p>
            <w:pPr>
              <w:spacing w:after="0"/>
              <w:rPr>
                <w:sz w:val="21"/>
                <w:szCs w:val="21"/>
                <w:color w:val="auto"/>
              </w:rPr>
            </w:pPr>
          </w:p>
        </w:tc>
        <w:tc>
          <w:tcPr>
            <w:tcW w:w="29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40" w:type="dxa"/>
            <w:vAlign w:val="bottom"/>
            <w:tcBorders>
              <w:right w:val="single" w:sz="8" w:color="002E6D"/>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002E6D"/>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8540" w:type="dxa"/>
            <w:vAlign w:val="bottom"/>
            <w:tcBorders>
              <w:right w:val="single" w:sz="8" w:color="002E6D"/>
            </w:tcBorders>
            <w:gridSpan w:val="4"/>
          </w:tcPr>
          <w:p>
            <w:pPr>
              <w:ind w:left="240"/>
              <w:spacing w:after="0" w:line="203" w:lineRule="exact"/>
              <w:rPr>
                <w:sz w:val="20"/>
                <w:szCs w:val="20"/>
                <w:color w:val="auto"/>
              </w:rPr>
            </w:pPr>
            <w:r>
              <w:rPr>
                <w:rFonts w:ascii="Calibri" w:cs="Calibri" w:eastAsia="Calibri" w:hAnsi="Calibri"/>
                <w:sz w:val="17"/>
                <w:szCs w:val="17"/>
                <w:color w:val="auto"/>
              </w:rPr>
              <w:t>Partner at the internatonal law frm of Paul, Weiss, Rifind, Wharton &amp; Garrison LLP, and co-head of the</w:t>
            </w:r>
          </w:p>
        </w:tc>
        <w:tc>
          <w:tcPr>
            <w:tcW w:w="0" w:type="dxa"/>
            <w:vAlign w:val="bottom"/>
          </w:tcPr>
          <w:p>
            <w:pPr>
              <w:spacing w:after="0"/>
              <w:rPr>
                <w:sz w:val="1"/>
                <w:szCs w:val="1"/>
                <w:color w:val="auto"/>
              </w:rPr>
            </w:pPr>
          </w:p>
        </w:tc>
      </w:tr>
      <w:tr>
        <w:trPr>
          <w:trHeight w:val="204"/>
        </w:trPr>
        <w:tc>
          <w:tcPr>
            <w:tcW w:w="120" w:type="dxa"/>
            <w:vAlign w:val="bottom"/>
            <w:tcBorders>
              <w:left w:val="single" w:sz="8" w:color="002E6D"/>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8540" w:type="dxa"/>
            <w:vAlign w:val="bottom"/>
            <w:tcBorders>
              <w:right w:val="single" w:sz="8" w:color="002E6D"/>
            </w:tcBorders>
            <w:gridSpan w:val="4"/>
          </w:tcPr>
          <w:p>
            <w:pPr>
              <w:ind w:left="240"/>
              <w:spacing w:after="0" w:line="205" w:lineRule="exact"/>
              <w:rPr>
                <w:sz w:val="20"/>
                <w:szCs w:val="20"/>
                <w:color w:val="auto"/>
              </w:rPr>
            </w:pPr>
            <w:r>
              <w:rPr>
                <w:rFonts w:ascii="Calibri" w:cs="Calibri" w:eastAsia="Calibri" w:hAnsi="Calibri"/>
                <w:sz w:val="17"/>
                <w:szCs w:val="17"/>
                <w:color w:val="auto"/>
              </w:rPr>
              <w:t>Cybersecurity and Data Protecton practce, since January 2017. Previously, Mr. Johnson served as U.S. Secretary of</w:t>
            </w:r>
          </w:p>
        </w:tc>
        <w:tc>
          <w:tcPr>
            <w:tcW w:w="0" w:type="dxa"/>
            <w:vAlign w:val="bottom"/>
          </w:tcPr>
          <w:p>
            <w:pPr>
              <w:spacing w:after="0"/>
              <w:rPr>
                <w:sz w:val="1"/>
                <w:szCs w:val="1"/>
                <w:color w:val="auto"/>
              </w:rPr>
            </w:pPr>
          </w:p>
        </w:tc>
      </w:tr>
      <w:tr>
        <w:trPr>
          <w:trHeight w:val="216"/>
        </w:trPr>
        <w:tc>
          <w:tcPr>
            <w:tcW w:w="120" w:type="dxa"/>
            <w:vAlign w:val="bottom"/>
            <w:tcBorders>
              <w:left w:val="single" w:sz="8" w:color="002E6D"/>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540" w:type="dxa"/>
            <w:vAlign w:val="bottom"/>
            <w:tcBorders>
              <w:right w:val="single" w:sz="8" w:color="002E6D"/>
            </w:tcBorders>
            <w:gridSpan w:val="4"/>
          </w:tcPr>
          <w:p>
            <w:pPr>
              <w:ind w:left="240"/>
              <w:spacing w:after="0"/>
              <w:rPr>
                <w:sz w:val="20"/>
                <w:szCs w:val="20"/>
                <w:color w:val="auto"/>
              </w:rPr>
            </w:pPr>
            <w:r>
              <w:rPr>
                <w:rFonts w:ascii="Calibri" w:cs="Calibri" w:eastAsia="Calibri" w:hAnsi="Calibri"/>
                <w:sz w:val="17"/>
                <w:szCs w:val="17"/>
                <w:color w:val="auto"/>
              </w:rPr>
              <w:t>Homeland Security from December 2013 to January 2017; and as General Counsel of the U.S. Department of</w:t>
            </w:r>
          </w:p>
        </w:tc>
        <w:tc>
          <w:tcPr>
            <w:tcW w:w="0" w:type="dxa"/>
            <w:vAlign w:val="bottom"/>
          </w:tcPr>
          <w:p>
            <w:pPr>
              <w:spacing w:after="0"/>
              <w:rPr>
                <w:sz w:val="1"/>
                <w:szCs w:val="1"/>
                <w:color w:val="auto"/>
              </w:rPr>
            </w:pPr>
          </w:p>
        </w:tc>
      </w:tr>
      <w:tr>
        <w:trPr>
          <w:trHeight w:val="216"/>
        </w:trPr>
        <w:tc>
          <w:tcPr>
            <w:tcW w:w="120" w:type="dxa"/>
            <w:vAlign w:val="bottom"/>
            <w:tcBorders>
              <w:left w:val="single" w:sz="8" w:color="002E6D"/>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540" w:type="dxa"/>
            <w:vAlign w:val="bottom"/>
            <w:tcBorders>
              <w:right w:val="single" w:sz="8" w:color="002E6D"/>
            </w:tcBorders>
            <w:gridSpan w:val="4"/>
          </w:tcPr>
          <w:p>
            <w:pPr>
              <w:ind w:left="240"/>
              <w:spacing w:after="0"/>
              <w:rPr>
                <w:sz w:val="20"/>
                <w:szCs w:val="20"/>
                <w:color w:val="auto"/>
              </w:rPr>
            </w:pPr>
            <w:r>
              <w:rPr>
                <w:rFonts w:ascii="Calibri" w:cs="Calibri" w:eastAsia="Calibri" w:hAnsi="Calibri"/>
                <w:sz w:val="17"/>
                <w:szCs w:val="17"/>
                <w:color w:val="auto"/>
              </w:rPr>
              <w:t>Defense and as General Counsel of the U.S. Department of the Air Force. Mr. Johnson is presently a director of the</w:t>
            </w:r>
          </w:p>
        </w:tc>
        <w:tc>
          <w:tcPr>
            <w:tcW w:w="0" w:type="dxa"/>
            <w:vAlign w:val="bottom"/>
          </w:tcPr>
          <w:p>
            <w:pPr>
              <w:spacing w:after="0"/>
              <w:rPr>
                <w:sz w:val="1"/>
                <w:szCs w:val="1"/>
                <w:color w:val="auto"/>
              </w:rPr>
            </w:pPr>
          </w:p>
        </w:tc>
      </w:tr>
      <w:tr>
        <w:trPr>
          <w:trHeight w:val="216"/>
        </w:trPr>
        <w:tc>
          <w:tcPr>
            <w:tcW w:w="120" w:type="dxa"/>
            <w:vAlign w:val="bottom"/>
            <w:tcBorders>
              <w:left w:val="single" w:sz="8" w:color="002E6D"/>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540" w:type="dxa"/>
            <w:vAlign w:val="bottom"/>
            <w:tcBorders>
              <w:right w:val="single" w:sz="8" w:color="002E6D"/>
            </w:tcBorders>
            <w:gridSpan w:val="4"/>
          </w:tcPr>
          <w:p>
            <w:pPr>
              <w:ind w:left="240"/>
              <w:spacing w:after="0"/>
              <w:rPr>
                <w:sz w:val="20"/>
                <w:szCs w:val="20"/>
                <w:color w:val="auto"/>
              </w:rPr>
            </w:pPr>
            <w:r>
              <w:rPr>
                <w:rFonts w:ascii="Calibri" w:cs="Calibri" w:eastAsia="Calibri" w:hAnsi="Calibri"/>
                <w:sz w:val="17"/>
                <w:szCs w:val="17"/>
                <w:color w:val="auto"/>
              </w:rPr>
              <w:t>Council on Foreign Relatons, and formerly served as a director of PG&amp;E Corporaton from May 2017 to March</w:t>
            </w:r>
          </w:p>
        </w:tc>
        <w:tc>
          <w:tcPr>
            <w:tcW w:w="0" w:type="dxa"/>
            <w:vAlign w:val="bottom"/>
          </w:tcPr>
          <w:p>
            <w:pPr>
              <w:spacing w:after="0"/>
              <w:rPr>
                <w:sz w:val="1"/>
                <w:szCs w:val="1"/>
                <w:color w:val="auto"/>
              </w:rPr>
            </w:pPr>
          </w:p>
        </w:tc>
      </w:tr>
      <w:tr>
        <w:trPr>
          <w:trHeight w:val="216"/>
        </w:trPr>
        <w:tc>
          <w:tcPr>
            <w:tcW w:w="120" w:type="dxa"/>
            <w:vAlign w:val="bottom"/>
            <w:tcBorders>
              <w:left w:val="single" w:sz="8" w:color="002E6D"/>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Borders>
              <w:right w:val="single" w:sz="8" w:color="auto"/>
            </w:tcBorders>
            <w:gridSpan w:val="2"/>
          </w:tcPr>
          <w:p>
            <w:pPr>
              <w:spacing w:after="0"/>
              <w:rPr>
                <w:sz w:val="18"/>
                <w:szCs w:val="18"/>
                <w:color w:val="auto"/>
              </w:rPr>
            </w:pPr>
          </w:p>
        </w:tc>
        <w:tc>
          <w:tcPr>
            <w:tcW w:w="3020" w:type="dxa"/>
            <w:vAlign w:val="bottom"/>
          </w:tcPr>
          <w:p>
            <w:pPr>
              <w:ind w:left="240"/>
              <w:spacing w:after="0"/>
              <w:rPr>
                <w:sz w:val="20"/>
                <w:szCs w:val="20"/>
                <w:color w:val="auto"/>
              </w:rPr>
            </w:pPr>
            <w:r>
              <w:rPr>
                <w:rFonts w:ascii="Calibri" w:cs="Calibri" w:eastAsia="Calibri" w:hAnsi="Calibri"/>
                <w:sz w:val="17"/>
                <w:szCs w:val="17"/>
                <w:color w:val="auto"/>
              </w:rPr>
              <w:t>2018.</w:t>
            </w:r>
          </w:p>
        </w:tc>
        <w:tc>
          <w:tcPr>
            <w:tcW w:w="2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right w:val="single" w:sz="8" w:color="002E6D"/>
            </w:tcBorders>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20" w:type="dxa"/>
            <w:vAlign w:val="bottom"/>
            <w:tcBorders>
              <w:left w:val="single" w:sz="8" w:color="002E6D"/>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960" w:type="dxa"/>
            <w:vAlign w:val="bottom"/>
            <w:gridSpan w:val="2"/>
          </w:tcPr>
          <w:p>
            <w:pPr>
              <w:ind w:left="240"/>
              <w:spacing w:after="0"/>
              <w:rPr>
                <w:sz w:val="20"/>
                <w:szCs w:val="20"/>
                <w:color w:val="auto"/>
              </w:rPr>
            </w:pPr>
            <w:r>
              <w:rPr>
                <w:rFonts w:ascii="Arial" w:cs="Arial" w:eastAsia="Arial" w:hAnsi="Arial"/>
                <w:sz w:val="16"/>
                <w:szCs w:val="16"/>
                <w:color w:val="002E6D"/>
              </w:rPr>
              <w:t>Experience, Strategic Skills and Core Competencies</w:t>
            </w:r>
          </w:p>
        </w:tc>
        <w:tc>
          <w:tcPr>
            <w:tcW w:w="2340" w:type="dxa"/>
            <w:vAlign w:val="bottom"/>
          </w:tcPr>
          <w:p>
            <w:pPr>
              <w:spacing w:after="0"/>
              <w:rPr>
                <w:sz w:val="24"/>
                <w:szCs w:val="24"/>
                <w:color w:val="auto"/>
              </w:rPr>
            </w:pPr>
          </w:p>
        </w:tc>
        <w:tc>
          <w:tcPr>
            <w:tcW w:w="240" w:type="dxa"/>
            <w:vAlign w:val="bottom"/>
            <w:tcBorders>
              <w:right w:val="single" w:sz="8" w:color="002E6D"/>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20" w:type="dxa"/>
            <w:vAlign w:val="bottom"/>
            <w:tcBorders>
              <w:left w:val="single" w:sz="8" w:color="002E6D"/>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8540" w:type="dxa"/>
            <w:vAlign w:val="bottom"/>
            <w:tcBorders>
              <w:right w:val="single" w:sz="8" w:color="002E6D"/>
            </w:tcBorders>
            <w:gridSpan w:val="4"/>
          </w:tcPr>
          <w:p>
            <w:pPr>
              <w:ind w:left="240"/>
              <w:spacing w:after="0" w:line="205" w:lineRule="exact"/>
              <w:rPr>
                <w:sz w:val="20"/>
                <w:szCs w:val="20"/>
                <w:color w:val="auto"/>
              </w:rPr>
            </w:pPr>
            <w:r>
              <w:rPr>
                <w:rFonts w:ascii="Calibri" w:cs="Calibri" w:eastAsia="Calibri" w:hAnsi="Calibri"/>
                <w:sz w:val="17"/>
                <w:szCs w:val="17"/>
                <w:color w:val="002E6D"/>
              </w:rPr>
              <w:t xml:space="preserve">• </w:t>
            </w:r>
            <w:r>
              <w:rPr>
                <w:rFonts w:ascii="Calibri" w:cs="Calibri" w:eastAsia="Calibri" w:hAnsi="Calibri"/>
                <w:sz w:val="17"/>
                <w:szCs w:val="17"/>
                <w:color w:val="000000"/>
              </w:rPr>
              <w:t>Expertse in natonal security, leadership development and organizatonal preparedness from his service as U.S.</w:t>
            </w:r>
          </w:p>
        </w:tc>
        <w:tc>
          <w:tcPr>
            <w:tcW w:w="0" w:type="dxa"/>
            <w:vAlign w:val="bottom"/>
          </w:tcPr>
          <w:p>
            <w:pPr>
              <w:spacing w:after="0"/>
              <w:rPr>
                <w:sz w:val="1"/>
                <w:szCs w:val="1"/>
                <w:color w:val="auto"/>
              </w:rPr>
            </w:pPr>
          </w:p>
        </w:tc>
      </w:tr>
      <w:tr>
        <w:trPr>
          <w:trHeight w:val="215"/>
        </w:trPr>
        <w:tc>
          <w:tcPr>
            <w:tcW w:w="120" w:type="dxa"/>
            <w:vAlign w:val="bottom"/>
            <w:tcBorders>
              <w:left w:val="single" w:sz="8" w:color="002E6D"/>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020" w:type="dxa"/>
            <w:vAlign w:val="bottom"/>
          </w:tcPr>
          <w:p>
            <w:pPr>
              <w:ind w:left="400"/>
              <w:spacing w:after="0"/>
              <w:rPr>
                <w:sz w:val="20"/>
                <w:szCs w:val="20"/>
                <w:color w:val="auto"/>
              </w:rPr>
            </w:pPr>
            <w:r>
              <w:rPr>
                <w:rFonts w:ascii="Calibri" w:cs="Calibri" w:eastAsia="Calibri" w:hAnsi="Calibri"/>
                <w:sz w:val="17"/>
                <w:szCs w:val="17"/>
                <w:color w:val="auto"/>
              </w:rPr>
              <w:t>Secretary of Homeland Security</w:t>
            </w:r>
          </w:p>
        </w:tc>
        <w:tc>
          <w:tcPr>
            <w:tcW w:w="2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right w:val="single" w:sz="8" w:color="002E6D"/>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20" w:type="dxa"/>
            <w:vAlign w:val="bottom"/>
            <w:tcBorders>
              <w:left w:val="single" w:sz="8" w:color="002E6D"/>
            </w:tcBorders>
          </w:tcPr>
          <w:p>
            <w:pPr>
              <w:spacing w:after="0"/>
              <w:rPr>
                <w:sz w:val="23"/>
                <w:szCs w:val="23"/>
                <w:color w:val="auto"/>
              </w:rPr>
            </w:pPr>
          </w:p>
        </w:tc>
        <w:tc>
          <w:tcPr>
            <w:tcW w:w="100" w:type="dxa"/>
            <w:vAlign w:val="bottom"/>
            <w:shd w:val="clear" w:color="auto" w:fill="E5E7EF"/>
          </w:tcPr>
          <w:p>
            <w:pPr>
              <w:spacing w:after="0"/>
              <w:rPr>
                <w:sz w:val="23"/>
                <w:szCs w:val="23"/>
                <w:color w:val="auto"/>
              </w:rPr>
            </w:pPr>
          </w:p>
        </w:tc>
        <w:tc>
          <w:tcPr>
            <w:tcW w:w="1520" w:type="dxa"/>
            <w:vAlign w:val="bottom"/>
            <w:gridSpan w:val="3"/>
            <w:shd w:val="clear" w:color="auto" w:fill="E5E7EF"/>
          </w:tcPr>
          <w:p>
            <w:pPr>
              <w:spacing w:after="0"/>
              <w:rPr>
                <w:sz w:val="20"/>
                <w:szCs w:val="20"/>
                <w:color w:val="auto"/>
              </w:rPr>
            </w:pPr>
            <w:r>
              <w:rPr>
                <w:rFonts w:ascii="Arial" w:cs="Arial" w:eastAsia="Arial" w:hAnsi="Arial"/>
                <w:sz w:val="18"/>
                <w:szCs w:val="18"/>
                <w:color w:val="003478"/>
                <w:shd w:val="clear" w:color="auto" w:fill="E5E7EF"/>
              </w:rPr>
              <w:t>Jeh C. Johnson</w:t>
            </w:r>
          </w:p>
        </w:tc>
        <w:tc>
          <w:tcPr>
            <w:tcW w:w="780" w:type="dxa"/>
            <w:vAlign w:val="bottom"/>
            <w:shd w:val="clear" w:color="auto" w:fill="E5E7EF"/>
          </w:tcPr>
          <w:p>
            <w:pPr>
              <w:spacing w:after="0"/>
              <w:rPr>
                <w:sz w:val="23"/>
                <w:szCs w:val="23"/>
                <w:color w:val="auto"/>
              </w:rPr>
            </w:pPr>
          </w:p>
        </w:tc>
        <w:tc>
          <w:tcPr>
            <w:tcW w:w="160" w:type="dxa"/>
            <w:vAlign w:val="bottom"/>
            <w:tcBorders>
              <w:left w:val="single" w:sz="8" w:color="E5E7EF"/>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8540" w:type="dxa"/>
            <w:vAlign w:val="bottom"/>
            <w:tcBorders>
              <w:right w:val="single" w:sz="8" w:color="002E6D"/>
            </w:tcBorders>
            <w:gridSpan w:val="4"/>
          </w:tcPr>
          <w:p>
            <w:pPr>
              <w:ind w:left="240"/>
              <w:spacing w:after="0"/>
              <w:rPr>
                <w:sz w:val="20"/>
                <w:szCs w:val="20"/>
                <w:color w:val="auto"/>
              </w:rPr>
            </w:pPr>
            <w:r>
              <w:rPr>
                <w:rFonts w:ascii="Calibri" w:cs="Calibri" w:eastAsia="Calibri" w:hAnsi="Calibri"/>
                <w:sz w:val="17"/>
                <w:szCs w:val="17"/>
                <w:color w:val="002E6D"/>
              </w:rPr>
              <w:t xml:space="preserve">• </w:t>
            </w:r>
            <w:r>
              <w:rPr>
                <w:rFonts w:ascii="Calibri" w:cs="Calibri" w:eastAsia="Calibri" w:hAnsi="Calibri"/>
                <w:sz w:val="17"/>
                <w:szCs w:val="17"/>
                <w:color w:val="000000"/>
              </w:rPr>
              <w:t>Industry-specifc expertse and insight into our core customers, including requirements for acquisiton of</w:t>
            </w:r>
          </w:p>
        </w:tc>
        <w:tc>
          <w:tcPr>
            <w:tcW w:w="0" w:type="dxa"/>
            <w:vAlign w:val="bottom"/>
          </w:tcPr>
          <w:p>
            <w:pPr>
              <w:spacing w:after="0"/>
              <w:rPr>
                <w:sz w:val="1"/>
                <w:szCs w:val="1"/>
                <w:color w:val="auto"/>
              </w:rPr>
            </w:pPr>
          </w:p>
        </w:tc>
      </w:tr>
      <w:tr>
        <w:trPr>
          <w:trHeight w:val="216"/>
        </w:trPr>
        <w:tc>
          <w:tcPr>
            <w:tcW w:w="120" w:type="dxa"/>
            <w:vAlign w:val="bottom"/>
            <w:tcBorders>
              <w:left w:val="single" w:sz="8" w:color="002E6D"/>
            </w:tcBorders>
          </w:tcPr>
          <w:p>
            <w:pPr>
              <w:spacing w:after="0"/>
              <w:rPr>
                <w:sz w:val="18"/>
                <w:szCs w:val="18"/>
                <w:color w:val="auto"/>
              </w:rPr>
            </w:pPr>
          </w:p>
        </w:tc>
        <w:tc>
          <w:tcPr>
            <w:tcW w:w="100" w:type="dxa"/>
            <w:vAlign w:val="bottom"/>
            <w:shd w:val="clear" w:color="auto" w:fill="E5E7EF"/>
          </w:tcPr>
          <w:p>
            <w:pPr>
              <w:spacing w:after="0"/>
              <w:rPr>
                <w:sz w:val="18"/>
                <w:szCs w:val="18"/>
                <w:color w:val="auto"/>
              </w:rPr>
            </w:pPr>
          </w:p>
        </w:tc>
        <w:tc>
          <w:tcPr>
            <w:tcW w:w="280" w:type="dxa"/>
            <w:vAlign w:val="bottom"/>
            <w:vMerge w:val="restart"/>
            <w:shd w:val="clear" w:color="auto" w:fill="E5E7EF"/>
          </w:tcPr>
          <w:p>
            <w:pPr>
              <w:spacing w:after="0"/>
              <w:rPr>
                <w:sz w:val="20"/>
                <w:szCs w:val="20"/>
                <w:color w:val="auto"/>
              </w:rPr>
            </w:pPr>
            <w:r>
              <w:rPr>
                <w:rFonts w:ascii="Arial" w:cs="Arial" w:eastAsia="Arial" w:hAnsi="Arial"/>
                <w:sz w:val="16"/>
                <w:szCs w:val="16"/>
                <w:color w:val="003478"/>
                <w:w w:val="91"/>
                <w:shd w:val="clear" w:color="auto" w:fill="E5E7EF"/>
              </w:rPr>
              <w:t>Age</w:t>
            </w:r>
          </w:p>
        </w:tc>
        <w:tc>
          <w:tcPr>
            <w:tcW w:w="2020" w:type="dxa"/>
            <w:vAlign w:val="bottom"/>
            <w:gridSpan w:val="3"/>
            <w:vMerge w:val="restart"/>
            <w:shd w:val="clear" w:color="auto" w:fill="E5E7EF"/>
          </w:tcPr>
          <w:p>
            <w:pPr>
              <w:jc w:val="right"/>
              <w:ind w:right="1800"/>
              <w:spacing w:after="0"/>
              <w:rPr>
                <w:sz w:val="20"/>
                <w:szCs w:val="20"/>
                <w:color w:val="auto"/>
              </w:rPr>
            </w:pPr>
            <w:r>
              <w:rPr>
                <w:rFonts w:ascii="Arial" w:cs="Arial" w:eastAsia="Arial" w:hAnsi="Arial"/>
                <w:sz w:val="16"/>
                <w:szCs w:val="16"/>
                <w:color w:val="003478"/>
              </w:rPr>
              <w:t>65</w:t>
            </w:r>
          </w:p>
        </w:tc>
        <w:tc>
          <w:tcPr>
            <w:tcW w:w="160" w:type="dxa"/>
            <w:vAlign w:val="bottom"/>
            <w:tcBorders>
              <w:left w:val="single" w:sz="8" w:color="E5E7EF"/>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5960" w:type="dxa"/>
            <w:vAlign w:val="bottom"/>
            <w:gridSpan w:val="2"/>
          </w:tcPr>
          <w:p>
            <w:pPr>
              <w:ind w:left="400"/>
              <w:spacing w:after="0"/>
              <w:rPr>
                <w:sz w:val="20"/>
                <w:szCs w:val="20"/>
                <w:color w:val="auto"/>
              </w:rPr>
            </w:pPr>
            <w:r>
              <w:rPr>
                <w:rFonts w:ascii="Calibri" w:cs="Calibri" w:eastAsia="Calibri" w:hAnsi="Calibri"/>
                <w:sz w:val="17"/>
                <w:szCs w:val="17"/>
                <w:color w:val="auto"/>
              </w:rPr>
              <w:t>products and services, from prior senior leadership positons with the military</w:t>
            </w:r>
          </w:p>
        </w:tc>
        <w:tc>
          <w:tcPr>
            <w:tcW w:w="2340" w:type="dxa"/>
            <w:vAlign w:val="bottom"/>
          </w:tcPr>
          <w:p>
            <w:pPr>
              <w:spacing w:after="0"/>
              <w:rPr>
                <w:sz w:val="18"/>
                <w:szCs w:val="18"/>
                <w:color w:val="auto"/>
              </w:rPr>
            </w:pPr>
          </w:p>
        </w:tc>
        <w:tc>
          <w:tcPr>
            <w:tcW w:w="240" w:type="dxa"/>
            <w:vAlign w:val="bottom"/>
            <w:tcBorders>
              <w:right w:val="single" w:sz="8" w:color="002E6D"/>
            </w:tcBorders>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20" w:type="dxa"/>
            <w:vAlign w:val="bottom"/>
            <w:tcBorders>
              <w:left w:val="single" w:sz="8" w:color="002E6D"/>
            </w:tcBorders>
          </w:tcPr>
          <w:p>
            <w:pPr>
              <w:spacing w:after="0"/>
              <w:rPr>
                <w:sz w:val="4"/>
                <w:szCs w:val="4"/>
                <w:color w:val="auto"/>
              </w:rPr>
            </w:pPr>
          </w:p>
        </w:tc>
        <w:tc>
          <w:tcPr>
            <w:tcW w:w="100" w:type="dxa"/>
            <w:vAlign w:val="bottom"/>
            <w:shd w:val="clear" w:color="auto" w:fill="E5E7EF"/>
          </w:tcPr>
          <w:p>
            <w:pPr>
              <w:spacing w:after="0"/>
              <w:rPr>
                <w:sz w:val="4"/>
                <w:szCs w:val="4"/>
                <w:color w:val="auto"/>
              </w:rPr>
            </w:pPr>
          </w:p>
        </w:tc>
        <w:tc>
          <w:tcPr>
            <w:tcW w:w="280" w:type="dxa"/>
            <w:vAlign w:val="bottom"/>
            <w:vMerge w:val="continue"/>
            <w:shd w:val="clear" w:color="auto" w:fill="E5E7EF"/>
          </w:tcPr>
          <w:p>
            <w:pPr>
              <w:spacing w:after="0"/>
              <w:rPr>
                <w:sz w:val="4"/>
                <w:szCs w:val="4"/>
                <w:color w:val="auto"/>
              </w:rPr>
            </w:pPr>
          </w:p>
        </w:tc>
        <w:tc>
          <w:tcPr>
            <w:tcW w:w="2020" w:type="dxa"/>
            <w:vAlign w:val="bottom"/>
            <w:gridSpan w:val="3"/>
            <w:vMerge w:val="continue"/>
            <w:shd w:val="clear" w:color="auto" w:fill="E5E7EF"/>
          </w:tcPr>
          <w:p>
            <w:pPr>
              <w:spacing w:after="0"/>
              <w:rPr>
                <w:sz w:val="4"/>
                <w:szCs w:val="4"/>
                <w:color w:val="auto"/>
              </w:rPr>
            </w:pPr>
          </w:p>
        </w:tc>
        <w:tc>
          <w:tcPr>
            <w:tcW w:w="160" w:type="dxa"/>
            <w:vAlign w:val="bottom"/>
            <w:tcBorders>
              <w:left w:val="single" w:sz="8" w:color="E5E7EF"/>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240" w:type="dxa"/>
            <w:vAlign w:val="bottom"/>
            <w:tcBorders>
              <w:right w:val="single" w:sz="8" w:color="002E6D"/>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002E6D"/>
            </w:tcBorders>
          </w:tcPr>
          <w:p>
            <w:pPr>
              <w:spacing w:after="0"/>
              <w:rPr>
                <w:sz w:val="18"/>
                <w:szCs w:val="18"/>
                <w:color w:val="auto"/>
              </w:rPr>
            </w:pPr>
          </w:p>
        </w:tc>
        <w:tc>
          <w:tcPr>
            <w:tcW w:w="100" w:type="dxa"/>
            <w:vAlign w:val="bottom"/>
            <w:shd w:val="clear" w:color="auto" w:fill="E5E7EF"/>
          </w:tcPr>
          <w:p>
            <w:pPr>
              <w:spacing w:after="0"/>
              <w:rPr>
                <w:sz w:val="18"/>
                <w:szCs w:val="18"/>
                <w:color w:val="auto"/>
              </w:rPr>
            </w:pPr>
          </w:p>
        </w:tc>
        <w:tc>
          <w:tcPr>
            <w:tcW w:w="1040" w:type="dxa"/>
            <w:vAlign w:val="bottom"/>
            <w:gridSpan w:val="2"/>
            <w:vMerge w:val="restart"/>
            <w:shd w:val="clear" w:color="auto" w:fill="E5E7EF"/>
          </w:tcPr>
          <w:p>
            <w:pPr>
              <w:spacing w:after="0"/>
              <w:rPr>
                <w:sz w:val="20"/>
                <w:szCs w:val="20"/>
                <w:color w:val="auto"/>
              </w:rPr>
            </w:pPr>
            <w:r>
              <w:rPr>
                <w:rFonts w:ascii="Arial" w:cs="Arial" w:eastAsia="Arial" w:hAnsi="Arial"/>
                <w:sz w:val="16"/>
                <w:szCs w:val="16"/>
                <w:color w:val="003478"/>
                <w:shd w:val="clear" w:color="auto" w:fill="E5E7EF"/>
              </w:rPr>
              <w:t>Director since</w:t>
            </w:r>
          </w:p>
        </w:tc>
        <w:tc>
          <w:tcPr>
            <w:tcW w:w="1260" w:type="dxa"/>
            <w:vAlign w:val="bottom"/>
            <w:gridSpan w:val="2"/>
            <w:vMerge w:val="restart"/>
            <w:shd w:val="clear" w:color="auto" w:fill="E5E7EF"/>
          </w:tcPr>
          <w:p>
            <w:pPr>
              <w:spacing w:after="0"/>
              <w:rPr>
                <w:sz w:val="20"/>
                <w:szCs w:val="20"/>
                <w:color w:val="auto"/>
              </w:rPr>
            </w:pPr>
            <w:r>
              <w:rPr>
                <w:rFonts w:ascii="Arial" w:cs="Arial" w:eastAsia="Arial" w:hAnsi="Arial"/>
                <w:sz w:val="16"/>
                <w:szCs w:val="16"/>
                <w:color w:val="002E6D"/>
              </w:rPr>
              <w:t>2018</w:t>
            </w:r>
          </w:p>
        </w:tc>
        <w:tc>
          <w:tcPr>
            <w:tcW w:w="160" w:type="dxa"/>
            <w:vAlign w:val="bottom"/>
            <w:tcBorders>
              <w:left w:val="single" w:sz="8" w:color="E5E7EF"/>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540" w:type="dxa"/>
            <w:vAlign w:val="bottom"/>
            <w:tcBorders>
              <w:right w:val="single" w:sz="8" w:color="002E6D"/>
            </w:tcBorders>
            <w:gridSpan w:val="4"/>
          </w:tcPr>
          <w:p>
            <w:pPr>
              <w:ind w:left="240"/>
              <w:spacing w:after="0"/>
              <w:rPr>
                <w:sz w:val="20"/>
                <w:szCs w:val="20"/>
                <w:color w:val="auto"/>
              </w:rPr>
            </w:pPr>
            <w:r>
              <w:rPr>
                <w:rFonts w:ascii="Calibri" w:cs="Calibri" w:eastAsia="Calibri" w:hAnsi="Calibri"/>
                <w:sz w:val="17"/>
                <w:szCs w:val="17"/>
                <w:color w:val="002E6D"/>
              </w:rPr>
              <w:t xml:space="preserve">• </w:t>
            </w:r>
            <w:r>
              <w:rPr>
                <w:rFonts w:ascii="Calibri" w:cs="Calibri" w:eastAsia="Calibri" w:hAnsi="Calibri"/>
                <w:sz w:val="17"/>
                <w:szCs w:val="17"/>
                <w:color w:val="000000"/>
              </w:rPr>
              <w:t>Experience with large organizaton management and assessing human resources, equipment, cybersecurity, and</w:t>
            </w:r>
          </w:p>
        </w:tc>
        <w:tc>
          <w:tcPr>
            <w:tcW w:w="0" w:type="dxa"/>
            <w:vAlign w:val="bottom"/>
          </w:tcPr>
          <w:p>
            <w:pPr>
              <w:spacing w:after="0"/>
              <w:rPr>
                <w:sz w:val="1"/>
                <w:szCs w:val="1"/>
                <w:color w:val="auto"/>
              </w:rPr>
            </w:pPr>
          </w:p>
        </w:tc>
      </w:tr>
      <w:tr>
        <w:trPr>
          <w:trHeight w:val="122"/>
        </w:trPr>
        <w:tc>
          <w:tcPr>
            <w:tcW w:w="120" w:type="dxa"/>
            <w:vAlign w:val="bottom"/>
            <w:tcBorders>
              <w:left w:val="single" w:sz="8" w:color="002E6D"/>
            </w:tcBorders>
          </w:tcPr>
          <w:p>
            <w:pPr>
              <w:spacing w:after="0"/>
              <w:rPr>
                <w:sz w:val="10"/>
                <w:szCs w:val="10"/>
                <w:color w:val="auto"/>
              </w:rPr>
            </w:pPr>
          </w:p>
        </w:tc>
        <w:tc>
          <w:tcPr>
            <w:tcW w:w="100" w:type="dxa"/>
            <w:vAlign w:val="bottom"/>
            <w:shd w:val="clear" w:color="auto" w:fill="E5E7EF"/>
          </w:tcPr>
          <w:p>
            <w:pPr>
              <w:spacing w:after="0"/>
              <w:rPr>
                <w:sz w:val="10"/>
                <w:szCs w:val="10"/>
                <w:color w:val="auto"/>
              </w:rPr>
            </w:pPr>
          </w:p>
        </w:tc>
        <w:tc>
          <w:tcPr>
            <w:tcW w:w="1040" w:type="dxa"/>
            <w:vAlign w:val="bottom"/>
            <w:gridSpan w:val="2"/>
            <w:vMerge w:val="continue"/>
            <w:shd w:val="clear" w:color="auto" w:fill="E5E7EF"/>
          </w:tcPr>
          <w:p>
            <w:pPr>
              <w:spacing w:after="0"/>
              <w:rPr>
                <w:sz w:val="10"/>
                <w:szCs w:val="10"/>
                <w:color w:val="auto"/>
              </w:rPr>
            </w:pPr>
          </w:p>
        </w:tc>
        <w:tc>
          <w:tcPr>
            <w:tcW w:w="1260" w:type="dxa"/>
            <w:vAlign w:val="bottom"/>
            <w:gridSpan w:val="2"/>
            <w:vMerge w:val="continue"/>
            <w:shd w:val="clear" w:color="auto" w:fill="E5E7EF"/>
          </w:tcPr>
          <w:p>
            <w:pPr>
              <w:spacing w:after="0"/>
              <w:rPr>
                <w:sz w:val="10"/>
                <w:szCs w:val="10"/>
                <w:color w:val="auto"/>
              </w:rPr>
            </w:pPr>
          </w:p>
        </w:tc>
        <w:tc>
          <w:tcPr>
            <w:tcW w:w="160" w:type="dxa"/>
            <w:vAlign w:val="bottom"/>
            <w:tcBorders>
              <w:left w:val="single" w:sz="8" w:color="E5E7EF"/>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5960" w:type="dxa"/>
            <w:vAlign w:val="bottom"/>
            <w:gridSpan w:val="2"/>
            <w:vMerge w:val="restart"/>
          </w:tcPr>
          <w:p>
            <w:pPr>
              <w:ind w:left="400"/>
              <w:spacing w:after="0" w:line="205" w:lineRule="exact"/>
              <w:rPr>
                <w:sz w:val="20"/>
                <w:szCs w:val="20"/>
                <w:color w:val="auto"/>
              </w:rPr>
            </w:pPr>
            <w:r>
              <w:rPr>
                <w:rFonts w:ascii="Calibri" w:cs="Calibri" w:eastAsia="Calibri" w:hAnsi="Calibri"/>
                <w:sz w:val="17"/>
                <w:szCs w:val="17"/>
                <w:color w:val="auto"/>
              </w:rPr>
              <w:t>fnancial requirements, as well as reputatonal risks</w:t>
            </w:r>
          </w:p>
        </w:tc>
        <w:tc>
          <w:tcPr>
            <w:tcW w:w="2340" w:type="dxa"/>
            <w:vAlign w:val="bottom"/>
          </w:tcPr>
          <w:p>
            <w:pPr>
              <w:spacing w:after="0"/>
              <w:rPr>
                <w:sz w:val="10"/>
                <w:szCs w:val="10"/>
                <w:color w:val="auto"/>
              </w:rPr>
            </w:pPr>
          </w:p>
        </w:tc>
        <w:tc>
          <w:tcPr>
            <w:tcW w:w="240" w:type="dxa"/>
            <w:vAlign w:val="bottom"/>
            <w:tcBorders>
              <w:right w:val="single" w:sz="8" w:color="002E6D"/>
            </w:tcBorders>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20" w:type="dxa"/>
            <w:vAlign w:val="bottom"/>
            <w:tcBorders>
              <w:left w:val="single" w:sz="8" w:color="002E6D"/>
            </w:tcBorders>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1520" w:type="dxa"/>
            <w:vAlign w:val="bottom"/>
            <w:gridSpan w:val="3"/>
            <w:vMerge w:val="restart"/>
            <w:shd w:val="clear" w:color="auto" w:fill="E5E7EF"/>
          </w:tcPr>
          <w:p>
            <w:pPr>
              <w:spacing w:after="0"/>
              <w:rPr>
                <w:sz w:val="20"/>
                <w:szCs w:val="20"/>
                <w:color w:val="auto"/>
              </w:rPr>
            </w:pPr>
            <w:r>
              <w:rPr>
                <w:rFonts w:ascii="Arial" w:cs="Arial" w:eastAsia="Arial" w:hAnsi="Arial"/>
                <w:sz w:val="16"/>
                <w:szCs w:val="16"/>
                <w:color w:val="003478"/>
                <w:shd w:val="clear" w:color="auto" w:fill="E5E7EF"/>
              </w:rPr>
              <w:t>Independent Director</w:t>
            </w:r>
          </w:p>
        </w:tc>
        <w:tc>
          <w:tcPr>
            <w:tcW w:w="780" w:type="dxa"/>
            <w:vAlign w:val="bottom"/>
            <w:shd w:val="clear" w:color="auto" w:fill="E5E7EF"/>
          </w:tcPr>
          <w:p>
            <w:pPr>
              <w:spacing w:after="0"/>
              <w:rPr>
                <w:sz w:val="7"/>
                <w:szCs w:val="7"/>
                <w:color w:val="auto"/>
              </w:rPr>
            </w:pPr>
          </w:p>
        </w:tc>
        <w:tc>
          <w:tcPr>
            <w:tcW w:w="160" w:type="dxa"/>
            <w:vAlign w:val="bottom"/>
            <w:tcBorders>
              <w:left w:val="single" w:sz="8" w:color="E5E7EF"/>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5960" w:type="dxa"/>
            <w:vAlign w:val="bottom"/>
            <w:gridSpan w:val="2"/>
            <w:vMerge w:val="continue"/>
          </w:tcPr>
          <w:p>
            <w:pPr>
              <w:spacing w:after="0"/>
              <w:rPr>
                <w:sz w:val="7"/>
                <w:szCs w:val="7"/>
                <w:color w:val="auto"/>
              </w:rPr>
            </w:pPr>
          </w:p>
        </w:tc>
        <w:tc>
          <w:tcPr>
            <w:tcW w:w="2340" w:type="dxa"/>
            <w:vAlign w:val="bottom"/>
          </w:tcPr>
          <w:p>
            <w:pPr>
              <w:spacing w:after="0"/>
              <w:rPr>
                <w:sz w:val="7"/>
                <w:szCs w:val="7"/>
                <w:color w:val="auto"/>
              </w:rPr>
            </w:pPr>
          </w:p>
        </w:tc>
        <w:tc>
          <w:tcPr>
            <w:tcW w:w="240" w:type="dxa"/>
            <w:vAlign w:val="bottom"/>
            <w:tcBorders>
              <w:right w:val="single" w:sz="8" w:color="002E6D"/>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0" w:type="dxa"/>
            <w:vAlign w:val="bottom"/>
            <w:tcBorders>
              <w:left w:val="single" w:sz="8" w:color="002E6D"/>
            </w:tcBorders>
          </w:tcPr>
          <w:p>
            <w:pPr>
              <w:spacing w:after="0"/>
              <w:rPr>
                <w:sz w:val="10"/>
                <w:szCs w:val="10"/>
                <w:color w:val="auto"/>
              </w:rPr>
            </w:pPr>
          </w:p>
        </w:tc>
        <w:tc>
          <w:tcPr>
            <w:tcW w:w="100" w:type="dxa"/>
            <w:vAlign w:val="bottom"/>
            <w:shd w:val="clear" w:color="auto" w:fill="E5E7EF"/>
          </w:tcPr>
          <w:p>
            <w:pPr>
              <w:spacing w:after="0"/>
              <w:rPr>
                <w:sz w:val="10"/>
                <w:szCs w:val="10"/>
                <w:color w:val="auto"/>
              </w:rPr>
            </w:pPr>
          </w:p>
        </w:tc>
        <w:tc>
          <w:tcPr>
            <w:tcW w:w="1520" w:type="dxa"/>
            <w:vAlign w:val="bottom"/>
            <w:gridSpan w:val="3"/>
            <w:vMerge w:val="continue"/>
            <w:shd w:val="clear" w:color="auto" w:fill="E5E7EF"/>
          </w:tcPr>
          <w:p>
            <w:pPr>
              <w:spacing w:after="0"/>
              <w:rPr>
                <w:sz w:val="10"/>
                <w:szCs w:val="10"/>
                <w:color w:val="auto"/>
              </w:rPr>
            </w:pPr>
          </w:p>
        </w:tc>
        <w:tc>
          <w:tcPr>
            <w:tcW w:w="780" w:type="dxa"/>
            <w:vAlign w:val="bottom"/>
            <w:shd w:val="clear" w:color="auto" w:fill="E5E7EF"/>
          </w:tcPr>
          <w:p>
            <w:pPr>
              <w:spacing w:after="0"/>
              <w:rPr>
                <w:sz w:val="10"/>
                <w:szCs w:val="10"/>
                <w:color w:val="auto"/>
              </w:rPr>
            </w:pPr>
          </w:p>
        </w:tc>
        <w:tc>
          <w:tcPr>
            <w:tcW w:w="160" w:type="dxa"/>
            <w:vAlign w:val="bottom"/>
            <w:tcBorders>
              <w:left w:val="single" w:sz="8" w:color="E5E7EF"/>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40" w:type="dxa"/>
            <w:vAlign w:val="bottom"/>
            <w:tcBorders>
              <w:right w:val="single" w:sz="8" w:color="002E6D"/>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002E6D"/>
            </w:tcBorders>
          </w:tcPr>
          <w:p>
            <w:pPr>
              <w:spacing w:after="0"/>
              <w:rPr>
                <w:sz w:val="18"/>
                <w:szCs w:val="18"/>
                <w:color w:val="auto"/>
              </w:rPr>
            </w:pPr>
          </w:p>
        </w:tc>
        <w:tc>
          <w:tcPr>
            <w:tcW w:w="100" w:type="dxa"/>
            <w:vAlign w:val="bottom"/>
            <w:shd w:val="clear" w:color="auto" w:fill="E5E7EF"/>
          </w:tcPr>
          <w:p>
            <w:pPr>
              <w:spacing w:after="0"/>
              <w:rPr>
                <w:sz w:val="18"/>
                <w:szCs w:val="18"/>
                <w:color w:val="auto"/>
              </w:rPr>
            </w:pPr>
          </w:p>
        </w:tc>
        <w:tc>
          <w:tcPr>
            <w:tcW w:w="2300" w:type="dxa"/>
            <w:vAlign w:val="bottom"/>
            <w:gridSpan w:val="4"/>
            <w:vMerge w:val="restart"/>
            <w:shd w:val="clear" w:color="auto" w:fill="E5E7EF"/>
          </w:tcPr>
          <w:p>
            <w:pPr>
              <w:spacing w:after="0"/>
              <w:rPr>
                <w:sz w:val="20"/>
                <w:szCs w:val="20"/>
                <w:color w:val="auto"/>
              </w:rPr>
            </w:pPr>
            <w:r>
              <w:rPr>
                <w:rFonts w:ascii="Arial" w:cs="Arial" w:eastAsia="Arial" w:hAnsi="Arial"/>
                <w:sz w:val="16"/>
                <w:szCs w:val="16"/>
                <w:color w:val="003478"/>
              </w:rPr>
              <w:t>Committees</w:t>
            </w:r>
          </w:p>
        </w:tc>
        <w:tc>
          <w:tcPr>
            <w:tcW w:w="160" w:type="dxa"/>
            <w:vAlign w:val="bottom"/>
            <w:tcBorders>
              <w:left w:val="single" w:sz="8" w:color="E5E7EF"/>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020" w:type="dxa"/>
            <w:vAlign w:val="bottom"/>
          </w:tcPr>
          <w:p>
            <w:pPr>
              <w:ind w:left="680"/>
              <w:spacing w:after="0"/>
              <w:rPr>
                <w:sz w:val="20"/>
                <w:szCs w:val="20"/>
                <w:color w:val="auto"/>
              </w:rPr>
            </w:pPr>
            <w:r>
              <w:rPr>
                <w:rFonts w:ascii="Calibri" w:cs="Calibri" w:eastAsia="Calibri" w:hAnsi="Calibri"/>
                <w:sz w:val="14"/>
                <w:szCs w:val="14"/>
                <w:color w:val="auto"/>
              </w:rPr>
              <w:t>21st Century Security /Defense</w:t>
            </w:r>
          </w:p>
        </w:tc>
        <w:tc>
          <w:tcPr>
            <w:tcW w:w="2940" w:type="dxa"/>
            <w:vAlign w:val="bottom"/>
            <w:vMerge w:val="restart"/>
          </w:tcPr>
          <w:p>
            <w:pPr>
              <w:ind w:left="420"/>
              <w:spacing w:after="0"/>
              <w:rPr>
                <w:sz w:val="20"/>
                <w:szCs w:val="20"/>
                <w:color w:val="auto"/>
              </w:rPr>
            </w:pPr>
            <w:r>
              <w:rPr>
                <w:rFonts w:ascii="Calibri" w:cs="Calibri" w:eastAsia="Calibri" w:hAnsi="Calibri"/>
                <w:sz w:val="14"/>
                <w:szCs w:val="14"/>
                <w:color w:val="auto"/>
              </w:rPr>
              <w:t>Cybersecurity Expertse</w:t>
            </w:r>
          </w:p>
        </w:tc>
        <w:tc>
          <w:tcPr>
            <w:tcW w:w="2580" w:type="dxa"/>
            <w:vAlign w:val="bottom"/>
            <w:tcBorders>
              <w:right w:val="single" w:sz="8" w:color="002E6D"/>
            </w:tcBorders>
            <w:gridSpan w:val="2"/>
          </w:tcPr>
          <w:p>
            <w:pPr>
              <w:ind w:left="260"/>
              <w:spacing w:after="0"/>
              <w:rPr>
                <w:sz w:val="20"/>
                <w:szCs w:val="20"/>
                <w:color w:val="auto"/>
              </w:rPr>
            </w:pPr>
            <w:r>
              <w:rPr>
                <w:rFonts w:ascii="Calibri" w:cs="Calibri" w:eastAsia="Calibri" w:hAnsi="Calibri"/>
                <w:sz w:val="14"/>
                <w:szCs w:val="14"/>
                <w:color w:val="auto"/>
              </w:rPr>
              <w:t>Environment, Social and Governance</w:t>
            </w:r>
          </w:p>
        </w:tc>
        <w:tc>
          <w:tcPr>
            <w:tcW w:w="0" w:type="dxa"/>
            <w:vAlign w:val="bottom"/>
          </w:tcPr>
          <w:p>
            <w:pPr>
              <w:spacing w:after="0"/>
              <w:rPr>
                <w:sz w:val="1"/>
                <w:szCs w:val="1"/>
                <w:color w:val="auto"/>
              </w:rPr>
            </w:pPr>
          </w:p>
        </w:tc>
      </w:tr>
      <w:tr>
        <w:trPr>
          <w:trHeight w:val="100"/>
        </w:trPr>
        <w:tc>
          <w:tcPr>
            <w:tcW w:w="120" w:type="dxa"/>
            <w:vAlign w:val="bottom"/>
            <w:tcBorders>
              <w:left w:val="single" w:sz="8" w:color="002E6D"/>
            </w:tcBorders>
          </w:tcPr>
          <w:p>
            <w:pPr>
              <w:spacing w:after="0"/>
              <w:rPr>
                <w:sz w:val="8"/>
                <w:szCs w:val="8"/>
                <w:color w:val="auto"/>
              </w:rPr>
            </w:pPr>
          </w:p>
        </w:tc>
        <w:tc>
          <w:tcPr>
            <w:tcW w:w="100" w:type="dxa"/>
            <w:vAlign w:val="bottom"/>
            <w:shd w:val="clear" w:color="auto" w:fill="E5E7EF"/>
          </w:tcPr>
          <w:p>
            <w:pPr>
              <w:spacing w:after="0"/>
              <w:rPr>
                <w:sz w:val="8"/>
                <w:szCs w:val="8"/>
                <w:color w:val="auto"/>
              </w:rPr>
            </w:pPr>
          </w:p>
        </w:tc>
        <w:tc>
          <w:tcPr>
            <w:tcW w:w="2300" w:type="dxa"/>
            <w:vAlign w:val="bottom"/>
            <w:gridSpan w:val="4"/>
            <w:vMerge w:val="continue"/>
            <w:shd w:val="clear" w:color="auto" w:fill="E5E7EF"/>
          </w:tcPr>
          <w:p>
            <w:pPr>
              <w:spacing w:after="0"/>
              <w:rPr>
                <w:sz w:val="8"/>
                <w:szCs w:val="8"/>
                <w:color w:val="auto"/>
              </w:rPr>
            </w:pPr>
          </w:p>
        </w:tc>
        <w:tc>
          <w:tcPr>
            <w:tcW w:w="160" w:type="dxa"/>
            <w:vAlign w:val="bottom"/>
            <w:tcBorders>
              <w:left w:val="single" w:sz="8" w:color="E5E7EF"/>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3020" w:type="dxa"/>
            <w:vAlign w:val="bottom"/>
            <w:vMerge w:val="restart"/>
          </w:tcPr>
          <w:p>
            <w:pPr>
              <w:ind w:left="680"/>
              <w:spacing w:after="0"/>
              <w:rPr>
                <w:sz w:val="20"/>
                <w:szCs w:val="20"/>
                <w:color w:val="auto"/>
              </w:rPr>
            </w:pPr>
            <w:r>
              <w:rPr>
                <w:rFonts w:ascii="Calibri" w:cs="Calibri" w:eastAsia="Calibri" w:hAnsi="Calibri"/>
                <w:sz w:val="14"/>
                <w:szCs w:val="14"/>
                <w:color w:val="auto"/>
              </w:rPr>
              <w:t>Industry Transformaton</w:t>
            </w:r>
          </w:p>
        </w:tc>
        <w:tc>
          <w:tcPr>
            <w:tcW w:w="2940" w:type="dxa"/>
            <w:vAlign w:val="bottom"/>
            <w:vMerge w:val="continue"/>
          </w:tcPr>
          <w:p>
            <w:pPr>
              <w:spacing w:after="0"/>
              <w:rPr>
                <w:sz w:val="8"/>
                <w:szCs w:val="8"/>
                <w:color w:val="auto"/>
              </w:rPr>
            </w:pPr>
          </w:p>
        </w:tc>
        <w:tc>
          <w:tcPr>
            <w:tcW w:w="2580" w:type="dxa"/>
            <w:vAlign w:val="bottom"/>
            <w:tcBorders>
              <w:right w:val="single" w:sz="8" w:color="002E6D"/>
            </w:tcBorders>
            <w:gridSpan w:val="2"/>
            <w:vMerge w:val="restart"/>
          </w:tcPr>
          <w:p>
            <w:pPr>
              <w:ind w:left="260"/>
              <w:spacing w:after="0"/>
              <w:rPr>
                <w:sz w:val="20"/>
                <w:szCs w:val="20"/>
                <w:color w:val="auto"/>
              </w:rPr>
            </w:pPr>
            <w:r>
              <w:rPr>
                <w:rFonts w:ascii="Calibri" w:cs="Calibri" w:eastAsia="Calibri" w:hAnsi="Calibri"/>
                <w:sz w:val="14"/>
                <w:szCs w:val="14"/>
                <w:color w:val="auto"/>
              </w:rPr>
              <w:t>Expertse</w:t>
            </w:r>
          </w:p>
        </w:tc>
        <w:tc>
          <w:tcPr>
            <w:tcW w:w="0" w:type="dxa"/>
            <w:vAlign w:val="bottom"/>
          </w:tcPr>
          <w:p>
            <w:pPr>
              <w:spacing w:after="0"/>
              <w:rPr>
                <w:sz w:val="1"/>
                <w:szCs w:val="1"/>
                <w:color w:val="auto"/>
              </w:rPr>
            </w:pPr>
          </w:p>
        </w:tc>
      </w:tr>
      <w:tr>
        <w:trPr>
          <w:trHeight w:val="75"/>
        </w:trPr>
        <w:tc>
          <w:tcPr>
            <w:tcW w:w="120" w:type="dxa"/>
            <w:vAlign w:val="bottom"/>
            <w:tcBorders>
              <w:left w:val="single" w:sz="8" w:color="002E6D"/>
            </w:tcBorders>
          </w:tcPr>
          <w:p>
            <w:pPr>
              <w:spacing w:after="0"/>
              <w:rPr>
                <w:sz w:val="6"/>
                <w:szCs w:val="6"/>
                <w:color w:val="auto"/>
              </w:rPr>
            </w:pPr>
          </w:p>
        </w:tc>
        <w:tc>
          <w:tcPr>
            <w:tcW w:w="100" w:type="dxa"/>
            <w:vAlign w:val="bottom"/>
            <w:shd w:val="clear" w:color="auto" w:fill="E5E7EF"/>
          </w:tcPr>
          <w:p>
            <w:pPr>
              <w:spacing w:after="0"/>
              <w:rPr>
                <w:sz w:val="6"/>
                <w:szCs w:val="6"/>
                <w:color w:val="auto"/>
              </w:rPr>
            </w:pPr>
          </w:p>
        </w:tc>
        <w:tc>
          <w:tcPr>
            <w:tcW w:w="2300" w:type="dxa"/>
            <w:vAlign w:val="bottom"/>
            <w:gridSpan w:val="4"/>
            <w:vMerge w:val="restart"/>
            <w:shd w:val="clear" w:color="auto" w:fill="E5E7EF"/>
          </w:tcPr>
          <w:p>
            <w:pPr>
              <w:spacing w:after="0"/>
              <w:rPr>
                <w:sz w:val="20"/>
                <w:szCs w:val="20"/>
                <w:color w:val="auto"/>
              </w:rPr>
            </w:pPr>
            <w:r>
              <w:rPr>
                <w:rFonts w:ascii="Arial" w:cs="Arial" w:eastAsia="Arial" w:hAnsi="Arial"/>
                <w:sz w:val="16"/>
                <w:szCs w:val="16"/>
                <w:color w:val="003478"/>
              </w:rPr>
              <w:t>Classified Business and</w:t>
            </w:r>
          </w:p>
        </w:tc>
        <w:tc>
          <w:tcPr>
            <w:tcW w:w="160" w:type="dxa"/>
            <w:vAlign w:val="bottom"/>
            <w:tcBorders>
              <w:left w:val="single" w:sz="8" w:color="E5E7EF"/>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3020" w:type="dxa"/>
            <w:vAlign w:val="bottom"/>
            <w:vMerge w:val="continue"/>
          </w:tcPr>
          <w:p>
            <w:pPr>
              <w:spacing w:after="0"/>
              <w:rPr>
                <w:sz w:val="6"/>
                <w:szCs w:val="6"/>
                <w:color w:val="auto"/>
              </w:rPr>
            </w:pPr>
          </w:p>
        </w:tc>
        <w:tc>
          <w:tcPr>
            <w:tcW w:w="2940" w:type="dxa"/>
            <w:vAlign w:val="bottom"/>
          </w:tcPr>
          <w:p>
            <w:pPr>
              <w:spacing w:after="0"/>
              <w:rPr>
                <w:sz w:val="6"/>
                <w:szCs w:val="6"/>
                <w:color w:val="auto"/>
              </w:rPr>
            </w:pPr>
          </w:p>
        </w:tc>
        <w:tc>
          <w:tcPr>
            <w:tcW w:w="2580" w:type="dxa"/>
            <w:vAlign w:val="bottom"/>
            <w:tcBorders>
              <w:right w:val="single" w:sz="8" w:color="002E6D"/>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20" w:type="dxa"/>
            <w:vAlign w:val="bottom"/>
            <w:tcBorders>
              <w:left w:val="single" w:sz="8" w:color="002E6D"/>
            </w:tcBorders>
          </w:tcPr>
          <w:p>
            <w:pPr>
              <w:spacing w:after="0"/>
              <w:rPr>
                <w:sz w:val="11"/>
                <w:szCs w:val="11"/>
                <w:color w:val="auto"/>
              </w:rPr>
            </w:pPr>
          </w:p>
        </w:tc>
        <w:tc>
          <w:tcPr>
            <w:tcW w:w="100" w:type="dxa"/>
            <w:vAlign w:val="bottom"/>
            <w:shd w:val="clear" w:color="auto" w:fill="E5E7EF"/>
          </w:tcPr>
          <w:p>
            <w:pPr>
              <w:spacing w:after="0"/>
              <w:rPr>
                <w:sz w:val="11"/>
                <w:szCs w:val="11"/>
                <w:color w:val="auto"/>
              </w:rPr>
            </w:pPr>
          </w:p>
        </w:tc>
        <w:tc>
          <w:tcPr>
            <w:tcW w:w="2300" w:type="dxa"/>
            <w:vAlign w:val="bottom"/>
            <w:gridSpan w:val="4"/>
            <w:vMerge w:val="continue"/>
            <w:shd w:val="clear" w:color="auto" w:fill="E5E7EF"/>
          </w:tcPr>
          <w:p>
            <w:pPr>
              <w:spacing w:after="0"/>
              <w:rPr>
                <w:sz w:val="11"/>
                <w:szCs w:val="11"/>
                <w:color w:val="auto"/>
              </w:rPr>
            </w:pPr>
          </w:p>
        </w:tc>
        <w:tc>
          <w:tcPr>
            <w:tcW w:w="160" w:type="dxa"/>
            <w:vAlign w:val="bottom"/>
            <w:tcBorders>
              <w:left w:val="single" w:sz="8" w:color="E5E7EF"/>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30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40" w:type="dxa"/>
            <w:vAlign w:val="bottom"/>
            <w:tcBorders>
              <w:right w:val="single" w:sz="8" w:color="002E6D"/>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20" w:type="dxa"/>
            <w:vAlign w:val="bottom"/>
            <w:tcBorders>
              <w:left w:val="single" w:sz="8" w:color="002E6D"/>
            </w:tcBorders>
          </w:tcPr>
          <w:p>
            <w:pPr>
              <w:spacing w:after="0"/>
              <w:rPr>
                <w:sz w:val="17"/>
                <w:szCs w:val="17"/>
                <w:color w:val="auto"/>
              </w:rPr>
            </w:pPr>
          </w:p>
        </w:tc>
        <w:tc>
          <w:tcPr>
            <w:tcW w:w="100" w:type="dxa"/>
            <w:vAlign w:val="bottom"/>
            <w:shd w:val="clear" w:color="auto" w:fill="E5E7EF"/>
          </w:tcPr>
          <w:p>
            <w:pPr>
              <w:spacing w:after="0"/>
              <w:rPr>
                <w:sz w:val="17"/>
                <w:szCs w:val="17"/>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Security; Nominating and</w:t>
            </w:r>
          </w:p>
        </w:tc>
        <w:tc>
          <w:tcPr>
            <w:tcW w:w="160" w:type="dxa"/>
            <w:vAlign w:val="bottom"/>
            <w:tcBorders>
              <w:left w:val="single" w:sz="8" w:color="E5E7EF"/>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020" w:type="dxa"/>
            <w:vAlign w:val="bottom"/>
          </w:tcPr>
          <w:p>
            <w:pPr>
              <w:ind w:left="680"/>
              <w:spacing w:after="0"/>
              <w:rPr>
                <w:sz w:val="20"/>
                <w:szCs w:val="20"/>
                <w:color w:val="auto"/>
              </w:rPr>
            </w:pPr>
            <w:r>
              <w:rPr>
                <w:rFonts w:ascii="Calibri" w:cs="Calibri" w:eastAsia="Calibri" w:hAnsi="Calibri"/>
                <w:sz w:val="14"/>
                <w:szCs w:val="14"/>
                <w:color w:val="auto"/>
              </w:rPr>
              <w:t>Internatonal Business Expansion</w:t>
            </w:r>
          </w:p>
        </w:tc>
        <w:tc>
          <w:tcPr>
            <w:tcW w:w="2940" w:type="dxa"/>
            <w:vAlign w:val="bottom"/>
          </w:tcPr>
          <w:p>
            <w:pPr>
              <w:ind w:left="420"/>
              <w:spacing w:after="0"/>
              <w:rPr>
                <w:sz w:val="20"/>
                <w:szCs w:val="20"/>
                <w:color w:val="auto"/>
              </w:rPr>
            </w:pPr>
            <w:r>
              <w:rPr>
                <w:rFonts w:ascii="Calibri" w:cs="Calibri" w:eastAsia="Calibri" w:hAnsi="Calibri"/>
                <w:sz w:val="14"/>
                <w:szCs w:val="14"/>
                <w:color w:val="auto"/>
              </w:rPr>
              <w:t>M&amp;A Expertse</w:t>
            </w:r>
          </w:p>
        </w:tc>
        <w:tc>
          <w:tcPr>
            <w:tcW w:w="2580" w:type="dxa"/>
            <w:vAlign w:val="bottom"/>
            <w:tcBorders>
              <w:right w:val="single" w:sz="8" w:color="002E6D"/>
            </w:tcBorders>
            <w:gridSpan w:val="2"/>
          </w:tcPr>
          <w:p>
            <w:pPr>
              <w:ind w:left="260"/>
              <w:spacing w:after="0"/>
              <w:rPr>
                <w:sz w:val="20"/>
                <w:szCs w:val="20"/>
                <w:color w:val="auto"/>
              </w:rPr>
            </w:pPr>
            <w:r>
              <w:rPr>
                <w:rFonts w:ascii="Calibri" w:cs="Calibri" w:eastAsia="Calibri" w:hAnsi="Calibri"/>
                <w:sz w:val="14"/>
                <w:szCs w:val="14"/>
                <w:color w:val="auto"/>
              </w:rPr>
              <w:t>Operatonal Executon and Efciency</w:t>
            </w:r>
          </w:p>
        </w:tc>
        <w:tc>
          <w:tcPr>
            <w:tcW w:w="0" w:type="dxa"/>
            <w:vAlign w:val="bottom"/>
          </w:tcPr>
          <w:p>
            <w:pPr>
              <w:spacing w:after="0"/>
              <w:rPr>
                <w:sz w:val="1"/>
                <w:szCs w:val="1"/>
                <w:color w:val="auto"/>
              </w:rPr>
            </w:pPr>
          </w:p>
        </w:tc>
      </w:tr>
      <w:tr>
        <w:trPr>
          <w:trHeight w:val="215"/>
        </w:trPr>
        <w:tc>
          <w:tcPr>
            <w:tcW w:w="120" w:type="dxa"/>
            <w:vAlign w:val="bottom"/>
            <w:tcBorders>
              <w:left w:val="single" w:sz="8" w:color="002E6D"/>
            </w:tcBorders>
          </w:tcPr>
          <w:p>
            <w:pPr>
              <w:spacing w:after="0"/>
              <w:rPr>
                <w:sz w:val="18"/>
                <w:szCs w:val="18"/>
                <w:color w:val="auto"/>
              </w:rPr>
            </w:pPr>
          </w:p>
        </w:tc>
        <w:tc>
          <w:tcPr>
            <w:tcW w:w="100" w:type="dxa"/>
            <w:vAlign w:val="bottom"/>
            <w:shd w:val="clear" w:color="auto" w:fill="E5E7EF"/>
          </w:tcPr>
          <w:p>
            <w:pPr>
              <w:spacing w:after="0"/>
              <w:rPr>
                <w:sz w:val="18"/>
                <w:szCs w:val="18"/>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Corporate Governance</w:t>
            </w:r>
          </w:p>
        </w:tc>
        <w:tc>
          <w:tcPr>
            <w:tcW w:w="160" w:type="dxa"/>
            <w:vAlign w:val="bottom"/>
            <w:tcBorders>
              <w:left w:val="single" w:sz="8" w:color="E5E7EF"/>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020" w:type="dxa"/>
            <w:vAlign w:val="bottom"/>
            <w:vMerge w:val="restart"/>
          </w:tcPr>
          <w:p>
            <w:pPr>
              <w:ind w:left="680"/>
              <w:spacing w:after="0"/>
              <w:rPr>
                <w:sz w:val="20"/>
                <w:szCs w:val="20"/>
                <w:color w:val="auto"/>
              </w:rPr>
            </w:pPr>
            <w:r>
              <w:rPr>
                <w:rFonts w:ascii="Calibri" w:cs="Calibri" w:eastAsia="Calibri" w:hAnsi="Calibri"/>
                <w:sz w:val="14"/>
                <w:szCs w:val="14"/>
                <w:color w:val="auto"/>
              </w:rPr>
              <w:t>Senior Military / Government</w:t>
            </w:r>
          </w:p>
        </w:tc>
        <w:tc>
          <w:tcPr>
            <w:tcW w:w="2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right w:val="single" w:sz="8" w:color="002E6D"/>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20" w:type="dxa"/>
            <w:vAlign w:val="bottom"/>
            <w:tcBorders>
              <w:left w:val="single" w:sz="8" w:color="002E6D"/>
            </w:tcBorders>
          </w:tcPr>
          <w:p>
            <w:pPr>
              <w:spacing w:after="0"/>
              <w:rPr>
                <w:sz w:val="12"/>
                <w:szCs w:val="12"/>
                <w:color w:val="auto"/>
              </w:rPr>
            </w:pPr>
          </w:p>
        </w:tc>
        <w:tc>
          <w:tcPr>
            <w:tcW w:w="100" w:type="dxa"/>
            <w:vAlign w:val="bottom"/>
            <w:shd w:val="clear" w:color="auto" w:fill="E5E7EF"/>
          </w:tcPr>
          <w:p>
            <w:pPr>
              <w:spacing w:after="0"/>
              <w:rPr>
                <w:sz w:val="12"/>
                <w:szCs w:val="12"/>
                <w:color w:val="auto"/>
              </w:rPr>
            </w:pPr>
          </w:p>
        </w:tc>
        <w:tc>
          <w:tcPr>
            <w:tcW w:w="1520" w:type="dxa"/>
            <w:vAlign w:val="bottom"/>
            <w:gridSpan w:val="3"/>
            <w:vMerge w:val="restart"/>
            <w:shd w:val="clear" w:color="auto" w:fill="E5E7EF"/>
          </w:tcPr>
          <w:p>
            <w:pPr>
              <w:spacing w:after="0"/>
              <w:rPr>
                <w:sz w:val="20"/>
                <w:szCs w:val="20"/>
                <w:color w:val="auto"/>
              </w:rPr>
            </w:pPr>
            <w:r>
              <w:rPr>
                <w:rFonts w:ascii="Arial" w:cs="Arial" w:eastAsia="Arial" w:hAnsi="Arial"/>
                <w:sz w:val="16"/>
                <w:szCs w:val="16"/>
                <w:color w:val="003478"/>
                <w:shd w:val="clear" w:color="auto" w:fill="E5E7EF"/>
              </w:rPr>
              <w:t>Other Public Boards*</w:t>
            </w:r>
          </w:p>
        </w:tc>
        <w:tc>
          <w:tcPr>
            <w:tcW w:w="780" w:type="dxa"/>
            <w:vAlign w:val="bottom"/>
            <w:shd w:val="clear" w:color="auto" w:fill="E5E7EF"/>
          </w:tcPr>
          <w:p>
            <w:pPr>
              <w:spacing w:after="0"/>
              <w:rPr>
                <w:sz w:val="12"/>
                <w:szCs w:val="12"/>
                <w:color w:val="auto"/>
              </w:rPr>
            </w:pPr>
          </w:p>
        </w:tc>
        <w:tc>
          <w:tcPr>
            <w:tcW w:w="160" w:type="dxa"/>
            <w:vAlign w:val="bottom"/>
            <w:tcBorders>
              <w:left w:val="single" w:sz="8" w:color="E5E7EF"/>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3020" w:type="dxa"/>
            <w:vAlign w:val="bottom"/>
            <w:vMerge w:val="continue"/>
          </w:tcPr>
          <w:p>
            <w:pPr>
              <w:spacing w:after="0"/>
              <w:rPr>
                <w:sz w:val="12"/>
                <w:szCs w:val="12"/>
                <w:color w:val="auto"/>
              </w:rPr>
            </w:pPr>
          </w:p>
        </w:tc>
        <w:tc>
          <w:tcPr>
            <w:tcW w:w="2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40" w:type="dxa"/>
            <w:vAlign w:val="bottom"/>
            <w:tcBorders>
              <w:right w:val="single" w:sz="8" w:color="002E6D"/>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 w:type="dxa"/>
            <w:vAlign w:val="bottom"/>
            <w:tcBorders>
              <w:left w:val="single" w:sz="8" w:color="002E6D"/>
            </w:tcBorders>
          </w:tcPr>
          <w:p>
            <w:pPr>
              <w:spacing w:after="0"/>
              <w:rPr>
                <w:sz w:val="13"/>
                <w:szCs w:val="13"/>
                <w:color w:val="auto"/>
              </w:rPr>
            </w:pPr>
          </w:p>
        </w:tc>
        <w:tc>
          <w:tcPr>
            <w:tcW w:w="100" w:type="dxa"/>
            <w:vAlign w:val="bottom"/>
            <w:shd w:val="clear" w:color="auto" w:fill="E5E7EF"/>
          </w:tcPr>
          <w:p>
            <w:pPr>
              <w:spacing w:after="0"/>
              <w:rPr>
                <w:sz w:val="13"/>
                <w:szCs w:val="13"/>
                <w:color w:val="auto"/>
              </w:rPr>
            </w:pPr>
          </w:p>
        </w:tc>
        <w:tc>
          <w:tcPr>
            <w:tcW w:w="1520" w:type="dxa"/>
            <w:vAlign w:val="bottom"/>
            <w:gridSpan w:val="3"/>
            <w:vMerge w:val="continue"/>
            <w:shd w:val="clear" w:color="auto" w:fill="E5E7EF"/>
          </w:tcPr>
          <w:p>
            <w:pPr>
              <w:spacing w:after="0"/>
              <w:rPr>
                <w:sz w:val="13"/>
                <w:szCs w:val="13"/>
                <w:color w:val="auto"/>
              </w:rPr>
            </w:pPr>
          </w:p>
        </w:tc>
        <w:tc>
          <w:tcPr>
            <w:tcW w:w="780" w:type="dxa"/>
            <w:vAlign w:val="bottom"/>
            <w:shd w:val="clear" w:color="auto" w:fill="E5E7EF"/>
          </w:tcPr>
          <w:p>
            <w:pPr>
              <w:spacing w:after="0"/>
              <w:rPr>
                <w:sz w:val="13"/>
                <w:szCs w:val="13"/>
                <w:color w:val="auto"/>
              </w:rPr>
            </w:pPr>
          </w:p>
        </w:tc>
        <w:tc>
          <w:tcPr>
            <w:tcW w:w="160" w:type="dxa"/>
            <w:vAlign w:val="bottom"/>
            <w:tcBorders>
              <w:left w:val="single" w:sz="8" w:color="E5E7EF"/>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3020" w:type="dxa"/>
            <w:vAlign w:val="bottom"/>
          </w:tcPr>
          <w:p>
            <w:pPr>
              <w:ind w:left="680"/>
              <w:spacing w:after="0" w:line="155" w:lineRule="exact"/>
              <w:rPr>
                <w:sz w:val="20"/>
                <w:szCs w:val="20"/>
                <w:color w:val="auto"/>
              </w:rPr>
            </w:pPr>
            <w:r>
              <w:rPr>
                <w:rFonts w:ascii="Calibri" w:cs="Calibri" w:eastAsia="Calibri" w:hAnsi="Calibri"/>
                <w:sz w:val="14"/>
                <w:szCs w:val="14"/>
                <w:color w:val="auto"/>
              </w:rPr>
              <w:t>Experience</w:t>
            </w:r>
          </w:p>
        </w:tc>
        <w:tc>
          <w:tcPr>
            <w:tcW w:w="29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40" w:type="dxa"/>
            <w:vAlign w:val="bottom"/>
            <w:tcBorders>
              <w:right w:val="single" w:sz="8" w:color="002E6D"/>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0" w:type="dxa"/>
            <w:vAlign w:val="bottom"/>
            <w:tcBorders>
              <w:left w:val="single" w:sz="8" w:color="002E6D"/>
            </w:tcBorders>
          </w:tcPr>
          <w:p>
            <w:pPr>
              <w:spacing w:after="0"/>
              <w:rPr>
                <w:sz w:val="17"/>
                <w:szCs w:val="17"/>
                <w:color w:val="auto"/>
              </w:rPr>
            </w:pPr>
          </w:p>
        </w:tc>
        <w:tc>
          <w:tcPr>
            <w:tcW w:w="100" w:type="dxa"/>
            <w:vAlign w:val="bottom"/>
            <w:shd w:val="clear" w:color="auto" w:fill="E5E7EF"/>
          </w:tcPr>
          <w:p>
            <w:pPr>
              <w:spacing w:after="0"/>
              <w:rPr>
                <w:sz w:val="17"/>
                <w:szCs w:val="17"/>
                <w:color w:val="auto"/>
              </w:rPr>
            </w:pPr>
          </w:p>
        </w:tc>
        <w:tc>
          <w:tcPr>
            <w:tcW w:w="1520" w:type="dxa"/>
            <w:vAlign w:val="bottom"/>
            <w:gridSpan w:val="3"/>
            <w:shd w:val="clear" w:color="auto" w:fill="E5E7EF"/>
          </w:tcPr>
          <w:p>
            <w:pPr>
              <w:spacing w:after="0"/>
              <w:rPr>
                <w:sz w:val="20"/>
                <w:szCs w:val="20"/>
                <w:color w:val="auto"/>
              </w:rPr>
            </w:pPr>
            <w:r>
              <w:rPr>
                <w:rFonts w:ascii="Arial" w:cs="Arial" w:eastAsia="Arial" w:hAnsi="Arial"/>
                <w:sz w:val="16"/>
                <w:szCs w:val="16"/>
                <w:color w:val="003478"/>
              </w:rPr>
              <w:t>MetLife, Inc.</w:t>
            </w:r>
          </w:p>
        </w:tc>
        <w:tc>
          <w:tcPr>
            <w:tcW w:w="780" w:type="dxa"/>
            <w:vAlign w:val="bottom"/>
            <w:shd w:val="clear" w:color="auto" w:fill="E5E7EF"/>
          </w:tcPr>
          <w:p>
            <w:pPr>
              <w:spacing w:after="0"/>
              <w:rPr>
                <w:sz w:val="17"/>
                <w:szCs w:val="17"/>
                <w:color w:val="auto"/>
              </w:rPr>
            </w:pPr>
          </w:p>
        </w:tc>
        <w:tc>
          <w:tcPr>
            <w:tcW w:w="160" w:type="dxa"/>
            <w:vAlign w:val="bottom"/>
            <w:tcBorders>
              <w:left w:val="single" w:sz="8" w:color="E5E7EF"/>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3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Borders>
              <w:right w:val="single" w:sz="8" w:color="002E6D"/>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0" w:type="dxa"/>
            <w:vAlign w:val="bottom"/>
            <w:tcBorders>
              <w:left w:val="single" w:sz="8" w:color="002E6D"/>
            </w:tcBorders>
          </w:tcPr>
          <w:p>
            <w:pPr>
              <w:spacing w:after="0"/>
              <w:rPr>
                <w:sz w:val="18"/>
                <w:szCs w:val="18"/>
                <w:color w:val="auto"/>
              </w:rPr>
            </w:pPr>
          </w:p>
        </w:tc>
        <w:tc>
          <w:tcPr>
            <w:tcW w:w="100" w:type="dxa"/>
            <w:vAlign w:val="bottom"/>
            <w:shd w:val="clear" w:color="auto" w:fill="E5E7EF"/>
          </w:tcPr>
          <w:p>
            <w:pPr>
              <w:spacing w:after="0"/>
              <w:rPr>
                <w:sz w:val="18"/>
                <w:szCs w:val="18"/>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U.S. Steel</w:t>
            </w:r>
          </w:p>
        </w:tc>
        <w:tc>
          <w:tcPr>
            <w:tcW w:w="160" w:type="dxa"/>
            <w:vAlign w:val="bottom"/>
            <w:tcBorders>
              <w:left w:val="single" w:sz="8" w:color="E5E7EF"/>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right w:val="single" w:sz="8" w:color="002E6D"/>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20" w:type="dxa"/>
            <w:vAlign w:val="bottom"/>
            <w:tcBorders>
              <w:left w:val="single" w:sz="8" w:color="002E6D"/>
            </w:tcBorders>
          </w:tcPr>
          <w:p>
            <w:pPr>
              <w:spacing w:after="0"/>
              <w:rPr>
                <w:sz w:val="22"/>
                <w:szCs w:val="22"/>
                <w:color w:val="auto"/>
              </w:rPr>
            </w:pPr>
          </w:p>
        </w:tc>
        <w:tc>
          <w:tcPr>
            <w:tcW w:w="100" w:type="dxa"/>
            <w:vAlign w:val="bottom"/>
            <w:shd w:val="clear" w:color="auto" w:fill="E5E7EF"/>
          </w:tcPr>
          <w:p>
            <w:pPr>
              <w:spacing w:after="0"/>
              <w:rPr>
                <w:sz w:val="22"/>
                <w:szCs w:val="22"/>
                <w:color w:val="auto"/>
              </w:rPr>
            </w:pPr>
          </w:p>
        </w:tc>
        <w:tc>
          <w:tcPr>
            <w:tcW w:w="280" w:type="dxa"/>
            <w:vAlign w:val="bottom"/>
            <w:shd w:val="clear" w:color="auto" w:fill="E5E7EF"/>
          </w:tcPr>
          <w:p>
            <w:pPr>
              <w:spacing w:after="0"/>
              <w:rPr>
                <w:sz w:val="22"/>
                <w:szCs w:val="22"/>
                <w:color w:val="auto"/>
              </w:rPr>
            </w:pPr>
          </w:p>
        </w:tc>
        <w:tc>
          <w:tcPr>
            <w:tcW w:w="760" w:type="dxa"/>
            <w:vAlign w:val="bottom"/>
            <w:shd w:val="clear" w:color="auto" w:fill="E5E7EF"/>
          </w:tcPr>
          <w:p>
            <w:pPr>
              <w:spacing w:after="0"/>
              <w:rPr>
                <w:sz w:val="22"/>
                <w:szCs w:val="22"/>
                <w:color w:val="auto"/>
              </w:rPr>
            </w:pPr>
          </w:p>
        </w:tc>
        <w:tc>
          <w:tcPr>
            <w:tcW w:w="480" w:type="dxa"/>
            <w:vAlign w:val="bottom"/>
            <w:shd w:val="clear" w:color="auto" w:fill="E5E7EF"/>
          </w:tcPr>
          <w:p>
            <w:pPr>
              <w:spacing w:after="0"/>
              <w:rPr>
                <w:sz w:val="22"/>
                <w:szCs w:val="22"/>
                <w:color w:val="auto"/>
              </w:rPr>
            </w:pPr>
          </w:p>
        </w:tc>
        <w:tc>
          <w:tcPr>
            <w:tcW w:w="780" w:type="dxa"/>
            <w:vAlign w:val="bottom"/>
            <w:shd w:val="clear" w:color="auto" w:fill="E5E7EF"/>
          </w:tcPr>
          <w:p>
            <w:pPr>
              <w:spacing w:after="0"/>
              <w:rPr>
                <w:sz w:val="22"/>
                <w:szCs w:val="22"/>
                <w:color w:val="auto"/>
              </w:rPr>
            </w:pPr>
          </w:p>
        </w:tc>
        <w:tc>
          <w:tcPr>
            <w:tcW w:w="160" w:type="dxa"/>
            <w:vAlign w:val="bottom"/>
            <w:tcBorders>
              <w:left w:val="single" w:sz="8" w:color="E5E7EF"/>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30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40" w:type="dxa"/>
            <w:vAlign w:val="bottom"/>
            <w:tcBorders>
              <w:right w:val="single" w:sz="8" w:color="002E6D"/>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20" w:type="dxa"/>
            <w:vAlign w:val="bottom"/>
            <w:tcBorders>
              <w:left w:val="single" w:sz="8" w:color="002E6D"/>
              <w:bottom w:val="single" w:sz="8" w:color="002E6D"/>
            </w:tcBorders>
          </w:tcPr>
          <w:p>
            <w:pPr>
              <w:spacing w:after="0"/>
              <w:rPr>
                <w:sz w:val="12"/>
                <w:szCs w:val="12"/>
                <w:color w:val="auto"/>
              </w:rPr>
            </w:pPr>
          </w:p>
        </w:tc>
        <w:tc>
          <w:tcPr>
            <w:tcW w:w="100" w:type="dxa"/>
            <w:vAlign w:val="bottom"/>
            <w:tcBorders>
              <w:bottom w:val="single" w:sz="8" w:color="002E6D"/>
            </w:tcBorders>
          </w:tcPr>
          <w:p>
            <w:pPr>
              <w:spacing w:after="0"/>
              <w:rPr>
                <w:sz w:val="12"/>
                <w:szCs w:val="12"/>
                <w:color w:val="auto"/>
              </w:rPr>
            </w:pPr>
          </w:p>
        </w:tc>
        <w:tc>
          <w:tcPr>
            <w:tcW w:w="280" w:type="dxa"/>
            <w:vAlign w:val="bottom"/>
            <w:tcBorders>
              <w:bottom w:val="single" w:sz="8" w:color="002E6D"/>
            </w:tcBorders>
          </w:tcPr>
          <w:p>
            <w:pPr>
              <w:spacing w:after="0"/>
              <w:rPr>
                <w:sz w:val="12"/>
                <w:szCs w:val="12"/>
                <w:color w:val="auto"/>
              </w:rPr>
            </w:pPr>
          </w:p>
        </w:tc>
        <w:tc>
          <w:tcPr>
            <w:tcW w:w="760" w:type="dxa"/>
            <w:vAlign w:val="bottom"/>
            <w:tcBorders>
              <w:bottom w:val="single" w:sz="8" w:color="002E6D"/>
            </w:tcBorders>
          </w:tcPr>
          <w:p>
            <w:pPr>
              <w:spacing w:after="0"/>
              <w:rPr>
                <w:sz w:val="12"/>
                <w:szCs w:val="12"/>
                <w:color w:val="auto"/>
              </w:rPr>
            </w:pPr>
          </w:p>
        </w:tc>
        <w:tc>
          <w:tcPr>
            <w:tcW w:w="480" w:type="dxa"/>
            <w:vAlign w:val="bottom"/>
            <w:tcBorders>
              <w:bottom w:val="single" w:sz="8" w:color="002E6D"/>
            </w:tcBorders>
          </w:tcPr>
          <w:p>
            <w:pPr>
              <w:spacing w:after="0"/>
              <w:rPr>
                <w:sz w:val="12"/>
                <w:szCs w:val="12"/>
                <w:color w:val="auto"/>
              </w:rPr>
            </w:pPr>
          </w:p>
        </w:tc>
        <w:tc>
          <w:tcPr>
            <w:tcW w:w="780" w:type="dxa"/>
            <w:vAlign w:val="bottom"/>
            <w:tcBorders>
              <w:bottom w:val="single" w:sz="8" w:color="002E6D"/>
            </w:tcBorders>
          </w:tcPr>
          <w:p>
            <w:pPr>
              <w:spacing w:after="0"/>
              <w:rPr>
                <w:sz w:val="12"/>
                <w:szCs w:val="12"/>
                <w:color w:val="auto"/>
              </w:rPr>
            </w:pPr>
          </w:p>
        </w:tc>
        <w:tc>
          <w:tcPr>
            <w:tcW w:w="160" w:type="dxa"/>
            <w:vAlign w:val="bottom"/>
            <w:tcBorders>
              <w:bottom w:val="single" w:sz="8" w:color="002E6D"/>
            </w:tcBorders>
          </w:tcPr>
          <w:p>
            <w:pPr>
              <w:spacing w:after="0"/>
              <w:rPr>
                <w:sz w:val="12"/>
                <w:szCs w:val="12"/>
                <w:color w:val="auto"/>
              </w:rPr>
            </w:pPr>
          </w:p>
        </w:tc>
        <w:tc>
          <w:tcPr>
            <w:tcW w:w="40" w:type="dxa"/>
            <w:vAlign w:val="bottom"/>
            <w:tcBorders>
              <w:bottom w:val="single" w:sz="8" w:color="002E6D"/>
            </w:tcBorders>
          </w:tcPr>
          <w:p>
            <w:pPr>
              <w:spacing w:after="0"/>
              <w:rPr>
                <w:sz w:val="12"/>
                <w:szCs w:val="12"/>
                <w:color w:val="auto"/>
              </w:rPr>
            </w:pPr>
          </w:p>
        </w:tc>
        <w:tc>
          <w:tcPr>
            <w:tcW w:w="3020" w:type="dxa"/>
            <w:vAlign w:val="bottom"/>
            <w:tcBorders>
              <w:bottom w:val="single" w:sz="8" w:color="002E6D"/>
            </w:tcBorders>
          </w:tcPr>
          <w:p>
            <w:pPr>
              <w:spacing w:after="0"/>
              <w:rPr>
                <w:sz w:val="12"/>
                <w:szCs w:val="12"/>
                <w:color w:val="auto"/>
              </w:rPr>
            </w:pPr>
          </w:p>
        </w:tc>
        <w:tc>
          <w:tcPr>
            <w:tcW w:w="2940" w:type="dxa"/>
            <w:vAlign w:val="bottom"/>
            <w:tcBorders>
              <w:bottom w:val="single" w:sz="8" w:color="002E6D"/>
            </w:tcBorders>
          </w:tcPr>
          <w:p>
            <w:pPr>
              <w:spacing w:after="0"/>
              <w:rPr>
                <w:sz w:val="12"/>
                <w:szCs w:val="12"/>
                <w:color w:val="auto"/>
              </w:rPr>
            </w:pPr>
          </w:p>
        </w:tc>
        <w:tc>
          <w:tcPr>
            <w:tcW w:w="2340" w:type="dxa"/>
            <w:vAlign w:val="bottom"/>
            <w:tcBorders>
              <w:bottom w:val="single" w:sz="8" w:color="002E6D"/>
            </w:tcBorders>
          </w:tcPr>
          <w:p>
            <w:pPr>
              <w:spacing w:after="0"/>
              <w:rPr>
                <w:sz w:val="12"/>
                <w:szCs w:val="12"/>
                <w:color w:val="auto"/>
              </w:rPr>
            </w:pPr>
          </w:p>
        </w:tc>
        <w:tc>
          <w:tcPr>
            <w:tcW w:w="240" w:type="dxa"/>
            <w:vAlign w:val="bottom"/>
            <w:tcBorders>
              <w:bottom w:val="single" w:sz="8" w:color="002E6D"/>
              <w:right w:val="single" w:sz="8" w:color="002E6D"/>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-7148830</wp:posOffset>
            </wp:positionV>
            <wp:extent cx="1276985" cy="127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6985" cy="127698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-4937125</wp:posOffset>
            </wp:positionV>
            <wp:extent cx="171450" cy="1117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11176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-4971415</wp:posOffset>
            </wp:positionV>
            <wp:extent cx="17145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-4971415</wp:posOffset>
            </wp:positionV>
            <wp:extent cx="17145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-4697095</wp:posOffset>
            </wp:positionV>
            <wp:extent cx="17145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-4688840</wp:posOffset>
            </wp:positionV>
            <wp:extent cx="17145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-4422775</wp:posOffset>
            </wp:positionV>
            <wp:extent cx="17145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-4439920</wp:posOffset>
            </wp:positionV>
            <wp:extent cx="171450"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20574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-3428365</wp:posOffset>
            </wp:positionV>
            <wp:extent cx="1276985" cy="127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6985" cy="127698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-1276985</wp:posOffset>
            </wp:positionV>
            <wp:extent cx="17145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-1276985</wp:posOffset>
            </wp:positionV>
            <wp:extent cx="17145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-1276985</wp:posOffset>
            </wp:positionV>
            <wp:extent cx="17145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-993775</wp:posOffset>
            </wp:positionV>
            <wp:extent cx="17145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-1002665</wp:posOffset>
            </wp:positionV>
            <wp:extent cx="17145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-728345</wp:posOffset>
            </wp:positionV>
            <wp:extent cx="17145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54" w:lineRule="exact"/>
        <w:rPr>
          <w:sz w:val="20"/>
          <w:szCs w:val="20"/>
          <w:color w:val="auto"/>
        </w:rPr>
      </w:pPr>
    </w:p>
    <w:p>
      <w:pPr>
        <w:spacing w:after="0"/>
        <w:tabs>
          <w:tab w:leader="none" w:pos="180" w:val="left"/>
        </w:tabs>
        <w:rPr>
          <w:sz w:val="20"/>
          <w:szCs w:val="20"/>
          <w:color w:val="auto"/>
        </w:rPr>
      </w:pPr>
      <w:r>
        <w:rPr>
          <w:rFonts w:ascii="Calibri" w:cs="Calibri" w:eastAsia="Calibri" w:hAnsi="Calibri"/>
          <w:sz w:val="14"/>
          <w:szCs w:val="14"/>
          <w:color w:val="auto"/>
        </w:rPr>
        <w:t>*</w:t>
        <w:tab/>
        <w:t>Other public board commitees are listed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312420</wp:posOffset>
            </wp:positionV>
            <wp:extent cx="1071880" cy="180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sectPr>
      </w:pPr>
    </w:p>
    <w:bookmarkStart w:id="20" w:name="page21"/>
    <w:bookmarkEnd w:id="20"/>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6986270" cy="3549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8627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900"/>
        <w:spacing w:after="0"/>
        <w:rPr>
          <w:sz w:val="20"/>
          <w:szCs w:val="20"/>
          <w:color w:val="auto"/>
        </w:rPr>
      </w:pPr>
      <w:r>
        <w:rPr>
          <w:rFonts w:ascii="Arial" w:cs="Arial" w:eastAsia="Arial" w:hAnsi="Arial"/>
          <w:sz w:val="16"/>
          <w:szCs w:val="16"/>
          <w:color w:val="003478"/>
        </w:rPr>
        <w:t>Biography</w:t>
      </w:r>
    </w:p>
    <w:p>
      <w:pPr>
        <w:spacing w:after="0" w:line="31" w:lineRule="exact"/>
        <w:rPr>
          <w:sz w:val="20"/>
          <w:szCs w:val="20"/>
          <w:color w:val="auto"/>
        </w:rPr>
      </w:pPr>
    </w:p>
    <w:p>
      <w:pPr>
        <w:ind w:left="2900" w:right="460"/>
        <w:spacing w:after="0" w:line="230" w:lineRule="auto"/>
        <w:rPr>
          <w:sz w:val="20"/>
          <w:szCs w:val="20"/>
          <w:color w:val="auto"/>
        </w:rPr>
      </w:pPr>
      <w:r>
        <w:rPr>
          <w:rFonts w:ascii="Calibri" w:cs="Calibri" w:eastAsia="Calibri" w:hAnsi="Calibri"/>
          <w:sz w:val="17"/>
          <w:szCs w:val="17"/>
          <w:color w:val="auto"/>
        </w:rPr>
        <w:t>Retred in December 2018 as Executve Chairman of Sempra Energy. Ms. Reed-Klages served as Chairman, President and Chief Executve Ofcer of Sempra Energy from March 2017 to May 2018; Chairman and Chief Executve Ofcer of Sempra Energy from December 2012 to March 2017; and Chief Executve Ofcer of Sempra</w:t>
      </w:r>
    </w:p>
    <w:p>
      <w:pPr>
        <w:spacing w:after="0" w:line="13" w:lineRule="exact"/>
        <w:rPr>
          <w:sz w:val="20"/>
          <w:szCs w:val="20"/>
          <w:color w:val="auto"/>
        </w:rPr>
      </w:pPr>
    </w:p>
    <w:p>
      <w:pPr>
        <w:ind w:left="2900" w:right="320"/>
        <w:spacing w:after="0" w:line="234" w:lineRule="auto"/>
        <w:rPr>
          <w:sz w:val="20"/>
          <w:szCs w:val="20"/>
          <w:color w:val="auto"/>
        </w:rPr>
      </w:pPr>
      <w:r>
        <w:rPr>
          <w:rFonts w:ascii="Calibri" w:cs="Calibri" w:eastAsia="Calibri" w:hAnsi="Calibri"/>
          <w:sz w:val="17"/>
          <w:szCs w:val="17"/>
          <w:color w:val="auto"/>
        </w:rPr>
        <w:t>Energy from June 2011 to December 2012. Previously, Ms. Reed-Klages served as an Executve Vice President of Sempra Energy and as President and Chief Executve Ofcer of SDG&amp;E and SoCalGas, Sempra Energy’s regulated California utlites. Ms. Reed-Klages was also previously President, Chief Operatng Ofcer and CFO of SDG&amp;E and SoCalGas. She previously served on the boards of directors of Halliburton Company from January 2001 to September 2018 and Oncor Electric Delivery Company LLC during 2018.</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0" w:type="dxa"/>
            <w:vAlign w:val="bottom"/>
            <w:gridSpan w:val="2"/>
          </w:tcPr>
          <w:p>
            <w:pPr>
              <w:ind w:left="380"/>
              <w:spacing w:after="0"/>
              <w:rPr>
                <w:sz w:val="20"/>
                <w:szCs w:val="20"/>
                <w:color w:val="auto"/>
              </w:rPr>
            </w:pPr>
            <w:r>
              <w:rPr>
                <w:rFonts w:ascii="Arial" w:cs="Arial" w:eastAsia="Arial" w:hAnsi="Arial"/>
                <w:sz w:val="16"/>
                <w:szCs w:val="16"/>
                <w:color w:val="002E6D"/>
              </w:rPr>
              <w:t>Experience, Strategic Skills and Core Competencies</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360" w:type="dxa"/>
            <w:vAlign w:val="bottom"/>
            <w:gridSpan w:val="3"/>
            <w:vMerge w:val="restart"/>
          </w:tcPr>
          <w:p>
            <w:pPr>
              <w:ind w:left="380"/>
              <w:spacing w:after="0" w:line="203" w:lineRule="exact"/>
              <w:rPr>
                <w:sz w:val="20"/>
                <w:szCs w:val="20"/>
                <w:color w:val="auto"/>
              </w:rPr>
            </w:pPr>
            <w:r>
              <w:rPr>
                <w:rFonts w:ascii="Calibri" w:cs="Calibri" w:eastAsia="Calibri" w:hAnsi="Calibri"/>
                <w:sz w:val="17"/>
                <w:szCs w:val="17"/>
                <w:color w:val="002E6D"/>
              </w:rPr>
              <w:t xml:space="preserve">•  </w:t>
            </w:r>
            <w:r>
              <w:rPr>
                <w:rFonts w:ascii="Calibri" w:cs="Calibri" w:eastAsia="Calibri" w:hAnsi="Calibri"/>
                <w:sz w:val="17"/>
                <w:szCs w:val="17"/>
                <w:color w:val="000000"/>
              </w:rPr>
              <w:t>Experience with the demands and challenges associated with managing global organizatons from her</w:t>
            </w:r>
          </w:p>
        </w:tc>
        <w:tc>
          <w:tcPr>
            <w:tcW w:w="0" w:type="dxa"/>
            <w:vAlign w:val="bottom"/>
          </w:tcPr>
          <w:p>
            <w:pPr>
              <w:spacing w:after="0"/>
              <w:rPr>
                <w:sz w:val="1"/>
                <w:szCs w:val="1"/>
                <w:color w:val="auto"/>
              </w:rPr>
            </w:pPr>
          </w:p>
        </w:tc>
      </w:tr>
      <w:tr>
        <w:trPr>
          <w:trHeight w:val="135"/>
        </w:trPr>
        <w:tc>
          <w:tcPr>
            <w:tcW w:w="100" w:type="dxa"/>
            <w:vAlign w:val="bottom"/>
            <w:shd w:val="clear" w:color="auto" w:fill="E5E7EF"/>
          </w:tcPr>
          <w:p>
            <w:pPr>
              <w:spacing w:after="0"/>
              <w:rPr>
                <w:sz w:val="11"/>
                <w:szCs w:val="11"/>
                <w:color w:val="auto"/>
              </w:rPr>
            </w:pPr>
          </w:p>
        </w:tc>
        <w:tc>
          <w:tcPr>
            <w:tcW w:w="1780" w:type="dxa"/>
            <w:vAlign w:val="bottom"/>
            <w:gridSpan w:val="3"/>
            <w:vMerge w:val="restart"/>
            <w:shd w:val="clear" w:color="auto" w:fill="E5E7EF"/>
          </w:tcPr>
          <w:p>
            <w:pPr>
              <w:spacing w:after="0"/>
              <w:rPr>
                <w:sz w:val="20"/>
                <w:szCs w:val="20"/>
                <w:color w:val="auto"/>
              </w:rPr>
            </w:pPr>
            <w:r>
              <w:rPr>
                <w:rFonts w:ascii="Arial" w:cs="Arial" w:eastAsia="Arial" w:hAnsi="Arial"/>
                <w:sz w:val="18"/>
                <w:szCs w:val="18"/>
                <w:color w:val="003478"/>
                <w:w w:val="98"/>
                <w:shd w:val="clear" w:color="auto" w:fill="E5E7EF"/>
              </w:rPr>
              <w:t>Debra L. Reed-Klages</w:t>
            </w:r>
          </w:p>
        </w:tc>
        <w:tc>
          <w:tcPr>
            <w:tcW w:w="520" w:type="dxa"/>
            <w:vAlign w:val="bottom"/>
            <w:shd w:val="clear" w:color="auto" w:fill="E5E7EF"/>
          </w:tcPr>
          <w:p>
            <w:pPr>
              <w:spacing w:after="0"/>
              <w:rPr>
                <w:sz w:val="11"/>
                <w:szCs w:val="11"/>
                <w:color w:val="auto"/>
              </w:rPr>
            </w:pPr>
          </w:p>
        </w:tc>
        <w:tc>
          <w:tcPr>
            <w:tcW w:w="8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00" w:type="dxa"/>
            <w:vAlign w:val="bottom"/>
            <w:shd w:val="clear" w:color="auto" w:fill="E5E7EF"/>
          </w:tcPr>
          <w:p>
            <w:pPr>
              <w:spacing w:after="0"/>
              <w:rPr>
                <w:sz w:val="8"/>
                <w:szCs w:val="8"/>
                <w:color w:val="auto"/>
              </w:rPr>
            </w:pPr>
          </w:p>
        </w:tc>
        <w:tc>
          <w:tcPr>
            <w:tcW w:w="1780" w:type="dxa"/>
            <w:vAlign w:val="bottom"/>
            <w:gridSpan w:val="3"/>
            <w:vMerge w:val="continue"/>
            <w:shd w:val="clear" w:color="auto" w:fill="E5E7EF"/>
          </w:tcPr>
          <w:p>
            <w:pPr>
              <w:spacing w:after="0"/>
              <w:rPr>
                <w:sz w:val="8"/>
                <w:szCs w:val="8"/>
                <w:color w:val="auto"/>
              </w:rPr>
            </w:pPr>
          </w:p>
        </w:tc>
        <w:tc>
          <w:tcPr>
            <w:tcW w:w="520" w:type="dxa"/>
            <w:vAlign w:val="bottom"/>
            <w:shd w:val="clear" w:color="auto" w:fill="E5E7EF"/>
          </w:tcPr>
          <w:p>
            <w:pPr>
              <w:spacing w:after="0"/>
              <w:rPr>
                <w:sz w:val="8"/>
                <w:szCs w:val="8"/>
                <w:color w:val="auto"/>
              </w:rPr>
            </w:pPr>
          </w:p>
        </w:tc>
        <w:tc>
          <w:tcPr>
            <w:tcW w:w="8360" w:type="dxa"/>
            <w:vAlign w:val="bottom"/>
            <w:gridSpan w:val="3"/>
            <w:vMerge w:val="restart"/>
          </w:tcPr>
          <w:p>
            <w:pPr>
              <w:ind w:left="580"/>
              <w:spacing w:after="0" w:line="205" w:lineRule="exact"/>
              <w:rPr>
                <w:sz w:val="20"/>
                <w:szCs w:val="20"/>
                <w:color w:val="auto"/>
              </w:rPr>
            </w:pPr>
            <w:r>
              <w:rPr>
                <w:rFonts w:ascii="Calibri" w:cs="Calibri" w:eastAsia="Calibri" w:hAnsi="Calibri"/>
                <w:sz w:val="17"/>
                <w:szCs w:val="17"/>
                <w:color w:val="auto"/>
              </w:rPr>
              <w:t>experience as Chairman, President and Chief Executve Ofcer of Sempra Energy</w:t>
            </w:r>
          </w:p>
        </w:tc>
        <w:tc>
          <w:tcPr>
            <w:tcW w:w="0" w:type="dxa"/>
            <w:vAlign w:val="bottom"/>
          </w:tcPr>
          <w:p>
            <w:pPr>
              <w:spacing w:after="0"/>
              <w:rPr>
                <w:sz w:val="1"/>
                <w:szCs w:val="1"/>
                <w:color w:val="auto"/>
              </w:rPr>
            </w:pPr>
          </w:p>
        </w:tc>
      </w:tr>
      <w:tr>
        <w:trPr>
          <w:trHeight w:val="109"/>
        </w:trPr>
        <w:tc>
          <w:tcPr>
            <w:tcW w:w="100" w:type="dxa"/>
            <w:vAlign w:val="bottom"/>
            <w:shd w:val="clear" w:color="auto" w:fill="E5E7EF"/>
          </w:tcPr>
          <w:p>
            <w:pPr>
              <w:spacing w:after="0"/>
              <w:rPr>
                <w:sz w:val="9"/>
                <w:szCs w:val="9"/>
                <w:color w:val="auto"/>
              </w:rPr>
            </w:pPr>
          </w:p>
        </w:tc>
        <w:tc>
          <w:tcPr>
            <w:tcW w:w="280" w:type="dxa"/>
            <w:vAlign w:val="bottom"/>
            <w:vMerge w:val="restart"/>
            <w:shd w:val="clear" w:color="auto" w:fill="E5E7EF"/>
          </w:tcPr>
          <w:p>
            <w:pPr>
              <w:spacing w:after="0"/>
              <w:rPr>
                <w:sz w:val="20"/>
                <w:szCs w:val="20"/>
                <w:color w:val="auto"/>
              </w:rPr>
            </w:pPr>
            <w:r>
              <w:rPr>
                <w:rFonts w:ascii="Arial" w:cs="Arial" w:eastAsia="Arial" w:hAnsi="Arial"/>
                <w:sz w:val="16"/>
                <w:szCs w:val="16"/>
                <w:color w:val="003478"/>
                <w:w w:val="91"/>
                <w:shd w:val="clear" w:color="auto" w:fill="E5E7EF"/>
              </w:rPr>
              <w:t>Age</w:t>
            </w:r>
          </w:p>
        </w:tc>
        <w:tc>
          <w:tcPr>
            <w:tcW w:w="760" w:type="dxa"/>
            <w:vAlign w:val="bottom"/>
            <w:vMerge w:val="restart"/>
            <w:shd w:val="clear" w:color="auto" w:fill="E5E7EF"/>
          </w:tcPr>
          <w:p>
            <w:pPr>
              <w:jc w:val="right"/>
              <w:ind w:right="439"/>
              <w:spacing w:after="0"/>
              <w:rPr>
                <w:sz w:val="20"/>
                <w:szCs w:val="20"/>
                <w:color w:val="auto"/>
              </w:rPr>
            </w:pPr>
            <w:r>
              <w:rPr>
                <w:rFonts w:ascii="Arial" w:cs="Arial" w:eastAsia="Arial" w:hAnsi="Arial"/>
                <w:sz w:val="16"/>
                <w:szCs w:val="16"/>
                <w:color w:val="003478"/>
              </w:rPr>
              <w:t>66</w:t>
            </w:r>
          </w:p>
        </w:tc>
        <w:tc>
          <w:tcPr>
            <w:tcW w:w="740" w:type="dxa"/>
            <w:vAlign w:val="bottom"/>
            <w:shd w:val="clear" w:color="auto" w:fill="E5E7EF"/>
          </w:tcPr>
          <w:p>
            <w:pPr>
              <w:spacing w:after="0"/>
              <w:rPr>
                <w:sz w:val="9"/>
                <w:szCs w:val="9"/>
                <w:color w:val="auto"/>
              </w:rPr>
            </w:pPr>
          </w:p>
        </w:tc>
        <w:tc>
          <w:tcPr>
            <w:tcW w:w="520" w:type="dxa"/>
            <w:vAlign w:val="bottom"/>
            <w:shd w:val="clear" w:color="auto" w:fill="E5E7EF"/>
          </w:tcPr>
          <w:p>
            <w:pPr>
              <w:spacing w:after="0"/>
              <w:rPr>
                <w:sz w:val="9"/>
                <w:szCs w:val="9"/>
                <w:color w:val="auto"/>
              </w:rPr>
            </w:pPr>
          </w:p>
        </w:tc>
        <w:tc>
          <w:tcPr>
            <w:tcW w:w="83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E5E7EF"/>
          </w:tcPr>
          <w:p>
            <w:pPr>
              <w:spacing w:after="0"/>
              <w:rPr>
                <w:sz w:val="17"/>
                <w:szCs w:val="17"/>
                <w:color w:val="auto"/>
              </w:rPr>
            </w:pPr>
          </w:p>
        </w:tc>
        <w:tc>
          <w:tcPr>
            <w:tcW w:w="280" w:type="dxa"/>
            <w:vAlign w:val="bottom"/>
            <w:vMerge w:val="continue"/>
            <w:shd w:val="clear" w:color="auto" w:fill="E5E7EF"/>
          </w:tcPr>
          <w:p>
            <w:pPr>
              <w:spacing w:after="0"/>
              <w:rPr>
                <w:sz w:val="17"/>
                <w:szCs w:val="17"/>
                <w:color w:val="auto"/>
              </w:rPr>
            </w:pPr>
          </w:p>
        </w:tc>
        <w:tc>
          <w:tcPr>
            <w:tcW w:w="760" w:type="dxa"/>
            <w:vAlign w:val="bottom"/>
            <w:vMerge w:val="continue"/>
            <w:shd w:val="clear" w:color="auto" w:fill="E5E7EF"/>
          </w:tcPr>
          <w:p>
            <w:pPr>
              <w:spacing w:after="0"/>
              <w:rPr>
                <w:sz w:val="17"/>
                <w:szCs w:val="17"/>
                <w:color w:val="auto"/>
              </w:rPr>
            </w:pPr>
          </w:p>
        </w:tc>
        <w:tc>
          <w:tcPr>
            <w:tcW w:w="740" w:type="dxa"/>
            <w:vAlign w:val="bottom"/>
            <w:shd w:val="clear" w:color="auto" w:fill="E5E7EF"/>
          </w:tcPr>
          <w:p>
            <w:pPr>
              <w:spacing w:after="0"/>
              <w:rPr>
                <w:sz w:val="17"/>
                <w:szCs w:val="17"/>
                <w:color w:val="auto"/>
              </w:rPr>
            </w:pPr>
          </w:p>
        </w:tc>
        <w:tc>
          <w:tcPr>
            <w:tcW w:w="520" w:type="dxa"/>
            <w:vAlign w:val="bottom"/>
            <w:shd w:val="clear" w:color="auto" w:fill="E5E7EF"/>
          </w:tcPr>
          <w:p>
            <w:pPr>
              <w:spacing w:after="0"/>
              <w:rPr>
                <w:sz w:val="17"/>
                <w:szCs w:val="17"/>
                <w:color w:val="auto"/>
              </w:rPr>
            </w:pPr>
          </w:p>
        </w:tc>
        <w:tc>
          <w:tcPr>
            <w:tcW w:w="6200" w:type="dxa"/>
            <w:vAlign w:val="bottom"/>
            <w:gridSpan w:val="2"/>
          </w:tcPr>
          <w:p>
            <w:pPr>
              <w:ind w:left="380"/>
              <w:spacing w:after="0" w:line="201" w:lineRule="exact"/>
              <w:rPr>
                <w:sz w:val="20"/>
                <w:szCs w:val="20"/>
                <w:color w:val="auto"/>
              </w:rPr>
            </w:pPr>
            <w:r>
              <w:rPr>
                <w:rFonts w:ascii="Calibri" w:cs="Calibri" w:eastAsia="Calibri" w:hAnsi="Calibri"/>
                <w:sz w:val="17"/>
                <w:szCs w:val="17"/>
                <w:color w:val="002E6D"/>
              </w:rPr>
              <w:t xml:space="preserve">•  </w:t>
            </w:r>
            <w:r>
              <w:rPr>
                <w:rFonts w:ascii="Calibri" w:cs="Calibri" w:eastAsia="Calibri" w:hAnsi="Calibri"/>
                <w:sz w:val="17"/>
                <w:szCs w:val="17"/>
                <w:color w:val="000000"/>
              </w:rPr>
              <w:t>Skilled in enterprise risk management, environmental, safety and sustainability</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00" w:type="dxa"/>
            <w:vAlign w:val="bottom"/>
            <w:shd w:val="clear" w:color="auto" w:fill="E5E7EF"/>
          </w:tcPr>
          <w:p>
            <w:pPr>
              <w:spacing w:after="0"/>
              <w:rPr>
                <w:sz w:val="24"/>
                <w:szCs w:val="24"/>
                <w:color w:val="auto"/>
              </w:rPr>
            </w:pPr>
          </w:p>
        </w:tc>
        <w:tc>
          <w:tcPr>
            <w:tcW w:w="1040" w:type="dxa"/>
            <w:vAlign w:val="bottom"/>
            <w:gridSpan w:val="2"/>
            <w:shd w:val="clear" w:color="auto" w:fill="E5E7EF"/>
          </w:tcPr>
          <w:p>
            <w:pPr>
              <w:spacing w:after="0"/>
              <w:rPr>
                <w:sz w:val="20"/>
                <w:szCs w:val="20"/>
                <w:color w:val="auto"/>
              </w:rPr>
            </w:pPr>
            <w:r>
              <w:rPr>
                <w:rFonts w:ascii="Arial" w:cs="Arial" w:eastAsia="Arial" w:hAnsi="Arial"/>
                <w:sz w:val="16"/>
                <w:szCs w:val="16"/>
                <w:color w:val="003478"/>
                <w:shd w:val="clear" w:color="auto" w:fill="E5E7EF"/>
              </w:rPr>
              <w:t>Director since</w:t>
            </w:r>
          </w:p>
        </w:tc>
        <w:tc>
          <w:tcPr>
            <w:tcW w:w="740" w:type="dxa"/>
            <w:vAlign w:val="bottom"/>
            <w:shd w:val="clear" w:color="auto" w:fill="E5E7EF"/>
          </w:tcPr>
          <w:p>
            <w:pPr>
              <w:spacing w:after="0"/>
              <w:rPr>
                <w:sz w:val="20"/>
                <w:szCs w:val="20"/>
                <w:color w:val="auto"/>
              </w:rPr>
            </w:pPr>
            <w:r>
              <w:rPr>
                <w:rFonts w:ascii="Arial" w:cs="Arial" w:eastAsia="Arial" w:hAnsi="Arial"/>
                <w:sz w:val="16"/>
                <w:szCs w:val="16"/>
                <w:color w:val="003478"/>
              </w:rPr>
              <w:t>2019</w:t>
            </w:r>
          </w:p>
        </w:tc>
        <w:tc>
          <w:tcPr>
            <w:tcW w:w="520" w:type="dxa"/>
            <w:vAlign w:val="bottom"/>
            <w:shd w:val="clear" w:color="auto" w:fill="E5E7EF"/>
          </w:tcPr>
          <w:p>
            <w:pPr>
              <w:spacing w:after="0"/>
              <w:rPr>
                <w:sz w:val="24"/>
                <w:szCs w:val="24"/>
                <w:color w:val="auto"/>
              </w:rPr>
            </w:pPr>
          </w:p>
        </w:tc>
        <w:tc>
          <w:tcPr>
            <w:tcW w:w="8360" w:type="dxa"/>
            <w:vAlign w:val="bottom"/>
            <w:gridSpan w:val="3"/>
          </w:tcPr>
          <w:p>
            <w:pPr>
              <w:ind w:left="380"/>
              <w:spacing w:after="0"/>
              <w:rPr>
                <w:sz w:val="20"/>
                <w:szCs w:val="20"/>
                <w:color w:val="auto"/>
              </w:rPr>
            </w:pPr>
            <w:r>
              <w:rPr>
                <w:rFonts w:ascii="Calibri" w:cs="Calibri" w:eastAsia="Calibri" w:hAnsi="Calibri"/>
                <w:sz w:val="17"/>
                <w:szCs w:val="17"/>
                <w:color w:val="002E6D"/>
              </w:rPr>
              <w:t xml:space="preserve">•  </w:t>
            </w:r>
            <w:r>
              <w:rPr>
                <w:rFonts w:ascii="Calibri" w:cs="Calibri" w:eastAsia="Calibri" w:hAnsi="Calibri"/>
                <w:sz w:val="17"/>
                <w:szCs w:val="17"/>
                <w:color w:val="000000"/>
              </w:rPr>
              <w:t>Knowledge of fnancial system management, compensaton, governance and public company board</w:t>
            </w:r>
          </w:p>
        </w:tc>
        <w:tc>
          <w:tcPr>
            <w:tcW w:w="0" w:type="dxa"/>
            <w:vAlign w:val="bottom"/>
          </w:tcPr>
          <w:p>
            <w:pPr>
              <w:spacing w:after="0"/>
              <w:rPr>
                <w:sz w:val="1"/>
                <w:szCs w:val="1"/>
                <w:color w:val="auto"/>
              </w:rPr>
            </w:pPr>
          </w:p>
        </w:tc>
      </w:tr>
      <w:tr>
        <w:trPr>
          <w:trHeight w:val="189"/>
        </w:trPr>
        <w:tc>
          <w:tcPr>
            <w:tcW w:w="100" w:type="dxa"/>
            <w:vAlign w:val="bottom"/>
            <w:shd w:val="clear" w:color="auto" w:fill="E5E7EF"/>
          </w:tcPr>
          <w:p>
            <w:pPr>
              <w:spacing w:after="0"/>
              <w:rPr>
                <w:sz w:val="16"/>
                <w:szCs w:val="16"/>
                <w:color w:val="auto"/>
              </w:rPr>
            </w:pPr>
          </w:p>
        </w:tc>
        <w:tc>
          <w:tcPr>
            <w:tcW w:w="1040" w:type="dxa"/>
            <w:vAlign w:val="bottom"/>
            <w:gridSpan w:val="2"/>
            <w:shd w:val="clear" w:color="auto" w:fill="E5E7EF"/>
          </w:tcPr>
          <w:p>
            <w:pPr>
              <w:spacing w:after="0"/>
              <w:rPr>
                <w:sz w:val="20"/>
                <w:szCs w:val="20"/>
                <w:color w:val="auto"/>
              </w:rPr>
            </w:pPr>
            <w:r>
              <w:rPr>
                <w:rFonts w:ascii="Arial" w:cs="Arial" w:eastAsia="Arial" w:hAnsi="Arial"/>
                <w:sz w:val="16"/>
                <w:szCs w:val="16"/>
                <w:color w:val="003478"/>
                <w:shd w:val="clear" w:color="auto" w:fill="E5E7EF"/>
              </w:rPr>
              <w:t>Independent</w:t>
            </w:r>
          </w:p>
        </w:tc>
        <w:tc>
          <w:tcPr>
            <w:tcW w:w="740" w:type="dxa"/>
            <w:vAlign w:val="bottom"/>
            <w:shd w:val="clear" w:color="auto" w:fill="E5E7EF"/>
          </w:tcPr>
          <w:p>
            <w:pPr>
              <w:spacing w:after="0"/>
              <w:rPr>
                <w:sz w:val="20"/>
                <w:szCs w:val="20"/>
                <w:color w:val="auto"/>
              </w:rPr>
            </w:pPr>
            <w:r>
              <w:rPr>
                <w:rFonts w:ascii="Arial" w:cs="Arial" w:eastAsia="Arial" w:hAnsi="Arial"/>
                <w:sz w:val="16"/>
                <w:szCs w:val="16"/>
                <w:color w:val="003478"/>
                <w:shd w:val="clear" w:color="auto" w:fill="E5E7EF"/>
              </w:rPr>
              <w:t>Director</w:t>
            </w:r>
          </w:p>
        </w:tc>
        <w:tc>
          <w:tcPr>
            <w:tcW w:w="520" w:type="dxa"/>
            <w:vAlign w:val="bottom"/>
            <w:shd w:val="clear" w:color="auto" w:fill="E5E7EF"/>
          </w:tcPr>
          <w:p>
            <w:pPr>
              <w:spacing w:after="0"/>
              <w:rPr>
                <w:sz w:val="16"/>
                <w:szCs w:val="16"/>
                <w:color w:val="auto"/>
              </w:rPr>
            </w:pPr>
          </w:p>
        </w:tc>
        <w:tc>
          <w:tcPr>
            <w:tcW w:w="3020" w:type="dxa"/>
            <w:vAlign w:val="bottom"/>
          </w:tcPr>
          <w:p>
            <w:pPr>
              <w:ind w:left="580"/>
              <w:spacing w:after="0" w:line="189" w:lineRule="exact"/>
              <w:rPr>
                <w:sz w:val="20"/>
                <w:szCs w:val="20"/>
                <w:color w:val="auto"/>
              </w:rPr>
            </w:pPr>
            <w:r>
              <w:rPr>
                <w:rFonts w:ascii="Calibri" w:cs="Calibri" w:eastAsia="Calibri" w:hAnsi="Calibri"/>
                <w:sz w:val="17"/>
                <w:szCs w:val="17"/>
                <w:color w:val="auto"/>
              </w:rPr>
              <w:t>experience</w:t>
            </w:r>
          </w:p>
        </w:tc>
        <w:tc>
          <w:tcPr>
            <w:tcW w:w="3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0" w:type="dxa"/>
            <w:vAlign w:val="bottom"/>
            <w:shd w:val="clear" w:color="auto" w:fill="E5E7EF"/>
          </w:tcPr>
          <w:p>
            <w:pPr>
              <w:spacing w:after="0"/>
              <w:rPr>
                <w:sz w:val="24"/>
                <w:szCs w:val="24"/>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Committees</w:t>
            </w:r>
          </w:p>
        </w:tc>
        <w:tc>
          <w:tcPr>
            <w:tcW w:w="3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E5E7EF"/>
          </w:tcPr>
          <w:p>
            <w:pPr>
              <w:spacing w:after="0"/>
              <w:rPr>
                <w:sz w:val="17"/>
                <w:szCs w:val="17"/>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Management Development</w:t>
            </w:r>
          </w:p>
        </w:tc>
        <w:tc>
          <w:tcPr>
            <w:tcW w:w="3020" w:type="dxa"/>
            <w:vAlign w:val="bottom"/>
          </w:tcPr>
          <w:p>
            <w:pPr>
              <w:ind w:left="820"/>
              <w:spacing w:after="0"/>
              <w:rPr>
                <w:sz w:val="20"/>
                <w:szCs w:val="20"/>
                <w:color w:val="auto"/>
              </w:rPr>
            </w:pPr>
            <w:r>
              <w:rPr>
                <w:rFonts w:ascii="Calibri" w:cs="Calibri" w:eastAsia="Calibri" w:hAnsi="Calibri"/>
                <w:sz w:val="14"/>
                <w:szCs w:val="14"/>
                <w:color w:val="auto"/>
              </w:rPr>
              <w:t>Business Model / Commercial</w:t>
            </w:r>
          </w:p>
        </w:tc>
        <w:tc>
          <w:tcPr>
            <w:tcW w:w="3180" w:type="dxa"/>
            <w:vAlign w:val="bottom"/>
          </w:tcPr>
          <w:p>
            <w:pPr>
              <w:ind w:left="500"/>
              <w:spacing w:after="0"/>
              <w:rPr>
                <w:sz w:val="20"/>
                <w:szCs w:val="20"/>
                <w:color w:val="auto"/>
              </w:rPr>
            </w:pPr>
            <w:r>
              <w:rPr>
                <w:rFonts w:ascii="Calibri" w:cs="Calibri" w:eastAsia="Calibri" w:hAnsi="Calibri"/>
                <w:sz w:val="14"/>
                <w:szCs w:val="14"/>
                <w:color w:val="auto"/>
              </w:rPr>
              <w:t>CEO Leadership</w:t>
            </w:r>
          </w:p>
        </w:tc>
        <w:tc>
          <w:tcPr>
            <w:tcW w:w="2160" w:type="dxa"/>
            <w:vAlign w:val="bottom"/>
          </w:tcPr>
          <w:p>
            <w:pPr>
              <w:ind w:left="20"/>
              <w:spacing w:after="0"/>
              <w:rPr>
                <w:sz w:val="20"/>
                <w:szCs w:val="20"/>
                <w:color w:val="auto"/>
              </w:rPr>
            </w:pPr>
            <w:r>
              <w:rPr>
                <w:rFonts w:ascii="Calibri" w:cs="Calibri" w:eastAsia="Calibri" w:hAnsi="Calibri"/>
                <w:sz w:val="14"/>
                <w:szCs w:val="14"/>
                <w:color w:val="auto"/>
              </w:rPr>
              <w:t>Environment, Social and Governance</w:t>
            </w:r>
          </w:p>
        </w:tc>
        <w:tc>
          <w:tcPr>
            <w:tcW w:w="0" w:type="dxa"/>
            <w:vAlign w:val="bottom"/>
          </w:tcPr>
          <w:p>
            <w:pPr>
              <w:spacing w:after="0"/>
              <w:rPr>
                <w:sz w:val="1"/>
                <w:szCs w:val="1"/>
                <w:color w:val="auto"/>
              </w:rPr>
            </w:pPr>
          </w:p>
        </w:tc>
      </w:tr>
      <w:tr>
        <w:trPr>
          <w:trHeight w:val="188"/>
        </w:trPr>
        <w:tc>
          <w:tcPr>
            <w:tcW w:w="100" w:type="dxa"/>
            <w:vAlign w:val="bottom"/>
            <w:shd w:val="clear" w:color="auto" w:fill="E5E7EF"/>
          </w:tcPr>
          <w:p>
            <w:pPr>
              <w:spacing w:after="0"/>
              <w:rPr>
                <w:sz w:val="16"/>
                <w:szCs w:val="16"/>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and Compensation;</w:t>
            </w:r>
          </w:p>
        </w:tc>
        <w:tc>
          <w:tcPr>
            <w:tcW w:w="3020" w:type="dxa"/>
            <w:vAlign w:val="bottom"/>
          </w:tcPr>
          <w:p>
            <w:pPr>
              <w:ind w:left="820"/>
              <w:spacing w:after="0"/>
              <w:rPr>
                <w:sz w:val="20"/>
                <w:szCs w:val="20"/>
                <w:color w:val="auto"/>
              </w:rPr>
            </w:pPr>
            <w:r>
              <w:rPr>
                <w:rFonts w:ascii="Calibri" w:cs="Calibri" w:eastAsia="Calibri" w:hAnsi="Calibri"/>
                <w:sz w:val="14"/>
                <w:szCs w:val="14"/>
                <w:color w:val="auto"/>
              </w:rPr>
              <w:t>Partnerships</w:t>
            </w:r>
          </w:p>
        </w:tc>
        <w:tc>
          <w:tcPr>
            <w:tcW w:w="3180" w:type="dxa"/>
            <w:vAlign w:val="bottom"/>
          </w:tcPr>
          <w:p>
            <w:pPr>
              <w:ind w:left="500"/>
              <w:spacing w:after="0"/>
              <w:rPr>
                <w:sz w:val="20"/>
                <w:szCs w:val="20"/>
                <w:color w:val="auto"/>
              </w:rPr>
            </w:pPr>
            <w:r>
              <w:rPr>
                <w:rFonts w:ascii="Calibri" w:cs="Calibri" w:eastAsia="Calibri" w:hAnsi="Calibri"/>
                <w:sz w:val="14"/>
                <w:szCs w:val="14"/>
                <w:color w:val="auto"/>
              </w:rPr>
              <w:t>Experience</w:t>
            </w:r>
          </w:p>
        </w:tc>
        <w:tc>
          <w:tcPr>
            <w:tcW w:w="2160" w:type="dxa"/>
            <w:vAlign w:val="bottom"/>
          </w:tcPr>
          <w:p>
            <w:pPr>
              <w:ind w:left="20"/>
              <w:spacing w:after="0"/>
              <w:rPr>
                <w:sz w:val="20"/>
                <w:szCs w:val="20"/>
                <w:color w:val="auto"/>
              </w:rPr>
            </w:pPr>
            <w:r>
              <w:rPr>
                <w:rFonts w:ascii="Calibri" w:cs="Calibri" w:eastAsia="Calibri" w:hAnsi="Calibri"/>
                <w:sz w:val="14"/>
                <w:szCs w:val="14"/>
                <w:color w:val="auto"/>
              </w:rPr>
              <w:t>Expertse</w:t>
            </w:r>
          </w:p>
        </w:tc>
        <w:tc>
          <w:tcPr>
            <w:tcW w:w="0" w:type="dxa"/>
            <w:vAlign w:val="bottom"/>
          </w:tcPr>
          <w:p>
            <w:pPr>
              <w:spacing w:after="0"/>
              <w:rPr>
                <w:sz w:val="1"/>
                <w:szCs w:val="1"/>
                <w:color w:val="auto"/>
              </w:rPr>
            </w:pPr>
          </w:p>
        </w:tc>
      </w:tr>
      <w:tr>
        <w:trPr>
          <w:trHeight w:val="189"/>
        </w:trPr>
        <w:tc>
          <w:tcPr>
            <w:tcW w:w="100" w:type="dxa"/>
            <w:vAlign w:val="bottom"/>
            <w:shd w:val="clear" w:color="auto" w:fill="E5E7EF"/>
          </w:tcPr>
          <w:p>
            <w:pPr>
              <w:spacing w:after="0"/>
              <w:rPr>
                <w:sz w:val="16"/>
                <w:szCs w:val="16"/>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Nominating and Corporate</w:t>
            </w:r>
          </w:p>
        </w:tc>
        <w:tc>
          <w:tcPr>
            <w:tcW w:w="30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 w:type="dxa"/>
            <w:vAlign w:val="bottom"/>
            <w:shd w:val="clear" w:color="auto" w:fill="E5E7EF"/>
          </w:tcPr>
          <w:p>
            <w:pPr>
              <w:spacing w:after="0"/>
              <w:rPr>
                <w:sz w:val="18"/>
                <w:szCs w:val="18"/>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Governance</w:t>
            </w:r>
          </w:p>
        </w:tc>
        <w:tc>
          <w:tcPr>
            <w:tcW w:w="3020" w:type="dxa"/>
            <w:vAlign w:val="bottom"/>
          </w:tcPr>
          <w:p>
            <w:pPr>
              <w:ind w:left="820"/>
              <w:spacing w:after="0"/>
              <w:rPr>
                <w:sz w:val="20"/>
                <w:szCs w:val="20"/>
                <w:color w:val="auto"/>
              </w:rPr>
            </w:pPr>
            <w:r>
              <w:rPr>
                <w:rFonts w:ascii="Calibri" w:cs="Calibri" w:eastAsia="Calibri" w:hAnsi="Calibri"/>
                <w:sz w:val="14"/>
                <w:szCs w:val="14"/>
                <w:color w:val="auto"/>
              </w:rPr>
              <w:t>Financial Expertse</w:t>
            </w:r>
          </w:p>
        </w:tc>
        <w:tc>
          <w:tcPr>
            <w:tcW w:w="3180" w:type="dxa"/>
            <w:vAlign w:val="bottom"/>
          </w:tcPr>
          <w:p>
            <w:pPr>
              <w:ind w:left="500"/>
              <w:spacing w:after="0"/>
              <w:rPr>
                <w:sz w:val="20"/>
                <w:szCs w:val="20"/>
                <w:color w:val="auto"/>
              </w:rPr>
            </w:pPr>
            <w:r>
              <w:rPr>
                <w:rFonts w:ascii="Calibri" w:cs="Calibri" w:eastAsia="Calibri" w:hAnsi="Calibri"/>
                <w:sz w:val="14"/>
                <w:szCs w:val="14"/>
                <w:color w:val="auto"/>
              </w:rPr>
              <w:t>M&amp;A Expertse</w:t>
            </w:r>
          </w:p>
        </w:tc>
        <w:tc>
          <w:tcPr>
            <w:tcW w:w="2160" w:type="dxa"/>
            <w:vAlign w:val="bottom"/>
          </w:tcPr>
          <w:p>
            <w:pPr>
              <w:ind w:left="20"/>
              <w:spacing w:after="0"/>
              <w:rPr>
                <w:sz w:val="20"/>
                <w:szCs w:val="20"/>
                <w:color w:val="auto"/>
              </w:rPr>
            </w:pPr>
            <w:r>
              <w:rPr>
                <w:rFonts w:ascii="Calibri" w:cs="Calibri" w:eastAsia="Calibri" w:hAnsi="Calibri"/>
                <w:sz w:val="14"/>
                <w:szCs w:val="14"/>
                <w:color w:val="auto"/>
              </w:rPr>
              <w:t>Operatonal Executon and Efciency</w:t>
            </w:r>
          </w:p>
        </w:tc>
        <w:tc>
          <w:tcPr>
            <w:tcW w:w="0" w:type="dxa"/>
            <w:vAlign w:val="bottom"/>
          </w:tcPr>
          <w:p>
            <w:pPr>
              <w:spacing w:after="0"/>
              <w:rPr>
                <w:sz w:val="1"/>
                <w:szCs w:val="1"/>
                <w:color w:val="auto"/>
              </w:rPr>
            </w:pPr>
          </w:p>
        </w:tc>
      </w:tr>
      <w:tr>
        <w:trPr>
          <w:trHeight w:val="299"/>
        </w:trPr>
        <w:tc>
          <w:tcPr>
            <w:tcW w:w="100" w:type="dxa"/>
            <w:vAlign w:val="bottom"/>
            <w:shd w:val="clear" w:color="auto" w:fill="E5E7EF"/>
          </w:tcPr>
          <w:p>
            <w:pPr>
              <w:spacing w:after="0"/>
              <w:rPr>
                <w:sz w:val="24"/>
                <w:szCs w:val="24"/>
                <w:color w:val="auto"/>
              </w:rPr>
            </w:pPr>
          </w:p>
        </w:tc>
        <w:tc>
          <w:tcPr>
            <w:tcW w:w="1780" w:type="dxa"/>
            <w:vAlign w:val="bottom"/>
            <w:gridSpan w:val="3"/>
            <w:shd w:val="clear" w:color="auto" w:fill="E5E7EF"/>
          </w:tcPr>
          <w:p>
            <w:pPr>
              <w:spacing w:after="0"/>
              <w:rPr>
                <w:sz w:val="20"/>
                <w:szCs w:val="20"/>
                <w:color w:val="auto"/>
              </w:rPr>
            </w:pPr>
            <w:r>
              <w:rPr>
                <w:rFonts w:ascii="Arial" w:cs="Arial" w:eastAsia="Arial" w:hAnsi="Arial"/>
                <w:sz w:val="16"/>
                <w:szCs w:val="16"/>
                <w:color w:val="003478"/>
                <w:shd w:val="clear" w:color="auto" w:fill="E5E7EF"/>
              </w:rPr>
              <w:t>Other Public Boards*</w:t>
            </w:r>
          </w:p>
        </w:tc>
        <w:tc>
          <w:tcPr>
            <w:tcW w:w="520" w:type="dxa"/>
            <w:vAlign w:val="bottom"/>
            <w:shd w:val="clear" w:color="auto" w:fill="E5E7EF"/>
          </w:tcPr>
          <w:p>
            <w:pPr>
              <w:spacing w:after="0"/>
              <w:rPr>
                <w:sz w:val="24"/>
                <w:szCs w:val="24"/>
                <w:color w:val="auto"/>
              </w:rPr>
            </w:pPr>
          </w:p>
        </w:tc>
        <w:tc>
          <w:tcPr>
            <w:tcW w:w="3020" w:type="dxa"/>
            <w:vAlign w:val="bottom"/>
            <w:vMerge w:val="restart"/>
          </w:tcPr>
          <w:p>
            <w:pPr>
              <w:ind w:left="820"/>
              <w:spacing w:after="0"/>
              <w:rPr>
                <w:sz w:val="20"/>
                <w:szCs w:val="20"/>
                <w:color w:val="auto"/>
              </w:rPr>
            </w:pPr>
            <w:r>
              <w:rPr>
                <w:rFonts w:ascii="Calibri" w:cs="Calibri" w:eastAsia="Calibri" w:hAnsi="Calibri"/>
                <w:sz w:val="14"/>
                <w:szCs w:val="14"/>
                <w:color w:val="auto"/>
              </w:rPr>
              <w:t>Supply chain Excellence</w:t>
            </w:r>
          </w:p>
        </w:tc>
        <w:tc>
          <w:tcPr>
            <w:tcW w:w="3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00" w:type="dxa"/>
            <w:vAlign w:val="bottom"/>
            <w:shd w:val="clear" w:color="auto" w:fill="E5E7EF"/>
          </w:tcPr>
          <w:p>
            <w:pPr>
              <w:spacing w:after="0"/>
              <w:rPr>
                <w:sz w:val="8"/>
                <w:szCs w:val="8"/>
                <w:color w:val="auto"/>
              </w:rPr>
            </w:pPr>
          </w:p>
        </w:tc>
        <w:tc>
          <w:tcPr>
            <w:tcW w:w="2300" w:type="dxa"/>
            <w:vAlign w:val="bottom"/>
            <w:gridSpan w:val="4"/>
            <w:vMerge w:val="restart"/>
            <w:shd w:val="clear" w:color="auto" w:fill="E5E7EF"/>
          </w:tcPr>
          <w:p>
            <w:pPr>
              <w:spacing w:after="0" w:line="175" w:lineRule="exact"/>
              <w:rPr>
                <w:sz w:val="20"/>
                <w:szCs w:val="20"/>
                <w:color w:val="auto"/>
              </w:rPr>
            </w:pPr>
            <w:r>
              <w:rPr>
                <w:rFonts w:ascii="Arial" w:cs="Arial" w:eastAsia="Arial" w:hAnsi="Arial"/>
                <w:sz w:val="16"/>
                <w:szCs w:val="16"/>
                <w:color w:val="003478"/>
              </w:rPr>
              <w:t>Chevron Corporation</w:t>
            </w:r>
          </w:p>
        </w:tc>
        <w:tc>
          <w:tcPr>
            <w:tcW w:w="3020" w:type="dxa"/>
            <w:vAlign w:val="bottom"/>
            <w:vMerge w:val="continue"/>
          </w:tcPr>
          <w:p>
            <w:pPr>
              <w:spacing w:after="0"/>
              <w:rPr>
                <w:sz w:val="8"/>
                <w:szCs w:val="8"/>
                <w:color w:val="auto"/>
              </w:rPr>
            </w:pPr>
          </w:p>
        </w:tc>
        <w:tc>
          <w:tcPr>
            <w:tcW w:w="31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00" w:type="dxa"/>
            <w:vAlign w:val="bottom"/>
            <w:shd w:val="clear" w:color="auto" w:fill="E5E7EF"/>
          </w:tcPr>
          <w:p>
            <w:pPr>
              <w:spacing w:after="0"/>
              <w:rPr>
                <w:sz w:val="6"/>
                <w:szCs w:val="6"/>
                <w:color w:val="auto"/>
              </w:rPr>
            </w:pPr>
          </w:p>
        </w:tc>
        <w:tc>
          <w:tcPr>
            <w:tcW w:w="2300" w:type="dxa"/>
            <w:vAlign w:val="bottom"/>
            <w:gridSpan w:val="4"/>
            <w:vMerge w:val="continue"/>
            <w:shd w:val="clear" w:color="auto" w:fill="E5E7EF"/>
          </w:tcPr>
          <w:p>
            <w:pPr>
              <w:spacing w:after="0"/>
              <w:rPr>
                <w:sz w:val="6"/>
                <w:szCs w:val="6"/>
                <w:color w:val="auto"/>
              </w:rPr>
            </w:pPr>
          </w:p>
        </w:tc>
        <w:tc>
          <w:tcPr>
            <w:tcW w:w="30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00" w:type="dxa"/>
            <w:vAlign w:val="bottom"/>
            <w:shd w:val="clear" w:color="auto" w:fill="E5E7EF"/>
          </w:tcPr>
          <w:p>
            <w:pPr>
              <w:spacing w:after="0"/>
              <w:rPr>
                <w:sz w:val="18"/>
                <w:szCs w:val="18"/>
                <w:color w:val="auto"/>
              </w:rPr>
            </w:pPr>
          </w:p>
        </w:tc>
        <w:tc>
          <w:tcPr>
            <w:tcW w:w="2300" w:type="dxa"/>
            <w:vAlign w:val="bottom"/>
            <w:gridSpan w:val="4"/>
            <w:shd w:val="clear" w:color="auto" w:fill="E5E7EF"/>
          </w:tcPr>
          <w:p>
            <w:pPr>
              <w:spacing w:after="0"/>
              <w:rPr>
                <w:sz w:val="20"/>
                <w:szCs w:val="20"/>
                <w:color w:val="auto"/>
              </w:rPr>
            </w:pPr>
            <w:r>
              <w:rPr>
                <w:rFonts w:ascii="Arial" w:cs="Arial" w:eastAsia="Arial" w:hAnsi="Arial"/>
                <w:sz w:val="16"/>
                <w:szCs w:val="16"/>
                <w:color w:val="003478"/>
              </w:rPr>
              <w:t>Caterpillar Inc.</w:t>
            </w:r>
          </w:p>
        </w:tc>
        <w:tc>
          <w:tcPr>
            <w:tcW w:w="30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0" w:type="dxa"/>
            <w:vAlign w:val="bottom"/>
            <w:shd w:val="clear" w:color="auto" w:fill="E5E7EF"/>
          </w:tcPr>
          <w:p>
            <w:pPr>
              <w:spacing w:after="0"/>
              <w:rPr>
                <w:sz w:val="20"/>
                <w:szCs w:val="20"/>
                <w:color w:val="auto"/>
              </w:rPr>
            </w:pPr>
          </w:p>
        </w:tc>
        <w:tc>
          <w:tcPr>
            <w:tcW w:w="280" w:type="dxa"/>
            <w:vAlign w:val="bottom"/>
            <w:shd w:val="clear" w:color="auto" w:fill="E5E7EF"/>
          </w:tcPr>
          <w:p>
            <w:pPr>
              <w:spacing w:after="0"/>
              <w:rPr>
                <w:sz w:val="20"/>
                <w:szCs w:val="20"/>
                <w:color w:val="auto"/>
              </w:rPr>
            </w:pPr>
          </w:p>
        </w:tc>
        <w:tc>
          <w:tcPr>
            <w:tcW w:w="760" w:type="dxa"/>
            <w:vAlign w:val="bottom"/>
            <w:shd w:val="clear" w:color="auto" w:fill="E5E7EF"/>
          </w:tcPr>
          <w:p>
            <w:pPr>
              <w:spacing w:after="0"/>
              <w:rPr>
                <w:sz w:val="20"/>
                <w:szCs w:val="20"/>
                <w:color w:val="auto"/>
              </w:rPr>
            </w:pPr>
          </w:p>
        </w:tc>
        <w:tc>
          <w:tcPr>
            <w:tcW w:w="740" w:type="dxa"/>
            <w:vAlign w:val="bottom"/>
            <w:shd w:val="clear" w:color="auto" w:fill="E5E7EF"/>
          </w:tcPr>
          <w:p>
            <w:pPr>
              <w:spacing w:after="0"/>
              <w:rPr>
                <w:sz w:val="20"/>
                <w:szCs w:val="20"/>
                <w:color w:val="auto"/>
              </w:rPr>
            </w:pPr>
          </w:p>
        </w:tc>
        <w:tc>
          <w:tcPr>
            <w:tcW w:w="520" w:type="dxa"/>
            <w:vAlign w:val="bottom"/>
            <w:shd w:val="clear" w:color="auto" w:fill="E5E7EF"/>
          </w:tcPr>
          <w:p>
            <w:pPr>
              <w:spacing w:after="0"/>
              <w:rPr>
                <w:sz w:val="20"/>
                <w:szCs w:val="20"/>
                <w:color w:val="auto"/>
              </w:rPr>
            </w:pPr>
          </w:p>
        </w:tc>
        <w:tc>
          <w:tcPr>
            <w:tcW w:w="30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6986270" cy="36429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86270" cy="364299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00"/>
        <w:spacing w:after="0"/>
        <w:rPr>
          <w:sz w:val="20"/>
          <w:szCs w:val="20"/>
          <w:color w:val="auto"/>
        </w:rPr>
      </w:pPr>
      <w:r>
        <w:rPr>
          <w:rFonts w:ascii="Arial" w:cs="Arial" w:eastAsia="Arial" w:hAnsi="Arial"/>
          <w:sz w:val="16"/>
          <w:szCs w:val="16"/>
          <w:color w:val="003478"/>
        </w:rPr>
        <w:t>Biography</w:t>
      </w:r>
    </w:p>
    <w:p>
      <w:pPr>
        <w:spacing w:after="0" w:line="31" w:lineRule="exact"/>
        <w:rPr>
          <w:sz w:val="20"/>
          <w:szCs w:val="20"/>
          <w:color w:val="auto"/>
        </w:rPr>
      </w:pPr>
    </w:p>
    <w:p>
      <w:pPr>
        <w:ind w:left="2900" w:right="400"/>
        <w:spacing w:after="0" w:line="231" w:lineRule="auto"/>
        <w:rPr>
          <w:sz w:val="20"/>
          <w:szCs w:val="20"/>
          <w:color w:val="auto"/>
        </w:rPr>
      </w:pPr>
      <w:r>
        <w:rPr>
          <w:rFonts w:ascii="Calibri" w:cs="Calibri" w:eastAsia="Calibri" w:hAnsi="Calibri"/>
          <w:sz w:val="17"/>
          <w:szCs w:val="17"/>
          <w:color w:val="auto"/>
        </w:rPr>
        <w:t>Chairman since March 2021 and President and Chief Executve Ofcer of Lockheed Martn since June 2020. Previously, Mr. Taiclet served as Chairman, President and Chief Executve Ofcer of American Tower Corporaton from February 2004 untl March 2020 and Executve Chairman from March 2020 to May 2020. Prior to that, Mr. Taiclet served as President of Honeywell Aerospace Services, a unit of Honeywell Internatonal and as Vice President, Engine Services at Prat &amp; Whitney, a unit of United Technologies Corporaton.</w:t>
      </w:r>
    </w:p>
    <w:p>
      <w:pPr>
        <w:spacing w:after="0" w:line="137" w:lineRule="exact"/>
        <w:rPr>
          <w:sz w:val="20"/>
          <w:szCs w:val="20"/>
          <w:color w:val="auto"/>
        </w:rPr>
      </w:pPr>
    </w:p>
    <w:p>
      <w:pPr>
        <w:ind w:left="2900"/>
        <w:spacing w:after="0"/>
        <w:rPr>
          <w:sz w:val="20"/>
          <w:szCs w:val="20"/>
          <w:color w:val="auto"/>
        </w:rPr>
      </w:pPr>
      <w:r>
        <w:rPr>
          <w:rFonts w:ascii="Arial" w:cs="Arial" w:eastAsia="Arial" w:hAnsi="Arial"/>
          <w:sz w:val="16"/>
          <w:szCs w:val="16"/>
          <w:color w:val="002E6D"/>
        </w:rPr>
        <w:t>Experience, Strategic Skills and Core Competencies</w:t>
      </w:r>
    </w:p>
    <w:p>
      <w:pPr>
        <w:spacing w:after="0" w:line="31" w:lineRule="exact"/>
        <w:rPr>
          <w:sz w:val="20"/>
          <w:szCs w:val="20"/>
          <w:color w:val="auto"/>
        </w:rPr>
      </w:pPr>
    </w:p>
    <w:p>
      <w:pPr>
        <w:ind w:left="3100" w:right="280" w:hanging="199"/>
        <w:spacing w:after="0" w:line="228" w:lineRule="auto"/>
        <w:tabs>
          <w:tab w:leader="none" w:pos="3101" w:val="left"/>
        </w:tabs>
        <w:numPr>
          <w:ilvl w:val="0"/>
          <w:numId w:val="24"/>
        </w:numPr>
        <w:rPr>
          <w:rFonts w:ascii="Calibri" w:cs="Calibri" w:eastAsia="Calibri" w:hAnsi="Calibri"/>
          <w:sz w:val="17"/>
          <w:szCs w:val="17"/>
          <w:color w:val="002E6D"/>
        </w:rPr>
      </w:pPr>
      <w:r>
        <w:rPr>
          <w:rFonts w:ascii="Calibri" w:cs="Calibri" w:eastAsia="Calibri" w:hAnsi="Calibri"/>
          <w:sz w:val="17"/>
          <w:szCs w:val="17"/>
          <w:color w:val="auto"/>
        </w:rPr>
        <w:t>Efectve leadership and executve experience as Chairman, President and CEO of Lockheed Martn Corporaton and American Tower Corporaton</w:t>
      </w:r>
    </w:p>
    <w:p>
      <w:pPr>
        <w:spacing w:after="0" w:line="9" w:lineRule="exact"/>
        <w:rPr>
          <w:rFonts w:ascii="Calibri" w:cs="Calibri" w:eastAsia="Calibri" w:hAnsi="Calibri"/>
          <w:sz w:val="17"/>
          <w:szCs w:val="17"/>
          <w:color w:val="002E6D"/>
        </w:rPr>
      </w:pPr>
    </w:p>
    <w:p>
      <w:pPr>
        <w:ind w:left="3100" w:hanging="199"/>
        <w:spacing w:after="0"/>
        <w:tabs>
          <w:tab w:leader="none" w:pos="3100" w:val="left"/>
        </w:tabs>
        <w:numPr>
          <w:ilvl w:val="0"/>
          <w:numId w:val="24"/>
        </w:numPr>
        <w:rPr>
          <w:rFonts w:ascii="Calibri" w:cs="Calibri" w:eastAsia="Calibri" w:hAnsi="Calibri"/>
          <w:sz w:val="17"/>
          <w:szCs w:val="17"/>
          <w:color w:val="002E6D"/>
        </w:rPr>
      </w:pPr>
      <w:r>
        <w:rPr>
          <w:rFonts w:ascii="Calibri" w:cs="Calibri" w:eastAsia="Calibri" w:hAnsi="Calibri"/>
          <w:sz w:val="17"/>
          <w:szCs w:val="17"/>
          <w:color w:val="auto"/>
        </w:rPr>
        <w:t>Expertse in management at large-scale, multnatonal corporatons, including regulatory compliance,</w: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00" w:type="dxa"/>
            <w:vAlign w:val="bottom"/>
            <w:shd w:val="clear" w:color="auto" w:fill="E5E7EF"/>
          </w:tcPr>
          <w:p>
            <w:pPr>
              <w:spacing w:after="0"/>
              <w:rPr>
                <w:sz w:val="19"/>
                <w:szCs w:val="19"/>
                <w:color w:val="auto"/>
              </w:rPr>
            </w:pPr>
          </w:p>
        </w:tc>
        <w:tc>
          <w:tcPr>
            <w:tcW w:w="1440" w:type="dxa"/>
            <w:vAlign w:val="bottom"/>
            <w:gridSpan w:val="4"/>
            <w:shd w:val="clear" w:color="auto" w:fill="E5E7EF"/>
          </w:tcPr>
          <w:p>
            <w:pPr>
              <w:spacing w:after="0"/>
              <w:rPr>
                <w:sz w:val="20"/>
                <w:szCs w:val="20"/>
                <w:color w:val="auto"/>
              </w:rPr>
            </w:pPr>
            <w:r>
              <w:rPr>
                <w:rFonts w:ascii="Arial" w:cs="Arial" w:eastAsia="Arial" w:hAnsi="Arial"/>
                <w:sz w:val="18"/>
                <w:szCs w:val="18"/>
                <w:color w:val="003478"/>
                <w:shd w:val="clear" w:color="auto" w:fill="E5E7EF"/>
              </w:rPr>
              <w:t>James D. Taiclet</w:t>
            </w:r>
          </w:p>
        </w:tc>
        <w:tc>
          <w:tcPr>
            <w:tcW w:w="860" w:type="dxa"/>
            <w:vAlign w:val="bottom"/>
            <w:shd w:val="clear" w:color="auto" w:fill="E5E7EF"/>
          </w:tcPr>
          <w:p>
            <w:pPr>
              <w:spacing w:after="0"/>
              <w:rPr>
                <w:sz w:val="19"/>
                <w:szCs w:val="19"/>
                <w:color w:val="auto"/>
              </w:rPr>
            </w:pPr>
          </w:p>
        </w:tc>
        <w:tc>
          <w:tcPr>
            <w:tcW w:w="8340" w:type="dxa"/>
            <w:vAlign w:val="bottom"/>
            <w:gridSpan w:val="3"/>
          </w:tcPr>
          <w:p>
            <w:pPr>
              <w:ind w:left="580"/>
              <w:spacing w:after="0"/>
              <w:rPr>
                <w:sz w:val="20"/>
                <w:szCs w:val="20"/>
                <w:color w:val="auto"/>
              </w:rPr>
            </w:pPr>
            <w:r>
              <w:rPr>
                <w:rFonts w:ascii="Calibri" w:cs="Calibri" w:eastAsia="Calibri" w:hAnsi="Calibri"/>
                <w:sz w:val="17"/>
                <w:szCs w:val="17"/>
                <w:color w:val="auto"/>
              </w:rPr>
              <w:t>corporate governance, capital markets and fnancing, strategic planning and investor relatons</w:t>
            </w:r>
          </w:p>
        </w:tc>
        <w:tc>
          <w:tcPr>
            <w:tcW w:w="0" w:type="dxa"/>
            <w:vAlign w:val="bottom"/>
          </w:tcPr>
          <w:p>
            <w:pPr>
              <w:spacing w:after="0"/>
              <w:rPr>
                <w:sz w:val="1"/>
                <w:szCs w:val="1"/>
                <w:color w:val="auto"/>
              </w:rPr>
            </w:pPr>
          </w:p>
        </w:tc>
      </w:tr>
      <w:tr>
        <w:trPr>
          <w:trHeight w:val="175"/>
        </w:trPr>
        <w:tc>
          <w:tcPr>
            <w:tcW w:w="100" w:type="dxa"/>
            <w:vAlign w:val="bottom"/>
            <w:shd w:val="clear" w:color="auto" w:fill="E5E7EF"/>
          </w:tcPr>
          <w:p>
            <w:pPr>
              <w:spacing w:after="0"/>
              <w:rPr>
                <w:sz w:val="15"/>
                <w:szCs w:val="15"/>
                <w:color w:val="auto"/>
              </w:rPr>
            </w:pPr>
          </w:p>
        </w:tc>
        <w:tc>
          <w:tcPr>
            <w:tcW w:w="280" w:type="dxa"/>
            <w:vAlign w:val="bottom"/>
            <w:vMerge w:val="restart"/>
            <w:shd w:val="clear" w:color="auto" w:fill="E5E7EF"/>
          </w:tcPr>
          <w:p>
            <w:pPr>
              <w:spacing w:after="0"/>
              <w:rPr>
                <w:sz w:val="20"/>
                <w:szCs w:val="20"/>
                <w:color w:val="auto"/>
              </w:rPr>
            </w:pPr>
            <w:r>
              <w:rPr>
                <w:rFonts w:ascii="Arial" w:cs="Arial" w:eastAsia="Arial" w:hAnsi="Arial"/>
                <w:sz w:val="16"/>
                <w:szCs w:val="16"/>
                <w:color w:val="003478"/>
                <w:w w:val="91"/>
                <w:shd w:val="clear" w:color="auto" w:fill="E5E7EF"/>
              </w:rPr>
              <w:t>Age</w:t>
            </w:r>
          </w:p>
        </w:tc>
        <w:tc>
          <w:tcPr>
            <w:tcW w:w="380" w:type="dxa"/>
            <w:vAlign w:val="bottom"/>
            <w:vMerge w:val="restart"/>
            <w:shd w:val="clear" w:color="auto" w:fill="E5E7EF"/>
          </w:tcPr>
          <w:p>
            <w:pPr>
              <w:jc w:val="right"/>
              <w:ind w:right="79"/>
              <w:spacing w:after="0"/>
              <w:rPr>
                <w:sz w:val="20"/>
                <w:szCs w:val="20"/>
                <w:color w:val="auto"/>
              </w:rPr>
            </w:pPr>
            <w:r>
              <w:rPr>
                <w:rFonts w:ascii="Arial" w:cs="Arial" w:eastAsia="Arial" w:hAnsi="Arial"/>
                <w:sz w:val="16"/>
                <w:szCs w:val="16"/>
                <w:color w:val="003478"/>
              </w:rPr>
              <w:t>62</w:t>
            </w:r>
          </w:p>
        </w:tc>
        <w:tc>
          <w:tcPr>
            <w:tcW w:w="380" w:type="dxa"/>
            <w:vAlign w:val="bottom"/>
            <w:shd w:val="clear" w:color="auto" w:fill="E5E7EF"/>
          </w:tcPr>
          <w:p>
            <w:pPr>
              <w:spacing w:after="0"/>
              <w:rPr>
                <w:sz w:val="15"/>
                <w:szCs w:val="15"/>
                <w:color w:val="auto"/>
              </w:rPr>
            </w:pPr>
          </w:p>
        </w:tc>
        <w:tc>
          <w:tcPr>
            <w:tcW w:w="400" w:type="dxa"/>
            <w:vAlign w:val="bottom"/>
            <w:shd w:val="clear" w:color="auto" w:fill="E5E7EF"/>
          </w:tcPr>
          <w:p>
            <w:pPr>
              <w:spacing w:after="0"/>
              <w:rPr>
                <w:sz w:val="15"/>
                <w:szCs w:val="15"/>
                <w:color w:val="auto"/>
              </w:rPr>
            </w:pPr>
          </w:p>
        </w:tc>
        <w:tc>
          <w:tcPr>
            <w:tcW w:w="860" w:type="dxa"/>
            <w:vAlign w:val="bottom"/>
            <w:shd w:val="clear" w:color="auto" w:fill="E5E7EF"/>
          </w:tcPr>
          <w:p>
            <w:pPr>
              <w:spacing w:after="0"/>
              <w:rPr>
                <w:sz w:val="15"/>
                <w:szCs w:val="15"/>
                <w:color w:val="auto"/>
              </w:rPr>
            </w:pPr>
          </w:p>
        </w:tc>
        <w:tc>
          <w:tcPr>
            <w:tcW w:w="8340" w:type="dxa"/>
            <w:vAlign w:val="bottom"/>
            <w:gridSpan w:val="3"/>
          </w:tcPr>
          <w:p>
            <w:pPr>
              <w:ind w:left="380"/>
              <w:spacing w:after="0" w:line="175" w:lineRule="exact"/>
              <w:rPr>
                <w:sz w:val="20"/>
                <w:szCs w:val="20"/>
                <w:color w:val="auto"/>
              </w:rPr>
            </w:pPr>
            <w:r>
              <w:rPr>
                <w:rFonts w:ascii="Calibri" w:cs="Calibri" w:eastAsia="Calibri" w:hAnsi="Calibri"/>
                <w:sz w:val="17"/>
                <w:szCs w:val="17"/>
                <w:color w:val="002E6D"/>
              </w:rPr>
              <w:t xml:space="preserve">•  </w:t>
            </w:r>
            <w:r>
              <w:rPr>
                <w:rFonts w:ascii="Calibri" w:cs="Calibri" w:eastAsia="Calibri" w:hAnsi="Calibri"/>
                <w:sz w:val="17"/>
                <w:szCs w:val="17"/>
                <w:color w:val="000000"/>
              </w:rPr>
              <w:t>Industry-specifc expertse from service as a U.S. Air Force ofcer and pilot and as an executve at Lockheed</w:t>
            </w:r>
          </w:p>
        </w:tc>
        <w:tc>
          <w:tcPr>
            <w:tcW w:w="0" w:type="dxa"/>
            <w:vAlign w:val="bottom"/>
          </w:tcPr>
          <w:p>
            <w:pPr>
              <w:spacing w:after="0"/>
              <w:rPr>
                <w:sz w:val="1"/>
                <w:szCs w:val="1"/>
                <w:color w:val="auto"/>
              </w:rPr>
            </w:pPr>
          </w:p>
        </w:tc>
      </w:tr>
      <w:tr>
        <w:trPr>
          <w:trHeight w:val="135"/>
        </w:trPr>
        <w:tc>
          <w:tcPr>
            <w:tcW w:w="100" w:type="dxa"/>
            <w:vAlign w:val="bottom"/>
            <w:shd w:val="clear" w:color="auto" w:fill="E5E7EF"/>
          </w:tcPr>
          <w:p>
            <w:pPr>
              <w:spacing w:after="0"/>
              <w:rPr>
                <w:sz w:val="11"/>
                <w:szCs w:val="11"/>
                <w:color w:val="auto"/>
              </w:rPr>
            </w:pPr>
          </w:p>
        </w:tc>
        <w:tc>
          <w:tcPr>
            <w:tcW w:w="280" w:type="dxa"/>
            <w:vAlign w:val="bottom"/>
            <w:vMerge w:val="continue"/>
            <w:shd w:val="clear" w:color="auto" w:fill="E5E7EF"/>
          </w:tcPr>
          <w:p>
            <w:pPr>
              <w:spacing w:after="0"/>
              <w:rPr>
                <w:sz w:val="11"/>
                <w:szCs w:val="11"/>
                <w:color w:val="auto"/>
              </w:rPr>
            </w:pPr>
          </w:p>
        </w:tc>
        <w:tc>
          <w:tcPr>
            <w:tcW w:w="380" w:type="dxa"/>
            <w:vAlign w:val="bottom"/>
            <w:vMerge w:val="continue"/>
            <w:shd w:val="clear" w:color="auto" w:fill="E5E7EF"/>
          </w:tcPr>
          <w:p>
            <w:pPr>
              <w:spacing w:after="0"/>
              <w:rPr>
                <w:sz w:val="11"/>
                <w:szCs w:val="11"/>
                <w:color w:val="auto"/>
              </w:rPr>
            </w:pPr>
          </w:p>
        </w:tc>
        <w:tc>
          <w:tcPr>
            <w:tcW w:w="380" w:type="dxa"/>
            <w:vAlign w:val="bottom"/>
            <w:shd w:val="clear" w:color="auto" w:fill="E5E7EF"/>
          </w:tcPr>
          <w:p>
            <w:pPr>
              <w:spacing w:after="0"/>
              <w:rPr>
                <w:sz w:val="11"/>
                <w:szCs w:val="11"/>
                <w:color w:val="auto"/>
              </w:rPr>
            </w:pPr>
          </w:p>
        </w:tc>
        <w:tc>
          <w:tcPr>
            <w:tcW w:w="400" w:type="dxa"/>
            <w:vAlign w:val="bottom"/>
            <w:shd w:val="clear" w:color="auto" w:fill="E5E7EF"/>
          </w:tcPr>
          <w:p>
            <w:pPr>
              <w:spacing w:after="0"/>
              <w:rPr>
                <w:sz w:val="11"/>
                <w:szCs w:val="11"/>
                <w:color w:val="auto"/>
              </w:rPr>
            </w:pPr>
          </w:p>
        </w:tc>
        <w:tc>
          <w:tcPr>
            <w:tcW w:w="860" w:type="dxa"/>
            <w:vAlign w:val="bottom"/>
            <w:shd w:val="clear" w:color="auto" w:fill="E5E7EF"/>
          </w:tcPr>
          <w:p>
            <w:pPr>
              <w:spacing w:after="0"/>
              <w:rPr>
                <w:sz w:val="11"/>
                <w:szCs w:val="11"/>
                <w:color w:val="auto"/>
              </w:rPr>
            </w:pPr>
          </w:p>
        </w:tc>
        <w:tc>
          <w:tcPr>
            <w:tcW w:w="5940" w:type="dxa"/>
            <w:vAlign w:val="bottom"/>
            <w:gridSpan w:val="2"/>
            <w:vMerge w:val="restart"/>
          </w:tcPr>
          <w:p>
            <w:pPr>
              <w:ind w:left="580"/>
              <w:spacing w:after="0" w:line="205" w:lineRule="exact"/>
              <w:rPr>
                <w:sz w:val="20"/>
                <w:szCs w:val="20"/>
                <w:color w:val="auto"/>
              </w:rPr>
            </w:pPr>
            <w:r>
              <w:rPr>
                <w:rFonts w:ascii="Calibri" w:cs="Calibri" w:eastAsia="Calibri" w:hAnsi="Calibri"/>
                <w:sz w:val="17"/>
                <w:szCs w:val="17"/>
                <w:color w:val="auto"/>
              </w:rPr>
              <w:t>Martn, Honeywell Aerospace Services and Prat &amp; Whitney</w:t>
            </w: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00" w:type="dxa"/>
            <w:vAlign w:val="bottom"/>
            <w:shd w:val="clear" w:color="auto" w:fill="E5E7EF"/>
          </w:tcPr>
          <w:p>
            <w:pPr>
              <w:spacing w:after="0"/>
              <w:rPr>
                <w:sz w:val="6"/>
                <w:szCs w:val="6"/>
                <w:color w:val="auto"/>
              </w:rPr>
            </w:pPr>
          </w:p>
        </w:tc>
        <w:tc>
          <w:tcPr>
            <w:tcW w:w="1040" w:type="dxa"/>
            <w:vAlign w:val="bottom"/>
            <w:gridSpan w:val="3"/>
            <w:vMerge w:val="restart"/>
            <w:shd w:val="clear" w:color="auto" w:fill="E5E7EF"/>
          </w:tcPr>
          <w:p>
            <w:pPr>
              <w:spacing w:after="0"/>
              <w:rPr>
                <w:sz w:val="20"/>
                <w:szCs w:val="20"/>
                <w:color w:val="auto"/>
              </w:rPr>
            </w:pPr>
            <w:r>
              <w:rPr>
                <w:rFonts w:ascii="Arial" w:cs="Arial" w:eastAsia="Arial" w:hAnsi="Arial"/>
                <w:sz w:val="16"/>
                <w:szCs w:val="16"/>
                <w:color w:val="003478"/>
                <w:shd w:val="clear" w:color="auto" w:fill="E5E7EF"/>
              </w:rPr>
              <w:t>Director since</w:t>
            </w:r>
          </w:p>
        </w:tc>
        <w:tc>
          <w:tcPr>
            <w:tcW w:w="400" w:type="dxa"/>
            <w:vAlign w:val="bottom"/>
            <w:vMerge w:val="restart"/>
            <w:shd w:val="clear" w:color="auto" w:fill="E5E7EF"/>
          </w:tcPr>
          <w:p>
            <w:pPr>
              <w:jc w:val="right"/>
              <w:spacing w:after="0"/>
              <w:rPr>
                <w:sz w:val="20"/>
                <w:szCs w:val="20"/>
                <w:color w:val="auto"/>
              </w:rPr>
            </w:pPr>
            <w:r>
              <w:rPr>
                <w:rFonts w:ascii="Arial" w:cs="Arial" w:eastAsia="Arial" w:hAnsi="Arial"/>
                <w:sz w:val="16"/>
                <w:szCs w:val="16"/>
                <w:color w:val="002E6D"/>
                <w:w w:val="95"/>
              </w:rPr>
              <w:t>2018</w:t>
            </w:r>
          </w:p>
        </w:tc>
        <w:tc>
          <w:tcPr>
            <w:tcW w:w="860" w:type="dxa"/>
            <w:vAlign w:val="bottom"/>
            <w:shd w:val="clear" w:color="auto" w:fill="E5E7EF"/>
          </w:tcPr>
          <w:p>
            <w:pPr>
              <w:spacing w:after="0"/>
              <w:rPr>
                <w:sz w:val="6"/>
                <w:szCs w:val="6"/>
                <w:color w:val="auto"/>
              </w:rPr>
            </w:pPr>
          </w:p>
        </w:tc>
        <w:tc>
          <w:tcPr>
            <w:tcW w:w="5940" w:type="dxa"/>
            <w:vAlign w:val="bottom"/>
            <w:gridSpan w:val="2"/>
            <w:vMerge w:val="continue"/>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shd w:val="clear" w:color="auto" w:fill="E5E7EF"/>
          </w:tcPr>
          <w:p>
            <w:pPr>
              <w:spacing w:after="0"/>
              <w:rPr>
                <w:sz w:val="22"/>
                <w:szCs w:val="22"/>
                <w:color w:val="auto"/>
              </w:rPr>
            </w:pPr>
          </w:p>
        </w:tc>
        <w:tc>
          <w:tcPr>
            <w:tcW w:w="1040" w:type="dxa"/>
            <w:vAlign w:val="bottom"/>
            <w:gridSpan w:val="3"/>
            <w:vMerge w:val="continue"/>
            <w:shd w:val="clear" w:color="auto" w:fill="E5E7EF"/>
          </w:tcPr>
          <w:p>
            <w:pPr>
              <w:spacing w:after="0"/>
              <w:rPr>
                <w:sz w:val="22"/>
                <w:szCs w:val="22"/>
                <w:color w:val="auto"/>
              </w:rPr>
            </w:pPr>
          </w:p>
        </w:tc>
        <w:tc>
          <w:tcPr>
            <w:tcW w:w="400" w:type="dxa"/>
            <w:vAlign w:val="bottom"/>
            <w:vMerge w:val="continue"/>
            <w:shd w:val="clear" w:color="auto" w:fill="E5E7EF"/>
          </w:tcPr>
          <w:p>
            <w:pPr>
              <w:spacing w:after="0"/>
              <w:rPr>
                <w:sz w:val="22"/>
                <w:szCs w:val="22"/>
                <w:color w:val="auto"/>
              </w:rPr>
            </w:pPr>
          </w:p>
        </w:tc>
        <w:tc>
          <w:tcPr>
            <w:tcW w:w="860" w:type="dxa"/>
            <w:vAlign w:val="bottom"/>
            <w:shd w:val="clear" w:color="auto" w:fill="E5E7EF"/>
          </w:tcPr>
          <w:p>
            <w:pPr>
              <w:spacing w:after="0"/>
              <w:rPr>
                <w:sz w:val="22"/>
                <w:szCs w:val="22"/>
                <w:color w:val="auto"/>
              </w:rPr>
            </w:pPr>
          </w:p>
        </w:tc>
        <w:tc>
          <w:tcPr>
            <w:tcW w:w="320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E5E7EF"/>
          </w:tcPr>
          <w:p>
            <w:pPr>
              <w:spacing w:after="0"/>
              <w:rPr>
                <w:sz w:val="17"/>
                <w:szCs w:val="17"/>
                <w:color w:val="auto"/>
              </w:rPr>
            </w:pPr>
          </w:p>
        </w:tc>
        <w:tc>
          <w:tcPr>
            <w:tcW w:w="2300" w:type="dxa"/>
            <w:vAlign w:val="bottom"/>
            <w:gridSpan w:val="5"/>
            <w:shd w:val="clear" w:color="auto" w:fill="E5E7EF"/>
          </w:tcPr>
          <w:p>
            <w:pPr>
              <w:spacing w:after="0"/>
              <w:rPr>
                <w:sz w:val="20"/>
                <w:szCs w:val="20"/>
                <w:color w:val="auto"/>
              </w:rPr>
            </w:pPr>
            <w:r>
              <w:rPr>
                <w:rFonts w:ascii="Arial" w:cs="Arial" w:eastAsia="Arial" w:hAnsi="Arial"/>
                <w:sz w:val="16"/>
                <w:szCs w:val="16"/>
                <w:color w:val="003478"/>
                <w:shd w:val="clear" w:color="auto" w:fill="E5E7EF"/>
              </w:rPr>
              <w:t>Chairman, President</w:t>
            </w:r>
          </w:p>
        </w:tc>
        <w:tc>
          <w:tcPr>
            <w:tcW w:w="32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E5E7EF"/>
          </w:tcPr>
          <w:p>
            <w:pPr>
              <w:spacing w:after="0"/>
              <w:rPr>
                <w:sz w:val="16"/>
                <w:szCs w:val="16"/>
                <w:color w:val="auto"/>
              </w:rPr>
            </w:pPr>
          </w:p>
        </w:tc>
        <w:tc>
          <w:tcPr>
            <w:tcW w:w="660" w:type="dxa"/>
            <w:vAlign w:val="bottom"/>
            <w:gridSpan w:val="2"/>
            <w:shd w:val="clear" w:color="auto" w:fill="E5E7EF"/>
          </w:tcPr>
          <w:p>
            <w:pPr>
              <w:spacing w:after="0"/>
              <w:rPr>
                <w:sz w:val="20"/>
                <w:szCs w:val="20"/>
                <w:color w:val="auto"/>
              </w:rPr>
            </w:pPr>
            <w:r>
              <w:rPr>
                <w:rFonts w:ascii="Arial" w:cs="Arial" w:eastAsia="Arial" w:hAnsi="Arial"/>
                <w:sz w:val="16"/>
                <w:szCs w:val="16"/>
                <w:color w:val="003478"/>
                <w:w w:val="97"/>
                <w:shd w:val="clear" w:color="auto" w:fill="E5E7EF"/>
              </w:rPr>
              <w:t>and CEO</w:t>
            </w:r>
          </w:p>
        </w:tc>
        <w:tc>
          <w:tcPr>
            <w:tcW w:w="780" w:type="dxa"/>
            <w:vAlign w:val="bottom"/>
            <w:gridSpan w:val="2"/>
            <w:shd w:val="clear" w:color="auto" w:fill="E5E7EF"/>
          </w:tcPr>
          <w:p>
            <w:pPr>
              <w:spacing w:after="0"/>
              <w:rPr>
                <w:sz w:val="16"/>
                <w:szCs w:val="16"/>
                <w:color w:val="auto"/>
              </w:rPr>
            </w:pPr>
          </w:p>
        </w:tc>
        <w:tc>
          <w:tcPr>
            <w:tcW w:w="860" w:type="dxa"/>
            <w:vAlign w:val="bottom"/>
            <w:shd w:val="clear" w:color="auto" w:fill="E5E7EF"/>
          </w:tcPr>
          <w:p>
            <w:pPr>
              <w:spacing w:after="0"/>
              <w:rPr>
                <w:sz w:val="16"/>
                <w:szCs w:val="16"/>
                <w:color w:val="auto"/>
              </w:rPr>
            </w:pPr>
          </w:p>
        </w:tc>
        <w:tc>
          <w:tcPr>
            <w:tcW w:w="3200" w:type="dxa"/>
            <w:vAlign w:val="bottom"/>
            <w:vMerge w:val="restart"/>
          </w:tcPr>
          <w:p>
            <w:pPr>
              <w:ind w:left="820"/>
              <w:spacing w:after="0"/>
              <w:rPr>
                <w:sz w:val="20"/>
                <w:szCs w:val="20"/>
                <w:color w:val="auto"/>
              </w:rPr>
            </w:pPr>
            <w:r>
              <w:rPr>
                <w:rFonts w:ascii="Calibri" w:cs="Calibri" w:eastAsia="Calibri" w:hAnsi="Calibri"/>
                <w:sz w:val="14"/>
                <w:szCs w:val="14"/>
                <w:color w:val="auto"/>
              </w:rPr>
              <w:t>21st Century Security / Defense</w:t>
            </w:r>
          </w:p>
        </w:tc>
        <w:tc>
          <w:tcPr>
            <w:tcW w:w="2740" w:type="dxa"/>
            <w:vAlign w:val="bottom"/>
            <w:vMerge w:val="restart"/>
          </w:tcPr>
          <w:p>
            <w:pPr>
              <w:ind w:left="320"/>
              <w:spacing w:after="0"/>
              <w:rPr>
                <w:sz w:val="20"/>
                <w:szCs w:val="20"/>
                <w:color w:val="auto"/>
              </w:rPr>
            </w:pPr>
            <w:r>
              <w:rPr>
                <w:rFonts w:ascii="Calibri" w:cs="Calibri" w:eastAsia="Calibri" w:hAnsi="Calibri"/>
                <w:sz w:val="14"/>
                <w:szCs w:val="14"/>
                <w:color w:val="auto"/>
              </w:rPr>
              <w:t>5G.MIL / Digital &amp; Networking Open</w:t>
            </w:r>
          </w:p>
        </w:tc>
        <w:tc>
          <w:tcPr>
            <w:tcW w:w="2400" w:type="dxa"/>
            <w:vAlign w:val="bottom"/>
            <w:vMerge w:val="restart"/>
          </w:tcPr>
          <w:p>
            <w:pPr>
              <w:ind w:left="280"/>
              <w:spacing w:after="0"/>
              <w:rPr>
                <w:sz w:val="20"/>
                <w:szCs w:val="20"/>
                <w:color w:val="auto"/>
              </w:rPr>
            </w:pPr>
            <w:r>
              <w:rPr>
                <w:rFonts w:ascii="Calibri" w:cs="Calibri" w:eastAsia="Calibri" w:hAnsi="Calibri"/>
                <w:sz w:val="14"/>
                <w:szCs w:val="14"/>
                <w:color w:val="auto"/>
              </w:rPr>
              <w:t>AI, Autonomy, Advanced Comms,</w:t>
            </w:r>
          </w:p>
        </w:tc>
        <w:tc>
          <w:tcPr>
            <w:tcW w:w="0" w:type="dxa"/>
            <w:vAlign w:val="bottom"/>
          </w:tcPr>
          <w:p>
            <w:pPr>
              <w:spacing w:after="0"/>
              <w:rPr>
                <w:sz w:val="1"/>
                <w:szCs w:val="1"/>
                <w:color w:val="auto"/>
              </w:rPr>
            </w:pPr>
          </w:p>
        </w:tc>
      </w:tr>
      <w:tr>
        <w:trPr>
          <w:trHeight w:val="75"/>
        </w:trPr>
        <w:tc>
          <w:tcPr>
            <w:tcW w:w="100" w:type="dxa"/>
            <w:vAlign w:val="bottom"/>
            <w:shd w:val="clear" w:color="auto" w:fill="E5E7EF"/>
          </w:tcPr>
          <w:p>
            <w:pPr>
              <w:spacing w:after="0"/>
              <w:rPr>
                <w:sz w:val="6"/>
                <w:szCs w:val="6"/>
                <w:color w:val="auto"/>
              </w:rPr>
            </w:pPr>
          </w:p>
        </w:tc>
        <w:tc>
          <w:tcPr>
            <w:tcW w:w="280" w:type="dxa"/>
            <w:vAlign w:val="bottom"/>
            <w:shd w:val="clear" w:color="auto" w:fill="E5E7EF"/>
          </w:tcPr>
          <w:p>
            <w:pPr>
              <w:spacing w:after="0"/>
              <w:rPr>
                <w:sz w:val="6"/>
                <w:szCs w:val="6"/>
                <w:color w:val="auto"/>
              </w:rPr>
            </w:pPr>
          </w:p>
        </w:tc>
        <w:tc>
          <w:tcPr>
            <w:tcW w:w="380" w:type="dxa"/>
            <w:vAlign w:val="bottom"/>
            <w:shd w:val="clear" w:color="auto" w:fill="E5E7EF"/>
          </w:tcPr>
          <w:p>
            <w:pPr>
              <w:spacing w:after="0"/>
              <w:rPr>
                <w:sz w:val="6"/>
                <w:szCs w:val="6"/>
                <w:color w:val="auto"/>
              </w:rPr>
            </w:pPr>
          </w:p>
        </w:tc>
        <w:tc>
          <w:tcPr>
            <w:tcW w:w="380" w:type="dxa"/>
            <w:vAlign w:val="bottom"/>
            <w:shd w:val="clear" w:color="auto" w:fill="E5E7EF"/>
          </w:tcPr>
          <w:p>
            <w:pPr>
              <w:spacing w:after="0"/>
              <w:rPr>
                <w:sz w:val="6"/>
                <w:szCs w:val="6"/>
                <w:color w:val="auto"/>
              </w:rPr>
            </w:pPr>
          </w:p>
        </w:tc>
        <w:tc>
          <w:tcPr>
            <w:tcW w:w="400" w:type="dxa"/>
            <w:vAlign w:val="bottom"/>
            <w:shd w:val="clear" w:color="auto" w:fill="E5E7EF"/>
          </w:tcPr>
          <w:p>
            <w:pPr>
              <w:spacing w:after="0"/>
              <w:rPr>
                <w:sz w:val="6"/>
                <w:szCs w:val="6"/>
                <w:color w:val="auto"/>
              </w:rPr>
            </w:pPr>
          </w:p>
        </w:tc>
        <w:tc>
          <w:tcPr>
            <w:tcW w:w="860" w:type="dxa"/>
            <w:vAlign w:val="bottom"/>
            <w:shd w:val="clear" w:color="auto" w:fill="E5E7EF"/>
          </w:tcPr>
          <w:p>
            <w:pPr>
              <w:spacing w:after="0"/>
              <w:rPr>
                <w:sz w:val="6"/>
                <w:szCs w:val="6"/>
                <w:color w:val="auto"/>
              </w:rPr>
            </w:pPr>
          </w:p>
        </w:tc>
        <w:tc>
          <w:tcPr>
            <w:tcW w:w="3200" w:type="dxa"/>
            <w:vAlign w:val="bottom"/>
            <w:vMerge w:val="continue"/>
          </w:tcPr>
          <w:p>
            <w:pPr>
              <w:spacing w:after="0"/>
              <w:rPr>
                <w:sz w:val="6"/>
                <w:szCs w:val="6"/>
                <w:color w:val="auto"/>
              </w:rPr>
            </w:pPr>
          </w:p>
        </w:tc>
        <w:tc>
          <w:tcPr>
            <w:tcW w:w="2740" w:type="dxa"/>
            <w:vAlign w:val="bottom"/>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00" w:type="dxa"/>
            <w:vAlign w:val="bottom"/>
            <w:shd w:val="clear" w:color="auto" w:fill="E5E7EF"/>
          </w:tcPr>
          <w:p>
            <w:pPr>
              <w:spacing w:after="0"/>
              <w:rPr>
                <w:sz w:val="19"/>
                <w:szCs w:val="19"/>
                <w:color w:val="auto"/>
              </w:rPr>
            </w:pPr>
          </w:p>
        </w:tc>
        <w:tc>
          <w:tcPr>
            <w:tcW w:w="2300" w:type="dxa"/>
            <w:vAlign w:val="bottom"/>
            <w:gridSpan w:val="5"/>
            <w:shd w:val="clear" w:color="auto" w:fill="E5E7EF"/>
          </w:tcPr>
          <w:p>
            <w:pPr>
              <w:spacing w:after="0"/>
              <w:rPr>
                <w:sz w:val="20"/>
                <w:szCs w:val="20"/>
                <w:color w:val="auto"/>
              </w:rPr>
            </w:pPr>
            <w:r>
              <w:rPr>
                <w:rFonts w:ascii="Arial" w:cs="Arial" w:eastAsia="Arial" w:hAnsi="Arial"/>
                <w:sz w:val="16"/>
                <w:szCs w:val="16"/>
                <w:color w:val="003478"/>
              </w:rPr>
              <w:t>Committees</w:t>
            </w:r>
          </w:p>
        </w:tc>
        <w:tc>
          <w:tcPr>
            <w:tcW w:w="3200" w:type="dxa"/>
            <w:vAlign w:val="bottom"/>
          </w:tcPr>
          <w:p>
            <w:pPr>
              <w:ind w:left="820"/>
              <w:spacing w:after="0"/>
              <w:rPr>
                <w:sz w:val="20"/>
                <w:szCs w:val="20"/>
                <w:color w:val="auto"/>
              </w:rPr>
            </w:pPr>
            <w:r>
              <w:rPr>
                <w:rFonts w:ascii="Calibri" w:cs="Calibri" w:eastAsia="Calibri" w:hAnsi="Calibri"/>
                <w:sz w:val="14"/>
                <w:szCs w:val="14"/>
                <w:color w:val="auto"/>
              </w:rPr>
              <w:t>Industry Transformaton</w:t>
            </w:r>
          </w:p>
        </w:tc>
        <w:tc>
          <w:tcPr>
            <w:tcW w:w="2740" w:type="dxa"/>
            <w:vAlign w:val="bottom"/>
          </w:tcPr>
          <w:p>
            <w:pPr>
              <w:ind w:left="320"/>
              <w:spacing w:after="0"/>
              <w:rPr>
                <w:sz w:val="20"/>
                <w:szCs w:val="20"/>
                <w:color w:val="auto"/>
              </w:rPr>
            </w:pPr>
            <w:r>
              <w:rPr>
                <w:rFonts w:ascii="Calibri" w:cs="Calibri" w:eastAsia="Calibri" w:hAnsi="Calibri"/>
                <w:sz w:val="14"/>
                <w:szCs w:val="14"/>
                <w:color w:val="auto"/>
              </w:rPr>
              <w:t>Architecture</w:t>
            </w:r>
          </w:p>
        </w:tc>
        <w:tc>
          <w:tcPr>
            <w:tcW w:w="2400" w:type="dxa"/>
            <w:vAlign w:val="bottom"/>
          </w:tcPr>
          <w:p>
            <w:pPr>
              <w:ind w:left="280"/>
              <w:spacing w:after="0"/>
              <w:rPr>
                <w:sz w:val="20"/>
                <w:szCs w:val="20"/>
                <w:color w:val="auto"/>
              </w:rPr>
            </w:pPr>
            <w:r>
              <w:rPr>
                <w:rFonts w:ascii="Calibri" w:cs="Calibri" w:eastAsia="Calibri" w:hAnsi="Calibri"/>
                <w:sz w:val="14"/>
                <w:szCs w:val="14"/>
                <w:color w:val="auto"/>
              </w:rPr>
              <w:t>Hypersonics, Space</w:t>
            </w:r>
          </w:p>
        </w:tc>
        <w:tc>
          <w:tcPr>
            <w:tcW w:w="0" w:type="dxa"/>
            <w:vAlign w:val="bottom"/>
          </w:tcPr>
          <w:p>
            <w:pPr>
              <w:spacing w:after="0"/>
              <w:rPr>
                <w:sz w:val="1"/>
                <w:szCs w:val="1"/>
                <w:color w:val="auto"/>
              </w:rPr>
            </w:pPr>
          </w:p>
        </w:tc>
      </w:tr>
      <w:tr>
        <w:trPr>
          <w:trHeight w:val="215"/>
        </w:trPr>
        <w:tc>
          <w:tcPr>
            <w:tcW w:w="100" w:type="dxa"/>
            <w:vAlign w:val="bottom"/>
            <w:shd w:val="clear" w:color="auto" w:fill="E5E7EF"/>
          </w:tcPr>
          <w:p>
            <w:pPr>
              <w:spacing w:after="0"/>
              <w:rPr>
                <w:sz w:val="18"/>
                <w:szCs w:val="18"/>
                <w:color w:val="auto"/>
              </w:rPr>
            </w:pPr>
          </w:p>
        </w:tc>
        <w:tc>
          <w:tcPr>
            <w:tcW w:w="2300" w:type="dxa"/>
            <w:vAlign w:val="bottom"/>
            <w:gridSpan w:val="5"/>
            <w:shd w:val="clear" w:color="auto" w:fill="E5E7EF"/>
          </w:tcPr>
          <w:p>
            <w:pPr>
              <w:spacing w:after="0"/>
              <w:rPr>
                <w:sz w:val="20"/>
                <w:szCs w:val="20"/>
                <w:color w:val="auto"/>
              </w:rPr>
            </w:pPr>
            <w:r>
              <w:rPr>
                <w:rFonts w:ascii="Arial" w:cs="Arial" w:eastAsia="Arial" w:hAnsi="Arial"/>
                <w:sz w:val="16"/>
                <w:szCs w:val="16"/>
                <w:color w:val="003478"/>
              </w:rPr>
              <w:t>None</w:t>
            </w:r>
          </w:p>
        </w:tc>
        <w:tc>
          <w:tcPr>
            <w:tcW w:w="3200" w:type="dxa"/>
            <w:vAlign w:val="bottom"/>
            <w:vMerge w:val="restart"/>
          </w:tcPr>
          <w:p>
            <w:pPr>
              <w:ind w:left="820"/>
              <w:spacing w:after="0"/>
              <w:rPr>
                <w:sz w:val="20"/>
                <w:szCs w:val="20"/>
                <w:color w:val="auto"/>
              </w:rPr>
            </w:pPr>
            <w:r>
              <w:rPr>
                <w:rFonts w:ascii="Calibri" w:cs="Calibri" w:eastAsia="Calibri" w:hAnsi="Calibri"/>
                <w:sz w:val="14"/>
                <w:szCs w:val="14"/>
                <w:color w:val="auto"/>
              </w:rPr>
              <w:t>Business and Digital Transformaton</w:t>
            </w:r>
          </w:p>
        </w:tc>
        <w:tc>
          <w:tcPr>
            <w:tcW w:w="2740" w:type="dxa"/>
            <w:vAlign w:val="bottom"/>
          </w:tcPr>
          <w:p>
            <w:pPr>
              <w:ind w:left="320"/>
              <w:spacing w:after="0"/>
              <w:rPr>
                <w:sz w:val="20"/>
                <w:szCs w:val="20"/>
                <w:color w:val="auto"/>
              </w:rPr>
            </w:pPr>
            <w:r>
              <w:rPr>
                <w:rFonts w:ascii="Calibri" w:cs="Calibri" w:eastAsia="Calibri" w:hAnsi="Calibri"/>
                <w:sz w:val="14"/>
                <w:szCs w:val="14"/>
                <w:color w:val="auto"/>
              </w:rPr>
              <w:t>Business Model / Commercial</w:t>
            </w:r>
          </w:p>
        </w:tc>
        <w:tc>
          <w:tcPr>
            <w:tcW w:w="2400" w:type="dxa"/>
            <w:vAlign w:val="bottom"/>
          </w:tcPr>
          <w:p>
            <w:pPr>
              <w:ind w:left="280"/>
              <w:spacing w:after="0"/>
              <w:rPr>
                <w:sz w:val="20"/>
                <w:szCs w:val="20"/>
                <w:color w:val="auto"/>
              </w:rPr>
            </w:pPr>
            <w:r>
              <w:rPr>
                <w:rFonts w:ascii="Calibri" w:cs="Calibri" w:eastAsia="Calibri" w:hAnsi="Calibri"/>
                <w:sz w:val="14"/>
                <w:szCs w:val="14"/>
                <w:color w:val="auto"/>
              </w:rPr>
              <w:t>CEO Leadership</w:t>
            </w:r>
          </w:p>
        </w:tc>
        <w:tc>
          <w:tcPr>
            <w:tcW w:w="0" w:type="dxa"/>
            <w:vAlign w:val="bottom"/>
          </w:tcPr>
          <w:p>
            <w:pPr>
              <w:spacing w:after="0"/>
              <w:rPr>
                <w:sz w:val="1"/>
                <w:szCs w:val="1"/>
                <w:color w:val="auto"/>
              </w:rPr>
            </w:pPr>
          </w:p>
        </w:tc>
      </w:tr>
      <w:tr>
        <w:trPr>
          <w:trHeight w:val="90"/>
        </w:trPr>
        <w:tc>
          <w:tcPr>
            <w:tcW w:w="100" w:type="dxa"/>
            <w:vAlign w:val="bottom"/>
            <w:shd w:val="clear" w:color="auto" w:fill="E5E7EF"/>
          </w:tcPr>
          <w:p>
            <w:pPr>
              <w:spacing w:after="0"/>
              <w:rPr>
                <w:sz w:val="7"/>
                <w:szCs w:val="7"/>
                <w:color w:val="auto"/>
              </w:rPr>
            </w:pPr>
          </w:p>
        </w:tc>
        <w:tc>
          <w:tcPr>
            <w:tcW w:w="1440" w:type="dxa"/>
            <w:vAlign w:val="bottom"/>
            <w:gridSpan w:val="4"/>
            <w:vMerge w:val="restart"/>
            <w:shd w:val="clear" w:color="auto" w:fill="E5E7EF"/>
          </w:tcPr>
          <w:p>
            <w:pPr>
              <w:spacing w:after="0"/>
              <w:rPr>
                <w:sz w:val="20"/>
                <w:szCs w:val="20"/>
                <w:color w:val="auto"/>
              </w:rPr>
            </w:pPr>
            <w:r>
              <w:rPr>
                <w:rFonts w:ascii="Arial" w:cs="Arial" w:eastAsia="Arial" w:hAnsi="Arial"/>
                <w:sz w:val="16"/>
                <w:szCs w:val="16"/>
                <w:color w:val="003478"/>
                <w:w w:val="99"/>
                <w:shd w:val="clear" w:color="auto" w:fill="E5E7EF"/>
              </w:rPr>
              <w:t>Other Public Boards</w:t>
            </w:r>
          </w:p>
        </w:tc>
        <w:tc>
          <w:tcPr>
            <w:tcW w:w="860" w:type="dxa"/>
            <w:vAlign w:val="bottom"/>
            <w:shd w:val="clear" w:color="auto" w:fill="E5E7EF"/>
          </w:tcPr>
          <w:p>
            <w:pPr>
              <w:spacing w:after="0"/>
              <w:rPr>
                <w:sz w:val="7"/>
                <w:szCs w:val="7"/>
                <w:color w:val="auto"/>
              </w:rPr>
            </w:pPr>
          </w:p>
        </w:tc>
        <w:tc>
          <w:tcPr>
            <w:tcW w:w="3200" w:type="dxa"/>
            <w:vAlign w:val="bottom"/>
            <w:vMerge w:val="continue"/>
          </w:tcPr>
          <w:p>
            <w:pPr>
              <w:spacing w:after="0"/>
              <w:rPr>
                <w:sz w:val="7"/>
                <w:szCs w:val="7"/>
                <w:color w:val="auto"/>
              </w:rPr>
            </w:pPr>
          </w:p>
        </w:tc>
        <w:tc>
          <w:tcPr>
            <w:tcW w:w="2740" w:type="dxa"/>
            <w:vAlign w:val="bottom"/>
            <w:vMerge w:val="restart"/>
          </w:tcPr>
          <w:p>
            <w:pPr>
              <w:ind w:left="320"/>
              <w:spacing w:after="0"/>
              <w:rPr>
                <w:sz w:val="20"/>
                <w:szCs w:val="20"/>
                <w:color w:val="auto"/>
              </w:rPr>
            </w:pPr>
            <w:r>
              <w:rPr>
                <w:rFonts w:ascii="Calibri" w:cs="Calibri" w:eastAsia="Calibri" w:hAnsi="Calibri"/>
                <w:sz w:val="14"/>
                <w:szCs w:val="14"/>
                <w:color w:val="auto"/>
              </w:rPr>
              <w:t>Partnerships</w:t>
            </w:r>
          </w:p>
        </w:tc>
        <w:tc>
          <w:tcPr>
            <w:tcW w:w="2400" w:type="dxa"/>
            <w:vAlign w:val="bottom"/>
            <w:vMerge w:val="restart"/>
          </w:tcPr>
          <w:p>
            <w:pPr>
              <w:ind w:left="280"/>
              <w:spacing w:after="0"/>
              <w:rPr>
                <w:sz w:val="20"/>
                <w:szCs w:val="20"/>
                <w:color w:val="auto"/>
              </w:rPr>
            </w:pPr>
            <w:r>
              <w:rPr>
                <w:rFonts w:ascii="Calibri" w:cs="Calibri" w:eastAsia="Calibri" w:hAnsi="Calibri"/>
                <w:sz w:val="14"/>
                <w:szCs w:val="14"/>
                <w:color w:val="auto"/>
              </w:rPr>
              <w:t>Experience</w:t>
            </w:r>
          </w:p>
        </w:tc>
        <w:tc>
          <w:tcPr>
            <w:tcW w:w="0" w:type="dxa"/>
            <w:vAlign w:val="bottom"/>
          </w:tcPr>
          <w:p>
            <w:pPr>
              <w:spacing w:after="0"/>
              <w:rPr>
                <w:sz w:val="1"/>
                <w:szCs w:val="1"/>
                <w:color w:val="auto"/>
              </w:rPr>
            </w:pPr>
          </w:p>
        </w:tc>
      </w:tr>
      <w:tr>
        <w:trPr>
          <w:trHeight w:val="81"/>
        </w:trPr>
        <w:tc>
          <w:tcPr>
            <w:tcW w:w="100" w:type="dxa"/>
            <w:vAlign w:val="bottom"/>
            <w:shd w:val="clear" w:color="auto" w:fill="E5E7EF"/>
          </w:tcPr>
          <w:p>
            <w:pPr>
              <w:spacing w:after="0"/>
              <w:rPr>
                <w:sz w:val="7"/>
                <w:szCs w:val="7"/>
                <w:color w:val="auto"/>
              </w:rPr>
            </w:pPr>
          </w:p>
        </w:tc>
        <w:tc>
          <w:tcPr>
            <w:tcW w:w="1440" w:type="dxa"/>
            <w:vAlign w:val="bottom"/>
            <w:gridSpan w:val="4"/>
            <w:vMerge w:val="continue"/>
            <w:shd w:val="clear" w:color="auto" w:fill="E5E7EF"/>
          </w:tcPr>
          <w:p>
            <w:pPr>
              <w:spacing w:after="0"/>
              <w:rPr>
                <w:sz w:val="7"/>
                <w:szCs w:val="7"/>
                <w:color w:val="auto"/>
              </w:rPr>
            </w:pPr>
          </w:p>
        </w:tc>
        <w:tc>
          <w:tcPr>
            <w:tcW w:w="860" w:type="dxa"/>
            <w:vAlign w:val="bottom"/>
            <w:shd w:val="clear" w:color="auto" w:fill="E5E7EF"/>
          </w:tcPr>
          <w:p>
            <w:pPr>
              <w:spacing w:after="0"/>
              <w:rPr>
                <w:sz w:val="7"/>
                <w:szCs w:val="7"/>
                <w:color w:val="auto"/>
              </w:rPr>
            </w:pPr>
          </w:p>
        </w:tc>
        <w:tc>
          <w:tcPr>
            <w:tcW w:w="32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00" w:type="dxa"/>
            <w:vAlign w:val="bottom"/>
            <w:shd w:val="clear" w:color="auto" w:fill="E5E7EF"/>
          </w:tcPr>
          <w:p>
            <w:pPr>
              <w:spacing w:after="0"/>
              <w:rPr>
                <w:sz w:val="9"/>
                <w:szCs w:val="9"/>
                <w:color w:val="auto"/>
              </w:rPr>
            </w:pPr>
          </w:p>
        </w:tc>
        <w:tc>
          <w:tcPr>
            <w:tcW w:w="1440" w:type="dxa"/>
            <w:vAlign w:val="bottom"/>
            <w:gridSpan w:val="4"/>
            <w:vMerge w:val="continue"/>
            <w:shd w:val="clear" w:color="auto" w:fill="E5E7EF"/>
          </w:tcPr>
          <w:p>
            <w:pPr>
              <w:spacing w:after="0"/>
              <w:rPr>
                <w:sz w:val="9"/>
                <w:szCs w:val="9"/>
                <w:color w:val="auto"/>
              </w:rPr>
            </w:pPr>
          </w:p>
        </w:tc>
        <w:tc>
          <w:tcPr>
            <w:tcW w:w="860" w:type="dxa"/>
            <w:vAlign w:val="bottom"/>
            <w:shd w:val="clear" w:color="auto" w:fill="E5E7EF"/>
          </w:tcPr>
          <w:p>
            <w:pPr>
              <w:spacing w:after="0"/>
              <w:rPr>
                <w:sz w:val="9"/>
                <w:szCs w:val="9"/>
                <w:color w:val="auto"/>
              </w:rPr>
            </w:pPr>
          </w:p>
        </w:tc>
        <w:tc>
          <w:tcPr>
            <w:tcW w:w="3200" w:type="dxa"/>
            <w:vAlign w:val="bottom"/>
          </w:tcPr>
          <w:p>
            <w:pPr>
              <w:spacing w:after="0"/>
              <w:rPr>
                <w:sz w:val="9"/>
                <w:szCs w:val="9"/>
                <w:color w:val="auto"/>
              </w:rPr>
            </w:pPr>
          </w:p>
        </w:tc>
        <w:tc>
          <w:tcPr>
            <w:tcW w:w="2740" w:type="dxa"/>
            <w:vAlign w:val="bottom"/>
            <w:vMerge w:val="restart"/>
          </w:tcPr>
          <w:p>
            <w:pPr>
              <w:ind w:left="320"/>
              <w:spacing w:after="0"/>
              <w:rPr>
                <w:sz w:val="20"/>
                <w:szCs w:val="20"/>
                <w:color w:val="auto"/>
              </w:rPr>
            </w:pPr>
            <w:r>
              <w:rPr>
                <w:rFonts w:ascii="Calibri" w:cs="Calibri" w:eastAsia="Calibri" w:hAnsi="Calibri"/>
                <w:sz w:val="14"/>
                <w:szCs w:val="14"/>
                <w:color w:val="auto"/>
              </w:rPr>
              <w:t>Environment, Social and Governance</w:t>
            </w: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E5E7EF"/>
          </w:tcPr>
          <w:p>
            <w:pPr>
              <w:spacing w:after="0"/>
              <w:rPr>
                <w:sz w:val="12"/>
                <w:szCs w:val="12"/>
                <w:color w:val="auto"/>
              </w:rPr>
            </w:pPr>
          </w:p>
        </w:tc>
        <w:tc>
          <w:tcPr>
            <w:tcW w:w="2300" w:type="dxa"/>
            <w:vAlign w:val="bottom"/>
            <w:gridSpan w:val="5"/>
            <w:vMerge w:val="restart"/>
            <w:shd w:val="clear" w:color="auto" w:fill="E5E7EF"/>
          </w:tcPr>
          <w:p>
            <w:pPr>
              <w:spacing w:after="0"/>
              <w:rPr>
                <w:sz w:val="20"/>
                <w:szCs w:val="20"/>
                <w:color w:val="auto"/>
              </w:rPr>
            </w:pPr>
            <w:r>
              <w:rPr>
                <w:rFonts w:ascii="Arial" w:cs="Arial" w:eastAsia="Arial" w:hAnsi="Arial"/>
                <w:sz w:val="16"/>
                <w:szCs w:val="16"/>
                <w:color w:val="003478"/>
              </w:rPr>
              <w:t>None</w:t>
            </w:r>
          </w:p>
        </w:tc>
        <w:tc>
          <w:tcPr>
            <w:tcW w:w="3200" w:type="dxa"/>
            <w:vAlign w:val="bottom"/>
            <w:vMerge w:val="restart"/>
          </w:tcPr>
          <w:p>
            <w:pPr>
              <w:ind w:left="820"/>
              <w:spacing w:after="0"/>
              <w:rPr>
                <w:sz w:val="20"/>
                <w:szCs w:val="20"/>
                <w:color w:val="auto"/>
              </w:rPr>
            </w:pPr>
            <w:r>
              <w:rPr>
                <w:rFonts w:ascii="Calibri" w:cs="Calibri" w:eastAsia="Calibri" w:hAnsi="Calibri"/>
                <w:sz w:val="14"/>
                <w:szCs w:val="14"/>
                <w:color w:val="auto"/>
              </w:rPr>
              <w:t>Cybersecurity Expertse</w:t>
            </w:r>
          </w:p>
        </w:tc>
        <w:tc>
          <w:tcPr>
            <w:tcW w:w="2740" w:type="dxa"/>
            <w:vAlign w:val="bottom"/>
            <w:vMerge w:val="continue"/>
          </w:tcPr>
          <w:p>
            <w:pPr>
              <w:spacing w:after="0"/>
              <w:rPr>
                <w:sz w:val="12"/>
                <w:szCs w:val="12"/>
                <w:color w:val="auto"/>
              </w:rPr>
            </w:pPr>
          </w:p>
        </w:tc>
        <w:tc>
          <w:tcPr>
            <w:tcW w:w="2400" w:type="dxa"/>
            <w:vAlign w:val="bottom"/>
            <w:vMerge w:val="restart"/>
          </w:tcPr>
          <w:p>
            <w:pPr>
              <w:ind w:left="280"/>
              <w:spacing w:after="0"/>
              <w:rPr>
                <w:sz w:val="20"/>
                <w:szCs w:val="20"/>
                <w:color w:val="auto"/>
              </w:rPr>
            </w:pPr>
            <w:r>
              <w:rPr>
                <w:rFonts w:ascii="Calibri" w:cs="Calibri" w:eastAsia="Calibri" w:hAnsi="Calibri"/>
                <w:sz w:val="14"/>
                <w:szCs w:val="14"/>
                <w:color w:val="auto"/>
              </w:rPr>
              <w:t>Financial Expertse</w:t>
            </w:r>
          </w:p>
        </w:tc>
        <w:tc>
          <w:tcPr>
            <w:tcW w:w="0" w:type="dxa"/>
            <w:vAlign w:val="bottom"/>
          </w:tcPr>
          <w:p>
            <w:pPr>
              <w:spacing w:after="0"/>
              <w:rPr>
                <w:sz w:val="1"/>
                <w:szCs w:val="1"/>
                <w:color w:val="auto"/>
              </w:rPr>
            </w:pPr>
          </w:p>
        </w:tc>
      </w:tr>
      <w:tr>
        <w:trPr>
          <w:trHeight w:val="95"/>
        </w:trPr>
        <w:tc>
          <w:tcPr>
            <w:tcW w:w="100" w:type="dxa"/>
            <w:vAlign w:val="bottom"/>
            <w:shd w:val="clear" w:color="auto" w:fill="E5E7EF"/>
          </w:tcPr>
          <w:p>
            <w:pPr>
              <w:spacing w:after="0"/>
              <w:rPr>
                <w:sz w:val="8"/>
                <w:szCs w:val="8"/>
                <w:color w:val="auto"/>
              </w:rPr>
            </w:pPr>
          </w:p>
        </w:tc>
        <w:tc>
          <w:tcPr>
            <w:tcW w:w="2300" w:type="dxa"/>
            <w:vAlign w:val="bottom"/>
            <w:gridSpan w:val="5"/>
            <w:vMerge w:val="continue"/>
            <w:shd w:val="clear" w:color="auto" w:fill="E5E7EF"/>
          </w:tcPr>
          <w:p>
            <w:pPr>
              <w:spacing w:after="0"/>
              <w:rPr>
                <w:sz w:val="8"/>
                <w:szCs w:val="8"/>
                <w:color w:val="auto"/>
              </w:rPr>
            </w:pPr>
          </w:p>
        </w:tc>
        <w:tc>
          <w:tcPr>
            <w:tcW w:w="3200" w:type="dxa"/>
            <w:vAlign w:val="bottom"/>
            <w:vMerge w:val="continue"/>
          </w:tcPr>
          <w:p>
            <w:pPr>
              <w:spacing w:after="0"/>
              <w:rPr>
                <w:sz w:val="8"/>
                <w:szCs w:val="8"/>
                <w:color w:val="auto"/>
              </w:rPr>
            </w:pPr>
          </w:p>
        </w:tc>
        <w:tc>
          <w:tcPr>
            <w:tcW w:w="2740" w:type="dxa"/>
            <w:vAlign w:val="bottom"/>
            <w:vMerge w:val="restart"/>
          </w:tcPr>
          <w:p>
            <w:pPr>
              <w:ind w:left="320"/>
              <w:spacing w:after="0"/>
              <w:rPr>
                <w:sz w:val="20"/>
                <w:szCs w:val="20"/>
                <w:color w:val="auto"/>
              </w:rPr>
            </w:pPr>
            <w:r>
              <w:rPr>
                <w:rFonts w:ascii="Calibri" w:cs="Calibri" w:eastAsia="Calibri" w:hAnsi="Calibri"/>
                <w:sz w:val="14"/>
                <w:szCs w:val="14"/>
                <w:color w:val="auto"/>
              </w:rPr>
              <w:t>Expertse</w:t>
            </w: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E5E7EF"/>
          </w:tcPr>
          <w:p>
            <w:pPr>
              <w:spacing w:after="0"/>
              <w:rPr>
                <w:sz w:val="7"/>
                <w:szCs w:val="7"/>
                <w:color w:val="auto"/>
              </w:rPr>
            </w:pPr>
          </w:p>
        </w:tc>
        <w:tc>
          <w:tcPr>
            <w:tcW w:w="280" w:type="dxa"/>
            <w:vAlign w:val="bottom"/>
            <w:shd w:val="clear" w:color="auto" w:fill="E5E7EF"/>
          </w:tcPr>
          <w:p>
            <w:pPr>
              <w:spacing w:after="0"/>
              <w:rPr>
                <w:sz w:val="7"/>
                <w:szCs w:val="7"/>
                <w:color w:val="auto"/>
              </w:rPr>
            </w:pPr>
          </w:p>
        </w:tc>
        <w:tc>
          <w:tcPr>
            <w:tcW w:w="380" w:type="dxa"/>
            <w:vAlign w:val="bottom"/>
            <w:shd w:val="clear" w:color="auto" w:fill="E5E7EF"/>
          </w:tcPr>
          <w:p>
            <w:pPr>
              <w:spacing w:after="0"/>
              <w:rPr>
                <w:sz w:val="7"/>
                <w:szCs w:val="7"/>
                <w:color w:val="auto"/>
              </w:rPr>
            </w:pPr>
          </w:p>
        </w:tc>
        <w:tc>
          <w:tcPr>
            <w:tcW w:w="380" w:type="dxa"/>
            <w:vAlign w:val="bottom"/>
            <w:shd w:val="clear" w:color="auto" w:fill="E5E7EF"/>
          </w:tcPr>
          <w:p>
            <w:pPr>
              <w:spacing w:after="0"/>
              <w:rPr>
                <w:sz w:val="7"/>
                <w:szCs w:val="7"/>
                <w:color w:val="auto"/>
              </w:rPr>
            </w:pPr>
          </w:p>
        </w:tc>
        <w:tc>
          <w:tcPr>
            <w:tcW w:w="400" w:type="dxa"/>
            <w:vAlign w:val="bottom"/>
            <w:shd w:val="clear" w:color="auto" w:fill="E5E7EF"/>
          </w:tcPr>
          <w:p>
            <w:pPr>
              <w:spacing w:after="0"/>
              <w:rPr>
                <w:sz w:val="7"/>
                <w:szCs w:val="7"/>
                <w:color w:val="auto"/>
              </w:rPr>
            </w:pPr>
          </w:p>
        </w:tc>
        <w:tc>
          <w:tcPr>
            <w:tcW w:w="860" w:type="dxa"/>
            <w:vAlign w:val="bottom"/>
            <w:shd w:val="clear" w:color="auto" w:fill="E5E7EF"/>
          </w:tcPr>
          <w:p>
            <w:pPr>
              <w:spacing w:after="0"/>
              <w:rPr>
                <w:sz w:val="7"/>
                <w:szCs w:val="7"/>
                <w:color w:val="auto"/>
              </w:rPr>
            </w:pPr>
          </w:p>
        </w:tc>
        <w:tc>
          <w:tcPr>
            <w:tcW w:w="32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100" w:type="dxa"/>
            <w:vAlign w:val="bottom"/>
            <w:shd w:val="clear" w:color="auto" w:fill="E5E7EF"/>
          </w:tcPr>
          <w:p>
            <w:pPr>
              <w:spacing w:after="0"/>
              <w:rPr>
                <w:sz w:val="24"/>
                <w:szCs w:val="24"/>
                <w:color w:val="auto"/>
              </w:rPr>
            </w:pPr>
          </w:p>
        </w:tc>
        <w:tc>
          <w:tcPr>
            <w:tcW w:w="280" w:type="dxa"/>
            <w:vAlign w:val="bottom"/>
            <w:shd w:val="clear" w:color="auto" w:fill="E5E7EF"/>
          </w:tcPr>
          <w:p>
            <w:pPr>
              <w:spacing w:after="0"/>
              <w:rPr>
                <w:sz w:val="24"/>
                <w:szCs w:val="24"/>
                <w:color w:val="auto"/>
              </w:rPr>
            </w:pPr>
          </w:p>
        </w:tc>
        <w:tc>
          <w:tcPr>
            <w:tcW w:w="380" w:type="dxa"/>
            <w:vAlign w:val="bottom"/>
            <w:shd w:val="clear" w:color="auto" w:fill="E5E7EF"/>
          </w:tcPr>
          <w:p>
            <w:pPr>
              <w:spacing w:after="0"/>
              <w:rPr>
                <w:sz w:val="24"/>
                <w:szCs w:val="24"/>
                <w:color w:val="auto"/>
              </w:rPr>
            </w:pPr>
          </w:p>
        </w:tc>
        <w:tc>
          <w:tcPr>
            <w:tcW w:w="380" w:type="dxa"/>
            <w:vAlign w:val="bottom"/>
            <w:shd w:val="clear" w:color="auto" w:fill="E5E7EF"/>
          </w:tcPr>
          <w:p>
            <w:pPr>
              <w:spacing w:after="0"/>
              <w:rPr>
                <w:sz w:val="24"/>
                <w:szCs w:val="24"/>
                <w:color w:val="auto"/>
              </w:rPr>
            </w:pPr>
          </w:p>
        </w:tc>
        <w:tc>
          <w:tcPr>
            <w:tcW w:w="400" w:type="dxa"/>
            <w:vAlign w:val="bottom"/>
            <w:shd w:val="clear" w:color="auto" w:fill="E5E7EF"/>
          </w:tcPr>
          <w:p>
            <w:pPr>
              <w:spacing w:after="0"/>
              <w:rPr>
                <w:sz w:val="24"/>
                <w:szCs w:val="24"/>
                <w:color w:val="auto"/>
              </w:rPr>
            </w:pPr>
          </w:p>
        </w:tc>
        <w:tc>
          <w:tcPr>
            <w:tcW w:w="860" w:type="dxa"/>
            <w:vAlign w:val="bottom"/>
            <w:shd w:val="clear" w:color="auto" w:fill="E5E7EF"/>
          </w:tcPr>
          <w:p>
            <w:pPr>
              <w:spacing w:after="0"/>
              <w:rPr>
                <w:sz w:val="24"/>
                <w:szCs w:val="24"/>
                <w:color w:val="auto"/>
              </w:rPr>
            </w:pPr>
          </w:p>
        </w:tc>
        <w:tc>
          <w:tcPr>
            <w:tcW w:w="3200" w:type="dxa"/>
            <w:vAlign w:val="bottom"/>
          </w:tcPr>
          <w:p>
            <w:pPr>
              <w:ind w:left="820"/>
              <w:spacing w:after="0"/>
              <w:rPr>
                <w:sz w:val="20"/>
                <w:szCs w:val="20"/>
                <w:color w:val="auto"/>
              </w:rPr>
            </w:pPr>
            <w:r>
              <w:rPr>
                <w:rFonts w:ascii="Calibri" w:cs="Calibri" w:eastAsia="Calibri" w:hAnsi="Calibri"/>
                <w:sz w:val="14"/>
                <w:szCs w:val="14"/>
                <w:color w:val="auto"/>
              </w:rPr>
              <w:t>Internatonal Business Expansion</w:t>
            </w:r>
          </w:p>
        </w:tc>
        <w:tc>
          <w:tcPr>
            <w:tcW w:w="2740" w:type="dxa"/>
            <w:vAlign w:val="bottom"/>
          </w:tcPr>
          <w:p>
            <w:pPr>
              <w:ind w:left="320"/>
              <w:spacing w:after="0"/>
              <w:rPr>
                <w:sz w:val="20"/>
                <w:szCs w:val="20"/>
                <w:color w:val="auto"/>
              </w:rPr>
            </w:pPr>
            <w:r>
              <w:rPr>
                <w:rFonts w:ascii="Calibri" w:cs="Calibri" w:eastAsia="Calibri" w:hAnsi="Calibri"/>
                <w:sz w:val="14"/>
                <w:szCs w:val="14"/>
                <w:color w:val="auto"/>
              </w:rPr>
              <w:t>M&amp;A Expertse</w:t>
            </w:r>
          </w:p>
        </w:tc>
        <w:tc>
          <w:tcPr>
            <w:tcW w:w="2400" w:type="dxa"/>
            <w:vAlign w:val="bottom"/>
          </w:tcPr>
          <w:p>
            <w:pPr>
              <w:ind w:left="280"/>
              <w:spacing w:after="0"/>
              <w:rPr>
                <w:sz w:val="20"/>
                <w:szCs w:val="20"/>
                <w:color w:val="auto"/>
              </w:rPr>
            </w:pPr>
            <w:r>
              <w:rPr>
                <w:rFonts w:ascii="Calibri" w:cs="Calibri" w:eastAsia="Calibri" w:hAnsi="Calibri"/>
                <w:sz w:val="14"/>
                <w:szCs w:val="14"/>
                <w:color w:val="auto"/>
              </w:rPr>
              <w:t>Operatonal Executon and Efciency</w:t>
            </w:r>
          </w:p>
        </w:tc>
        <w:tc>
          <w:tcPr>
            <w:tcW w:w="0" w:type="dxa"/>
            <w:vAlign w:val="bottom"/>
          </w:tcPr>
          <w:p>
            <w:pPr>
              <w:spacing w:after="0"/>
              <w:rPr>
                <w:sz w:val="1"/>
                <w:szCs w:val="1"/>
                <w:color w:val="auto"/>
              </w:rPr>
            </w:pPr>
          </w:p>
        </w:tc>
      </w:tr>
      <w:tr>
        <w:trPr>
          <w:trHeight w:val="405"/>
        </w:trPr>
        <w:tc>
          <w:tcPr>
            <w:tcW w:w="100" w:type="dxa"/>
            <w:vAlign w:val="bottom"/>
            <w:shd w:val="clear" w:color="auto" w:fill="E5E7EF"/>
          </w:tcPr>
          <w:p>
            <w:pPr>
              <w:spacing w:after="0"/>
              <w:rPr>
                <w:sz w:val="24"/>
                <w:szCs w:val="24"/>
                <w:color w:val="auto"/>
              </w:rPr>
            </w:pPr>
          </w:p>
        </w:tc>
        <w:tc>
          <w:tcPr>
            <w:tcW w:w="280" w:type="dxa"/>
            <w:vAlign w:val="bottom"/>
            <w:shd w:val="clear" w:color="auto" w:fill="E5E7EF"/>
          </w:tcPr>
          <w:p>
            <w:pPr>
              <w:spacing w:after="0"/>
              <w:rPr>
                <w:sz w:val="24"/>
                <w:szCs w:val="24"/>
                <w:color w:val="auto"/>
              </w:rPr>
            </w:pPr>
          </w:p>
        </w:tc>
        <w:tc>
          <w:tcPr>
            <w:tcW w:w="380" w:type="dxa"/>
            <w:vAlign w:val="bottom"/>
            <w:shd w:val="clear" w:color="auto" w:fill="E5E7EF"/>
          </w:tcPr>
          <w:p>
            <w:pPr>
              <w:spacing w:after="0"/>
              <w:rPr>
                <w:sz w:val="24"/>
                <w:szCs w:val="24"/>
                <w:color w:val="auto"/>
              </w:rPr>
            </w:pPr>
          </w:p>
        </w:tc>
        <w:tc>
          <w:tcPr>
            <w:tcW w:w="380" w:type="dxa"/>
            <w:vAlign w:val="bottom"/>
            <w:shd w:val="clear" w:color="auto" w:fill="E5E7EF"/>
          </w:tcPr>
          <w:p>
            <w:pPr>
              <w:spacing w:after="0"/>
              <w:rPr>
                <w:sz w:val="24"/>
                <w:szCs w:val="24"/>
                <w:color w:val="auto"/>
              </w:rPr>
            </w:pPr>
          </w:p>
        </w:tc>
        <w:tc>
          <w:tcPr>
            <w:tcW w:w="400" w:type="dxa"/>
            <w:vAlign w:val="bottom"/>
            <w:shd w:val="clear" w:color="auto" w:fill="E5E7EF"/>
          </w:tcPr>
          <w:p>
            <w:pPr>
              <w:spacing w:after="0"/>
              <w:rPr>
                <w:sz w:val="24"/>
                <w:szCs w:val="24"/>
                <w:color w:val="auto"/>
              </w:rPr>
            </w:pPr>
          </w:p>
        </w:tc>
        <w:tc>
          <w:tcPr>
            <w:tcW w:w="860" w:type="dxa"/>
            <w:vAlign w:val="bottom"/>
            <w:shd w:val="clear" w:color="auto" w:fill="E5E7EF"/>
          </w:tcPr>
          <w:p>
            <w:pPr>
              <w:spacing w:after="0"/>
              <w:rPr>
                <w:sz w:val="24"/>
                <w:szCs w:val="24"/>
                <w:color w:val="auto"/>
              </w:rPr>
            </w:pPr>
          </w:p>
        </w:tc>
        <w:tc>
          <w:tcPr>
            <w:tcW w:w="3200" w:type="dxa"/>
            <w:vAlign w:val="bottom"/>
          </w:tcPr>
          <w:p>
            <w:pPr>
              <w:ind w:left="820"/>
              <w:spacing w:after="0"/>
              <w:rPr>
                <w:sz w:val="20"/>
                <w:szCs w:val="20"/>
                <w:color w:val="auto"/>
              </w:rPr>
            </w:pPr>
            <w:r>
              <w:rPr>
                <w:rFonts w:ascii="Calibri" w:cs="Calibri" w:eastAsia="Calibri" w:hAnsi="Calibri"/>
                <w:sz w:val="14"/>
                <w:szCs w:val="14"/>
                <w:color w:val="auto"/>
              </w:rPr>
              <w:t>Supply Chain Excellence</w:t>
            </w:r>
          </w:p>
        </w:tc>
        <w:tc>
          <w:tcPr>
            <w:tcW w:w="2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 w:type="dxa"/>
            <w:vAlign w:val="bottom"/>
            <w:shd w:val="clear" w:color="auto" w:fill="E5E7EF"/>
          </w:tcPr>
          <w:p>
            <w:pPr>
              <w:spacing w:after="0"/>
              <w:rPr>
                <w:sz w:val="12"/>
                <w:szCs w:val="12"/>
                <w:color w:val="auto"/>
              </w:rPr>
            </w:pPr>
          </w:p>
        </w:tc>
        <w:tc>
          <w:tcPr>
            <w:tcW w:w="280" w:type="dxa"/>
            <w:vAlign w:val="bottom"/>
            <w:shd w:val="clear" w:color="auto" w:fill="E5E7EF"/>
          </w:tcPr>
          <w:p>
            <w:pPr>
              <w:spacing w:after="0"/>
              <w:rPr>
                <w:sz w:val="12"/>
                <w:szCs w:val="12"/>
                <w:color w:val="auto"/>
              </w:rPr>
            </w:pPr>
          </w:p>
        </w:tc>
        <w:tc>
          <w:tcPr>
            <w:tcW w:w="380" w:type="dxa"/>
            <w:vAlign w:val="bottom"/>
            <w:shd w:val="clear" w:color="auto" w:fill="E5E7EF"/>
          </w:tcPr>
          <w:p>
            <w:pPr>
              <w:spacing w:after="0"/>
              <w:rPr>
                <w:sz w:val="12"/>
                <w:szCs w:val="12"/>
                <w:color w:val="auto"/>
              </w:rPr>
            </w:pPr>
          </w:p>
        </w:tc>
        <w:tc>
          <w:tcPr>
            <w:tcW w:w="380" w:type="dxa"/>
            <w:vAlign w:val="bottom"/>
            <w:shd w:val="clear" w:color="auto" w:fill="E5E7EF"/>
          </w:tcPr>
          <w:p>
            <w:pPr>
              <w:spacing w:after="0"/>
              <w:rPr>
                <w:sz w:val="12"/>
                <w:szCs w:val="12"/>
                <w:color w:val="auto"/>
              </w:rPr>
            </w:pPr>
          </w:p>
        </w:tc>
        <w:tc>
          <w:tcPr>
            <w:tcW w:w="400" w:type="dxa"/>
            <w:vAlign w:val="bottom"/>
            <w:shd w:val="clear" w:color="auto" w:fill="E5E7EF"/>
          </w:tcPr>
          <w:p>
            <w:pPr>
              <w:spacing w:after="0"/>
              <w:rPr>
                <w:sz w:val="12"/>
                <w:szCs w:val="12"/>
                <w:color w:val="auto"/>
              </w:rPr>
            </w:pPr>
          </w:p>
        </w:tc>
        <w:tc>
          <w:tcPr>
            <w:tcW w:w="860" w:type="dxa"/>
            <w:vAlign w:val="bottom"/>
            <w:shd w:val="clear" w:color="auto" w:fill="E5E7EF"/>
          </w:tcPr>
          <w:p>
            <w:pPr>
              <w:spacing w:after="0"/>
              <w:rPr>
                <w:sz w:val="12"/>
                <w:szCs w:val="12"/>
                <w:color w:val="auto"/>
              </w:rPr>
            </w:pPr>
          </w:p>
        </w:tc>
        <w:tc>
          <w:tcPr>
            <w:tcW w:w="3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tabs>
          <w:tab w:leader="none" w:pos="180" w:val="left"/>
        </w:tabs>
        <w:rPr>
          <w:sz w:val="20"/>
          <w:szCs w:val="20"/>
          <w:color w:val="auto"/>
        </w:rPr>
      </w:pPr>
      <w:r>
        <w:rPr>
          <w:rFonts w:ascii="Calibri" w:cs="Calibri" w:eastAsia="Calibri" w:hAnsi="Calibri"/>
          <w:sz w:val="14"/>
          <w:szCs w:val="14"/>
          <w:color w:val="auto"/>
        </w:rPr>
        <w:t>*</w:t>
        <w:tab/>
        <w:t>Other public board commitees are listed on page 6.</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6986270" cy="3308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86270" cy="3308985"/>
                    </a:xfrm>
                    <a:prstGeom prst="rect">
                      <a:avLst/>
                    </a:prstGeom>
                    <a:noFill/>
                  </pic:spPr>
                </pic:pic>
              </a:graphicData>
            </a:graphic>
          </wp:anchor>
        </w:drawing>
      </w:r>
    </w:p>
    <w:p>
      <w:pPr>
        <w:sectPr>
          <w:pgSz w:w="11900" w:h="16838" w:orient="portrait"/>
          <w:cols w:equalWidth="0" w:num="1">
            <w:col w:w="10880"/>
          </w:cols>
          <w:pgMar w:left="320" w:top="23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17"/>
          <w:szCs w:val="17"/>
          <w:color w:val="003478"/>
          <w:shd w:val="clear" w:color="auto" w:fill="E5E7EF"/>
        </w:rPr>
        <w:t>Patricia E. Yarrington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66</w:t>
      </w:r>
    </w:p>
    <w:p>
      <w:pPr>
        <w:spacing w:after="0" w:line="140" w:lineRule="exact"/>
        <w:rPr>
          <w:sz w:val="20"/>
          <w:szCs w:val="20"/>
          <w:color w:val="auto"/>
        </w:rPr>
      </w:pPr>
    </w:p>
    <w:p>
      <w:pPr>
        <w:ind w:left="220" w:right="440"/>
        <w:spacing w:after="0" w:line="304" w:lineRule="auto"/>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2021</w:t>
      </w:r>
      <w:r>
        <w:rPr>
          <w:rFonts w:ascii="Arial" w:cs="Arial" w:eastAsia="Arial" w:hAnsi="Arial"/>
          <w:sz w:val="16"/>
          <w:szCs w:val="16"/>
          <w:color w:val="003478"/>
          <w:shd w:val="clear" w:color="auto" w:fill="E5E7EF"/>
        </w:rPr>
        <w:t xml:space="preserve"> Independent Director</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Audit; Management</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Development and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Compensation</w:t>
      </w:r>
    </w:p>
    <w:p>
      <w:pPr>
        <w:spacing w:after="0" w:line="114" w:lineRule="exact"/>
        <w:rPr>
          <w:sz w:val="20"/>
          <w:szCs w:val="20"/>
          <w:color w:val="auto"/>
        </w:rPr>
      </w:pPr>
    </w:p>
    <w:p>
      <w:pPr>
        <w:ind w:left="220" w:right="500"/>
        <w:spacing w:after="0" w:line="304" w:lineRule="auto"/>
        <w:rPr>
          <w:sz w:val="20"/>
          <w:szCs w:val="20"/>
          <w:color w:val="auto"/>
        </w:rPr>
      </w:pPr>
      <w:r>
        <w:rPr>
          <w:rFonts w:ascii="Arial" w:cs="Arial" w:eastAsia="Arial" w:hAnsi="Arial"/>
          <w:sz w:val="16"/>
          <w:szCs w:val="16"/>
          <w:color w:val="003478"/>
          <w:shd w:val="clear" w:color="auto" w:fill="E5E7EF"/>
        </w:rPr>
        <w:t xml:space="preserve">Other Public Boards </w:t>
      </w:r>
      <w:r>
        <w:rPr>
          <w:rFonts w:ascii="Arial" w:cs="Arial" w:eastAsia="Arial" w:hAnsi="Arial"/>
          <w:sz w:val="16"/>
          <w:szCs w:val="16"/>
          <w:color w:val="003478"/>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750570</wp:posOffset>
            </wp:positionV>
            <wp:extent cx="107188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003478"/>
        </w:rPr>
        <w:t>Biography</w:t>
      </w:r>
    </w:p>
    <w:p>
      <w:pPr>
        <w:spacing w:after="0" w:line="31" w:lineRule="exact"/>
        <w:rPr>
          <w:sz w:val="20"/>
          <w:szCs w:val="20"/>
          <w:color w:val="auto"/>
        </w:rPr>
      </w:pPr>
    </w:p>
    <w:p>
      <w:pPr>
        <w:ind w:right="60"/>
        <w:spacing w:after="0" w:line="244" w:lineRule="auto"/>
        <w:rPr>
          <w:sz w:val="20"/>
          <w:szCs w:val="20"/>
          <w:color w:val="auto"/>
        </w:rPr>
      </w:pPr>
      <w:r>
        <w:rPr>
          <w:rFonts w:ascii="Calibri" w:cs="Calibri" w:eastAsia="Calibri" w:hAnsi="Calibri"/>
          <w:sz w:val="17"/>
          <w:szCs w:val="17"/>
          <w:color w:val="auto"/>
        </w:rPr>
        <w:t>Retred Vice President and Chief Financial Ofcer of Chevron Corporaton, one of the world’s leading integrated energy companies. Ms. Yarrington served as CFO of Chevron from January 2009 untl her retrement in March 2019. During her 38 years at Chevron, she also served as Vice President and Treasurer from 2007 through 2008, Vice President of Policy, Government and Public Afairs from 2002 to 2007 and Vice President of Strategic Planning from 2000 to 2002. Previously, Ms. Yarrington served on the boards of directors of Chevron Phillips Chemical Company LLC (a 50-50 joint venture with Phillips 66) and the Federal Reserve Bank of San Francisco, serving as the Chairman of the Bank’s board from 2013 to 2014.</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002E6D"/>
        </w:rPr>
        <w:t>Experience, Strategic Skills and Core Competencies</w:t>
      </w:r>
    </w:p>
    <w:p>
      <w:pPr>
        <w:spacing w:after="0" w:line="31" w:lineRule="exact"/>
        <w:rPr>
          <w:sz w:val="20"/>
          <w:szCs w:val="20"/>
          <w:color w:val="auto"/>
        </w:rPr>
      </w:pPr>
    </w:p>
    <w:p>
      <w:pPr>
        <w:ind w:left="160" w:hanging="159"/>
        <w:spacing w:after="0" w:line="228" w:lineRule="auto"/>
        <w:tabs>
          <w:tab w:leader="none" w:pos="153" w:val="left"/>
        </w:tabs>
        <w:numPr>
          <w:ilvl w:val="0"/>
          <w:numId w:val="25"/>
        </w:numPr>
        <w:rPr>
          <w:rFonts w:ascii="Calibri" w:cs="Calibri" w:eastAsia="Calibri" w:hAnsi="Calibri"/>
          <w:sz w:val="17"/>
          <w:szCs w:val="17"/>
          <w:color w:val="002E6D"/>
        </w:rPr>
      </w:pPr>
      <w:r>
        <w:rPr>
          <w:rFonts w:ascii="Calibri" w:cs="Calibri" w:eastAsia="Calibri" w:hAnsi="Calibri"/>
          <w:sz w:val="17"/>
          <w:szCs w:val="17"/>
          <w:color w:val="auto"/>
        </w:rPr>
        <w:t>Expertse in public company accountng, risk management, disclosure, and fnancial system management from her role as CFO at Chevron</w:t>
      </w:r>
    </w:p>
    <w:p>
      <w:pPr>
        <w:spacing w:after="0" w:line="66" w:lineRule="exact"/>
        <w:rPr>
          <w:rFonts w:ascii="Calibri" w:cs="Calibri" w:eastAsia="Calibri" w:hAnsi="Calibri"/>
          <w:sz w:val="17"/>
          <w:szCs w:val="17"/>
          <w:color w:val="002E6D"/>
        </w:rPr>
      </w:pPr>
    </w:p>
    <w:p>
      <w:pPr>
        <w:ind w:left="160" w:right="20" w:hanging="159"/>
        <w:spacing w:after="0" w:line="245" w:lineRule="auto"/>
        <w:tabs>
          <w:tab w:leader="none" w:pos="153" w:val="left"/>
        </w:tabs>
        <w:numPr>
          <w:ilvl w:val="0"/>
          <w:numId w:val="25"/>
        </w:numPr>
        <w:rPr>
          <w:rFonts w:ascii="Calibri" w:cs="Calibri" w:eastAsia="Calibri" w:hAnsi="Calibri"/>
          <w:sz w:val="17"/>
          <w:szCs w:val="17"/>
          <w:color w:val="002E6D"/>
        </w:rPr>
      </w:pPr>
      <w:r>
        <w:rPr>
          <w:rFonts w:ascii="Calibri" w:cs="Calibri" w:eastAsia="Calibri" w:hAnsi="Calibri"/>
          <w:sz w:val="17"/>
          <w:szCs w:val="17"/>
          <w:color w:val="auto"/>
        </w:rPr>
        <w:t>Over 38 years of experience with the demands and challenges of the global marketplace from her positons at Chevron</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Calibri" w:cs="Calibri" w:eastAsia="Calibri" w:hAnsi="Calibri"/>
          <w:sz w:val="14"/>
          <w:szCs w:val="14"/>
          <w:color w:val="auto"/>
        </w:rPr>
        <w:t>Environment, Social and Governance</w:t>
      </w:r>
    </w:p>
    <w:p>
      <w:pPr>
        <w:ind w:left="440"/>
        <w:spacing w:after="0" w:line="185" w:lineRule="auto"/>
        <w:tabs>
          <w:tab w:leader="none" w:pos="3120" w:val="left"/>
        </w:tabs>
        <w:rPr>
          <w:sz w:val="20"/>
          <w:szCs w:val="20"/>
          <w:color w:val="auto"/>
        </w:rPr>
      </w:pPr>
      <w:r>
        <w:rPr>
          <w:rFonts w:ascii="Calibri" w:cs="Calibri" w:eastAsia="Calibri" w:hAnsi="Calibri"/>
          <w:sz w:val="10"/>
          <w:szCs w:val="10"/>
          <w:color w:val="auto"/>
        </w:rPr>
        <w:t>Business and Digital Transformaton</w:t>
      </w:r>
      <w:r>
        <w:rPr>
          <w:sz w:val="20"/>
          <w:szCs w:val="20"/>
          <w:color w:val="auto"/>
        </w:rPr>
        <w:tab/>
      </w:r>
      <w:r>
        <w:rPr>
          <w:rFonts w:ascii="Calibri" w:cs="Calibri" w:eastAsia="Calibri" w:hAnsi="Calibri"/>
          <w:sz w:val="10"/>
          <w:szCs w:val="10"/>
          <w:color w:val="auto"/>
        </w:rPr>
        <w:t>CFO Leadership Experience</w:t>
      </w:r>
    </w:p>
    <w:p>
      <w:pPr>
        <w:ind w:left="5840"/>
        <w:spacing w:after="0" w:line="199" w:lineRule="auto"/>
        <w:rPr>
          <w:sz w:val="20"/>
          <w:szCs w:val="20"/>
          <w:color w:val="auto"/>
        </w:rPr>
      </w:pPr>
      <w:r>
        <w:rPr>
          <w:rFonts w:ascii="Calibri" w:cs="Calibri" w:eastAsia="Calibri" w:hAnsi="Calibri"/>
          <w:sz w:val="14"/>
          <w:szCs w:val="14"/>
          <w:color w:val="auto"/>
        </w:rPr>
        <w:t>Expertse</w:t>
      </w:r>
    </w:p>
    <w:p>
      <w:pPr>
        <w:spacing w:after="0" w:line="105" w:lineRule="exact"/>
        <w:rPr>
          <w:sz w:val="20"/>
          <w:szCs w:val="20"/>
          <w:color w:val="auto"/>
        </w:rPr>
      </w:pPr>
    </w:p>
    <w:p>
      <w:pPr>
        <w:ind w:left="440"/>
        <w:spacing w:after="0"/>
        <w:tabs>
          <w:tab w:leader="none" w:pos="5820" w:val="left"/>
        </w:tabs>
        <w:rPr>
          <w:sz w:val="20"/>
          <w:szCs w:val="20"/>
          <w:color w:val="auto"/>
        </w:rPr>
      </w:pPr>
      <w:r>
        <w:rPr>
          <w:rFonts w:ascii="Calibri" w:cs="Calibri" w:eastAsia="Calibri" w:hAnsi="Calibri"/>
          <w:sz w:val="14"/>
          <w:szCs w:val="14"/>
          <w:color w:val="auto"/>
        </w:rPr>
        <w:t xml:space="preserve">Financial Expertse                </w:t>
      </w:r>
      <w:r>
        <w:rPr>
          <w:sz w:val="1"/>
          <w:szCs w:val="1"/>
          <w:color w:val="auto"/>
        </w:rPr>
        <w:drawing>
          <wp:inline distT="0" distB="0" distL="0" distR="0">
            <wp:extent cx="171450" cy="16319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Calibri" w:cs="Calibri" w:eastAsia="Calibri" w:hAnsi="Calibri"/>
          <w:sz w:val="14"/>
          <w:szCs w:val="14"/>
          <w:color w:val="auto"/>
        </w:rPr>
        <w:t xml:space="preserve">   Internatonal Business Expansion</w:t>
      </w:r>
      <w:r>
        <w:rPr>
          <w:sz w:val="20"/>
          <w:szCs w:val="20"/>
          <w:color w:val="auto"/>
        </w:rPr>
        <w:tab/>
      </w:r>
      <w:r>
        <w:rPr>
          <w:rFonts w:ascii="Calibri" w:cs="Calibri" w:eastAsia="Calibri" w:hAnsi="Calibri"/>
          <w:sz w:val="14"/>
          <w:szCs w:val="14"/>
          <w:color w:val="auto"/>
        </w:rPr>
        <w:t>M&amp;A Expertse</w:t>
      </w:r>
    </w:p>
    <w:p>
      <w:pPr>
        <w:spacing w:after="0" w:line="268" w:lineRule="exact"/>
        <w:rPr>
          <w:sz w:val="20"/>
          <w:szCs w:val="20"/>
          <w:color w:val="auto"/>
        </w:rPr>
      </w:pPr>
    </w:p>
    <w:p>
      <w:pPr>
        <w:ind w:left="440"/>
        <w:spacing w:after="0"/>
        <w:rPr>
          <w:sz w:val="20"/>
          <w:szCs w:val="20"/>
          <w:color w:val="auto"/>
        </w:rPr>
      </w:pPr>
      <w:r>
        <w:rPr>
          <w:rFonts w:ascii="Calibri" w:cs="Calibri" w:eastAsia="Calibri" w:hAnsi="Calibri"/>
          <w:sz w:val="14"/>
          <w:szCs w:val="14"/>
          <w:color w:val="auto"/>
        </w:rPr>
        <w:t>Operatonal Executon and Efciency</w:t>
      </w:r>
    </w:p>
    <w:p>
      <w:pPr>
        <w:spacing w:after="0" w:line="388" w:lineRule="exact"/>
        <w:rPr>
          <w:sz w:val="20"/>
          <w:szCs w:val="20"/>
          <w:color w:val="auto"/>
        </w:rPr>
      </w:pPr>
    </w:p>
    <w:p>
      <w:pPr>
        <w:sectPr>
          <w:pgSz w:w="11900" w:h="16838" w:orient="portrait"/>
          <w:cols w:equalWidth="0" w:num="2">
            <w:col w:w="2180" w:space="720"/>
            <w:col w:w="7980"/>
          </w:cols>
          <w:pgMar w:left="320" w:top="230"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30" w:right="69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3"/>
          <w:szCs w:val="43"/>
          <w:color w:val="003478"/>
        </w:rPr>
        <w:t>Corporate Governance</w:t>
      </w:r>
    </w:p>
    <w:p>
      <w:pPr>
        <w:spacing w:after="0" w:line="249" w:lineRule="exact"/>
        <w:rPr>
          <w:sz w:val="20"/>
          <w:szCs w:val="20"/>
          <w:color w:val="auto"/>
        </w:rPr>
      </w:pPr>
    </w:p>
    <w:p>
      <w:pPr>
        <w:spacing w:after="0" w:line="261" w:lineRule="auto"/>
        <w:rPr>
          <w:sz w:val="20"/>
          <w:szCs w:val="20"/>
          <w:color w:val="auto"/>
        </w:rPr>
      </w:pPr>
      <w:r>
        <w:rPr>
          <w:rFonts w:ascii="Calibri" w:cs="Calibri" w:eastAsia="Calibri" w:hAnsi="Calibri"/>
          <w:sz w:val="17"/>
          <w:szCs w:val="17"/>
          <w:color w:val="auto"/>
        </w:rPr>
        <w:t>We believe that good corporate governance strengthens the Board and management, enhances public trust and is integral to achieving long-term stockholder value. This secton provides an overview of Lockheed Martn’s corporate governance policies and practces.</w:t>
      </w:r>
    </w:p>
    <w:p>
      <w:pPr>
        <w:spacing w:after="0" w:line="84" w:lineRule="exact"/>
        <w:rPr>
          <w:sz w:val="20"/>
          <w:szCs w:val="20"/>
          <w:color w:val="auto"/>
        </w:rPr>
      </w:pPr>
    </w:p>
    <w:p>
      <w:pPr>
        <w:spacing w:after="0"/>
        <w:rPr>
          <w:sz w:val="20"/>
          <w:szCs w:val="20"/>
          <w:color w:val="auto"/>
        </w:rPr>
      </w:pPr>
      <w:r>
        <w:rPr>
          <w:rFonts w:ascii="Arial" w:cs="Arial" w:eastAsia="Arial" w:hAnsi="Arial"/>
          <w:sz w:val="29"/>
          <w:szCs w:val="29"/>
          <w:color w:val="003478"/>
        </w:rPr>
        <w:t>Our Alignment with Governance Standards</w:t>
      </w:r>
    </w:p>
    <w:p>
      <w:pPr>
        <w:spacing w:after="0" w:line="144" w:lineRule="exact"/>
        <w:rPr>
          <w:sz w:val="20"/>
          <w:szCs w:val="20"/>
          <w:color w:val="auto"/>
        </w:rPr>
      </w:pPr>
    </w:p>
    <w:p>
      <w:pPr>
        <w:ind w:right="40"/>
        <w:spacing w:after="0" w:line="255" w:lineRule="auto"/>
        <w:rPr>
          <w:sz w:val="20"/>
          <w:szCs w:val="20"/>
          <w:color w:val="auto"/>
        </w:rPr>
      </w:pPr>
      <w:r>
        <w:rPr>
          <w:rFonts w:ascii="Calibri" w:cs="Calibri" w:eastAsia="Calibri" w:hAnsi="Calibri"/>
          <w:sz w:val="17"/>
          <w:szCs w:val="17"/>
          <w:color w:val="auto"/>
        </w:rPr>
        <w:t xml:space="preserve">In 2018, we signed on to the </w:t>
      </w:r>
      <w:r>
        <w:rPr>
          <w:rFonts w:ascii="Calibri" w:cs="Calibri" w:eastAsia="Calibri" w:hAnsi="Calibri"/>
          <w:sz w:val="17"/>
          <w:szCs w:val="17"/>
          <w:b w:val="1"/>
          <w:bCs w:val="1"/>
          <w:color w:val="auto"/>
        </w:rPr>
        <w:t>Commonsense Principles 2.0</w:t>
      </w:r>
      <w:r>
        <w:rPr>
          <w:rFonts w:ascii="Calibri" w:cs="Calibri" w:eastAsia="Calibri" w:hAnsi="Calibri"/>
          <w:sz w:val="17"/>
          <w:szCs w:val="17"/>
          <w:color w:val="auto"/>
        </w:rPr>
        <w:t xml:space="preserve">, which are intended to provide a basic framework for sound, long-term oriented governance. Our governance practces also comply with the </w:t>
      </w:r>
      <w:r>
        <w:rPr>
          <w:rFonts w:ascii="Calibri" w:cs="Calibri" w:eastAsia="Calibri" w:hAnsi="Calibri"/>
          <w:sz w:val="17"/>
          <w:szCs w:val="17"/>
          <w:b w:val="1"/>
          <w:bCs w:val="1"/>
          <w:color w:val="auto"/>
        </w:rPr>
        <w:t>Investor Stewardship Group (ISG) Corporate Governance Principles for U.S. Listed Companies</w:t>
      </w:r>
      <w:r>
        <w:rPr>
          <w:rFonts w:ascii="Calibri" w:cs="Calibri" w:eastAsia="Calibri" w:hAnsi="Calibri"/>
          <w:sz w:val="17"/>
          <w:szCs w:val="17"/>
          <w:color w:val="auto"/>
        </w:rPr>
        <w:t>. Below, we identfy each of the ISG’s governance principles and how our practces are aligned.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10972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15175" cy="109728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p>
      <w:pPr>
        <w:spacing w:after="0" w:line="186" w:lineRule="exact"/>
        <w:rPr>
          <w:sz w:val="20"/>
          <w:szCs w:val="20"/>
          <w:color w:val="auto"/>
        </w:rPr>
      </w:pPr>
    </w:p>
    <w:p>
      <w:pPr>
        <w:ind w:left="80"/>
        <w:spacing w:after="0"/>
        <w:rPr>
          <w:sz w:val="20"/>
          <w:szCs w:val="20"/>
          <w:color w:val="auto"/>
        </w:rPr>
      </w:pPr>
      <w:r>
        <w:rPr>
          <w:rFonts w:ascii="Calibri" w:cs="Calibri" w:eastAsia="Calibri" w:hAnsi="Calibri"/>
          <w:sz w:val="17"/>
          <w:szCs w:val="17"/>
          <w:b w:val="1"/>
          <w:bCs w:val="1"/>
          <w:color w:val="002E6D"/>
        </w:rPr>
        <w:t>Principle 1:</w:t>
      </w:r>
    </w:p>
    <w:p>
      <w:pPr>
        <w:ind w:left="80"/>
        <w:spacing w:after="0" w:line="218" w:lineRule="auto"/>
        <w:rPr>
          <w:sz w:val="20"/>
          <w:szCs w:val="20"/>
          <w:color w:val="auto"/>
        </w:rPr>
      </w:pPr>
      <w:r>
        <w:rPr>
          <w:rFonts w:ascii="Calibri" w:cs="Calibri" w:eastAsia="Calibri" w:hAnsi="Calibri"/>
          <w:sz w:val="17"/>
          <w:szCs w:val="17"/>
          <w:b w:val="1"/>
          <w:bCs w:val="1"/>
          <w:color w:val="002E6D"/>
        </w:rPr>
        <w:t>Boards are accountable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762635</wp:posOffset>
            </wp:positionV>
            <wp:extent cx="1465580" cy="7029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5580" cy="7029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85725" cy="7747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Annual electon of directors</w:t>
      </w:r>
    </w:p>
    <w:p>
      <w:pPr>
        <w:spacing w:after="0" w:line="106" w:lineRule="exact"/>
        <w:rPr>
          <w:sz w:val="20"/>
          <w:szCs w:val="20"/>
          <w:color w:val="auto"/>
        </w:rPr>
      </w:pPr>
    </w:p>
    <w:p>
      <w:pPr>
        <w:ind w:left="200" w:right="240" w:hanging="195"/>
        <w:spacing w:after="0"/>
        <w:rPr>
          <w:sz w:val="20"/>
          <w:szCs w:val="20"/>
          <w:color w:val="auto"/>
        </w:rPr>
      </w:pPr>
      <w:r>
        <w:rPr>
          <w:sz w:val="1"/>
          <w:szCs w:val="1"/>
          <w:color w:val="auto"/>
        </w:rPr>
        <w:drawing>
          <wp:inline distT="0" distB="0" distL="0" distR="0">
            <wp:extent cx="85725" cy="7747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Majority votng standard for uncontested director electons</w:t>
      </w:r>
    </w:p>
    <w:p>
      <w:pPr>
        <w:spacing w:after="0" w:line="93" w:lineRule="exact"/>
        <w:rPr>
          <w:sz w:val="20"/>
          <w:szCs w:val="20"/>
          <w:color w:val="auto"/>
        </w:rPr>
      </w:pPr>
    </w:p>
    <w:p>
      <w:pPr>
        <w:ind w:left="200" w:hanging="195"/>
        <w:spacing w:after="0"/>
        <w:rPr>
          <w:sz w:val="20"/>
          <w:szCs w:val="20"/>
          <w:color w:val="auto"/>
        </w:rPr>
      </w:pPr>
      <w:r>
        <w:rPr>
          <w:sz w:val="1"/>
          <w:szCs w:val="1"/>
          <w:color w:val="auto"/>
        </w:rPr>
        <w:drawing>
          <wp:inline distT="0" distB="0" distL="0" distR="0">
            <wp:extent cx="85725" cy="7683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76835"/>
                    </a:xfrm>
                    <a:prstGeom prst="rect">
                      <a:avLst/>
                    </a:prstGeom>
                    <a:noFill/>
                    <a:ln>
                      <a:noFill/>
                    </a:ln>
                  </pic:spPr>
                </pic:pic>
              </a:graphicData>
            </a:graphic>
          </wp:inline>
        </w:drawing>
      </w:r>
      <w:r>
        <w:rPr>
          <w:rFonts w:ascii="Calibri" w:cs="Calibri" w:eastAsia="Calibri" w:hAnsi="Calibri"/>
          <w:sz w:val="17"/>
          <w:szCs w:val="17"/>
          <w:color w:val="auto"/>
        </w:rPr>
        <w:t xml:space="preserve"> Directors not receiving majority support must tender resignaton to Board for consideraton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right="460"/>
        <w:spacing w:after="0" w:line="355" w:lineRule="auto"/>
        <w:rPr>
          <w:sz w:val="20"/>
          <w:szCs w:val="20"/>
          <w:color w:val="auto"/>
        </w:rPr>
      </w:pPr>
      <w:r>
        <w:rPr>
          <w:sz w:val="1"/>
          <w:szCs w:val="1"/>
          <w:color w:val="auto"/>
        </w:rPr>
        <w:drawing>
          <wp:inline distT="0" distB="0" distL="0" distR="0">
            <wp:extent cx="85725" cy="7747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Market-standard proxy access right for stockholders </w:t>
      </w:r>
      <w:r>
        <w:rPr>
          <w:sz w:val="1"/>
          <w:szCs w:val="1"/>
          <w:color w:val="auto"/>
        </w:rPr>
        <w:drawing>
          <wp:inline distT="0" distB="0" distL="0" distR="0">
            <wp:extent cx="85725" cy="7747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No poison pill</w:t>
      </w:r>
    </w:p>
    <w:p>
      <w:pPr>
        <w:spacing w:after="0" w:line="7" w:lineRule="exact"/>
        <w:rPr>
          <w:sz w:val="20"/>
          <w:szCs w:val="20"/>
          <w:color w:val="auto"/>
        </w:rPr>
      </w:pPr>
    </w:p>
    <w:p>
      <w:pPr>
        <w:ind w:left="200" w:right="540" w:hanging="198"/>
        <w:spacing w:after="0"/>
        <w:rPr>
          <w:sz w:val="20"/>
          <w:szCs w:val="20"/>
          <w:color w:val="auto"/>
        </w:rPr>
      </w:pPr>
      <w:r>
        <w:rPr>
          <w:sz w:val="1"/>
          <w:szCs w:val="1"/>
          <w:color w:val="auto"/>
        </w:rPr>
        <w:drawing>
          <wp:inline distT="0" distB="0" distL="0" distR="0">
            <wp:extent cx="85725" cy="7683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76835"/>
                    </a:xfrm>
                    <a:prstGeom prst="rect">
                      <a:avLst/>
                    </a:prstGeom>
                    <a:noFill/>
                    <a:ln>
                      <a:noFill/>
                    </a:ln>
                  </pic:spPr>
                </pic:pic>
              </a:graphicData>
            </a:graphic>
          </wp:inline>
        </w:drawing>
      </w:r>
      <w:r>
        <w:rPr>
          <w:rFonts w:ascii="Calibri" w:cs="Calibri" w:eastAsia="Calibri" w:hAnsi="Calibri"/>
          <w:sz w:val="17"/>
          <w:szCs w:val="17"/>
          <w:color w:val="auto"/>
        </w:rPr>
        <w:t xml:space="preserve"> Full disclosure on corporate governance and Board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299085</wp:posOffset>
            </wp:positionV>
            <wp:extent cx="55035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3">
            <w:col w:w="1980" w:space="660"/>
            <w:col w:w="3940" w:space="320"/>
            <w:col w:w="4320"/>
          </w:cols>
          <w:pgMar w:left="320" w:top="230" w:right="359" w:bottom="1440" w:gutter="0" w:footer="0" w:header="0"/>
          <w:type w:val="continuous"/>
        </w:sectPr>
      </w:pPr>
    </w:p>
    <w:p>
      <w:pPr>
        <w:spacing w:after="0" w:line="105" w:lineRule="exact"/>
        <w:rPr>
          <w:sz w:val="20"/>
          <w:szCs w:val="20"/>
          <w:color w:val="auto"/>
        </w:rPr>
      </w:pPr>
    </w:p>
    <w:p>
      <w:pPr>
        <w:ind w:left="80"/>
        <w:spacing w:after="0"/>
        <w:rPr>
          <w:sz w:val="20"/>
          <w:szCs w:val="20"/>
          <w:color w:val="auto"/>
        </w:rPr>
      </w:pPr>
      <w:r>
        <w:rPr>
          <w:rFonts w:ascii="Calibri" w:cs="Calibri" w:eastAsia="Calibri" w:hAnsi="Calibri"/>
          <w:sz w:val="17"/>
          <w:szCs w:val="17"/>
          <w:b w:val="1"/>
          <w:bCs w:val="1"/>
          <w:color w:val="002E6D"/>
        </w:rPr>
        <w:t>Principle 2:</w:t>
      </w:r>
    </w:p>
    <w:p>
      <w:pPr>
        <w:ind w:left="80"/>
        <w:spacing w:after="0" w:line="218" w:lineRule="auto"/>
        <w:rPr>
          <w:sz w:val="20"/>
          <w:szCs w:val="20"/>
          <w:color w:val="auto"/>
        </w:rPr>
      </w:pPr>
      <w:r>
        <w:rPr>
          <w:rFonts w:ascii="Calibri" w:cs="Calibri" w:eastAsia="Calibri" w:hAnsi="Calibri"/>
          <w:sz w:val="17"/>
          <w:szCs w:val="17"/>
          <w:b w:val="1"/>
          <w:bCs w:val="1"/>
          <w:color w:val="002E6D"/>
        </w:rPr>
        <w:t>Stockholders should be</w:t>
      </w:r>
    </w:p>
    <w:p>
      <w:pPr>
        <w:ind w:left="80"/>
        <w:spacing w:after="0" w:line="219" w:lineRule="auto"/>
        <w:rPr>
          <w:sz w:val="20"/>
          <w:szCs w:val="20"/>
          <w:color w:val="auto"/>
        </w:rPr>
      </w:pPr>
      <w:r>
        <w:rPr>
          <w:rFonts w:ascii="Calibri" w:cs="Calibri" w:eastAsia="Calibri" w:hAnsi="Calibri"/>
          <w:sz w:val="17"/>
          <w:szCs w:val="17"/>
          <w:b w:val="1"/>
          <w:bCs w:val="1"/>
          <w:color w:val="002E6D"/>
        </w:rPr>
        <w:t>enttled to votng rights in</w:t>
      </w:r>
    </w:p>
    <w:p>
      <w:pPr>
        <w:ind w:left="80"/>
        <w:spacing w:after="0" w:line="218" w:lineRule="auto"/>
        <w:rPr>
          <w:sz w:val="20"/>
          <w:szCs w:val="20"/>
          <w:color w:val="auto"/>
        </w:rPr>
      </w:pPr>
      <w:r>
        <w:rPr>
          <w:rFonts w:ascii="Calibri" w:cs="Calibri" w:eastAsia="Calibri" w:hAnsi="Calibri"/>
          <w:sz w:val="17"/>
          <w:szCs w:val="17"/>
          <w:b w:val="1"/>
          <w:bCs w:val="1"/>
          <w:color w:val="002E6D"/>
        </w:rPr>
        <w:t>proporton to their economic</w:t>
      </w:r>
    </w:p>
    <w:p>
      <w:pPr>
        <w:ind w:left="80"/>
        <w:spacing w:after="0" w:line="219" w:lineRule="auto"/>
        <w:rPr>
          <w:sz w:val="20"/>
          <w:szCs w:val="20"/>
          <w:color w:val="auto"/>
        </w:rPr>
      </w:pPr>
      <w:r>
        <w:rPr>
          <w:rFonts w:ascii="Calibri" w:cs="Calibri" w:eastAsia="Calibri" w:hAnsi="Calibri"/>
          <w:sz w:val="17"/>
          <w:szCs w:val="17"/>
          <w:b w:val="1"/>
          <w:bCs w:val="1"/>
          <w:color w:val="002E6D"/>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65580" cy="9347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65580" cy="934720"/>
                    </a:xfrm>
                    <a:prstGeom prst="rect">
                      <a:avLst/>
                    </a:prstGeom>
                    <a:noFill/>
                  </pic:spPr>
                </pic:pic>
              </a:graphicData>
            </a:graphic>
          </wp:anchor>
        </w:drawing>
      </w:r>
    </w:p>
    <w:p>
      <w:pPr>
        <w:spacing w:after="0" w:line="218" w:lineRule="exact"/>
        <w:rPr>
          <w:sz w:val="20"/>
          <w:szCs w:val="20"/>
          <w:color w:val="auto"/>
        </w:rPr>
      </w:pPr>
    </w:p>
    <w:p>
      <w:pPr>
        <w:ind w:left="80"/>
        <w:spacing w:after="0"/>
        <w:rPr>
          <w:sz w:val="20"/>
          <w:szCs w:val="20"/>
          <w:color w:val="auto"/>
        </w:rPr>
      </w:pPr>
      <w:r>
        <w:rPr>
          <w:rFonts w:ascii="Calibri" w:cs="Calibri" w:eastAsia="Calibri" w:hAnsi="Calibri"/>
          <w:sz w:val="17"/>
          <w:szCs w:val="17"/>
          <w:b w:val="1"/>
          <w:bCs w:val="1"/>
          <w:color w:val="002E6D"/>
        </w:rPr>
        <w:t>Principle 3:</w:t>
      </w:r>
    </w:p>
    <w:p>
      <w:pPr>
        <w:ind w:left="80" w:right="40"/>
        <w:spacing w:after="0"/>
        <w:rPr>
          <w:sz w:val="20"/>
          <w:szCs w:val="20"/>
          <w:color w:val="auto"/>
        </w:rPr>
      </w:pPr>
      <w:r>
        <w:rPr>
          <w:rFonts w:ascii="Calibri" w:cs="Calibri" w:eastAsia="Calibri" w:hAnsi="Calibri"/>
          <w:sz w:val="17"/>
          <w:szCs w:val="17"/>
          <w:b w:val="1"/>
          <w:bCs w:val="1"/>
          <w:color w:val="002E6D"/>
        </w:rPr>
        <w:t>Boards should be responsive to stockholders and be proactve in order to understand their perspectves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1465580" cy="7200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65580" cy="7200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80"/>
        <w:spacing w:after="0"/>
        <w:rPr>
          <w:sz w:val="20"/>
          <w:szCs w:val="20"/>
          <w:color w:val="auto"/>
        </w:rPr>
      </w:pPr>
      <w:r>
        <w:rPr>
          <w:rFonts w:ascii="Calibri" w:cs="Calibri" w:eastAsia="Calibri" w:hAnsi="Calibri"/>
          <w:sz w:val="17"/>
          <w:szCs w:val="17"/>
          <w:b w:val="1"/>
          <w:bCs w:val="1"/>
          <w:color w:val="002E6D"/>
        </w:rPr>
        <w:t>Principle 4:</w:t>
      </w:r>
    </w:p>
    <w:p>
      <w:pPr>
        <w:ind w:left="80" w:right="20"/>
        <w:spacing w:after="0" w:line="218" w:lineRule="auto"/>
        <w:rPr>
          <w:sz w:val="20"/>
          <w:szCs w:val="20"/>
          <w:color w:val="auto"/>
        </w:rPr>
      </w:pPr>
      <w:r>
        <w:rPr>
          <w:rFonts w:ascii="Calibri" w:cs="Calibri" w:eastAsia="Calibri" w:hAnsi="Calibri"/>
          <w:sz w:val="17"/>
          <w:szCs w:val="17"/>
          <w:b w:val="1"/>
          <w:bCs w:val="1"/>
          <w:color w:val="002E6D"/>
        </w:rPr>
        <w:t>Boards should have a strong, independent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465580" cy="13373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65580" cy="1337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sz w:val="1"/>
          <w:szCs w:val="1"/>
          <w:color w:val="auto"/>
        </w:rPr>
        <w:drawing>
          <wp:inline distT="0" distB="0" distL="0" distR="0">
            <wp:extent cx="85725" cy="7747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One class of votng stock</w:t>
      </w:r>
    </w:p>
    <w:p>
      <w:pPr>
        <w:spacing w:after="0" w:line="103" w:lineRule="exact"/>
        <w:rPr>
          <w:sz w:val="20"/>
          <w:szCs w:val="20"/>
          <w:color w:val="auto"/>
        </w:rPr>
      </w:pPr>
    </w:p>
    <w:p>
      <w:pPr>
        <w:spacing w:after="0"/>
        <w:rPr>
          <w:sz w:val="20"/>
          <w:szCs w:val="20"/>
          <w:color w:val="auto"/>
        </w:rPr>
      </w:pPr>
      <w:r>
        <w:rPr>
          <w:sz w:val="1"/>
          <w:szCs w:val="1"/>
          <w:color w:val="auto"/>
        </w:rPr>
        <w:drawing>
          <wp:inline distT="0" distB="0" distL="0" distR="0">
            <wp:extent cx="85725" cy="7747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“One share, one vote”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333375</wp:posOffset>
            </wp:positionV>
            <wp:extent cx="550354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sz w:val="1"/>
          <w:szCs w:val="1"/>
          <w:color w:val="auto"/>
        </w:rPr>
        <w:drawing>
          <wp:inline distT="0" distB="0" distL="0" distR="0">
            <wp:extent cx="85725" cy="7747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Proactve, year-round engagement with stockholders, including partcipaton of independent directors as appropriate</w:t>
      </w:r>
    </w:p>
    <w:p>
      <w:pPr>
        <w:spacing w:after="0" w:line="106" w:lineRule="exact"/>
        <w:rPr>
          <w:sz w:val="20"/>
          <w:szCs w:val="20"/>
          <w:color w:val="auto"/>
        </w:rPr>
      </w:pPr>
    </w:p>
    <w:p>
      <w:pPr>
        <w:ind w:left="200" w:right="40" w:hanging="195"/>
        <w:spacing w:after="0"/>
        <w:rPr>
          <w:sz w:val="20"/>
          <w:szCs w:val="20"/>
          <w:color w:val="auto"/>
        </w:rPr>
      </w:pPr>
      <w:r>
        <w:rPr>
          <w:sz w:val="1"/>
          <w:szCs w:val="1"/>
          <w:color w:val="auto"/>
        </w:rPr>
        <w:drawing>
          <wp:inline distT="0" distB="0" distL="0" distR="0">
            <wp:extent cx="85725" cy="7747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Engagement topics during 2022 included: Board compositon, diversity and refreshment, stockholder rights, climate risks and related climate change goals, workforce diversity and inclusion, executve compensaton, human rights and our Human Rights Report, the confict in Ukraine, lobbying and politcal spending and other environmental, social and governance (ESG) maters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170180</wp:posOffset>
            </wp:positionV>
            <wp:extent cx="550354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sz w:val="1"/>
          <w:szCs w:val="1"/>
          <w:color w:val="auto"/>
        </w:rPr>
        <w:drawing>
          <wp:inline distT="0" distB="0" distL="0" distR="0">
            <wp:extent cx="85725" cy="7683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76835"/>
                    </a:xfrm>
                    <a:prstGeom prst="rect">
                      <a:avLst/>
                    </a:prstGeom>
                    <a:noFill/>
                    <a:ln>
                      <a:noFill/>
                    </a:ln>
                  </pic:spPr>
                </pic:pic>
              </a:graphicData>
            </a:graphic>
          </wp:inline>
        </w:drawing>
      </w:r>
      <w:r>
        <w:rPr>
          <w:rFonts w:ascii="Calibri" w:cs="Calibri" w:eastAsia="Calibri" w:hAnsi="Calibri"/>
          <w:sz w:val="17"/>
          <w:szCs w:val="17"/>
          <w:color w:val="auto"/>
        </w:rPr>
        <w:t xml:space="preserve"> Engaged independent Lead Director</w:t>
      </w:r>
    </w:p>
    <w:p>
      <w:pPr>
        <w:spacing w:after="0" w:line="89" w:lineRule="exact"/>
        <w:rPr>
          <w:sz w:val="20"/>
          <w:szCs w:val="20"/>
          <w:color w:val="auto"/>
        </w:rPr>
      </w:pPr>
    </w:p>
    <w:p>
      <w:pPr>
        <w:spacing w:after="0"/>
        <w:rPr>
          <w:sz w:val="20"/>
          <w:szCs w:val="20"/>
          <w:color w:val="auto"/>
        </w:rPr>
      </w:pPr>
      <w:r>
        <w:rPr>
          <w:sz w:val="1"/>
          <w:szCs w:val="1"/>
          <w:color w:val="auto"/>
        </w:rPr>
        <w:drawing>
          <wp:inline distT="0" distB="0" distL="0" distR="0">
            <wp:extent cx="85725" cy="7747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Annual review of Board leadership structure</w:t>
      </w:r>
    </w:p>
    <w:p>
      <w:pPr>
        <w:spacing w:after="0" w:line="93" w:lineRule="exact"/>
        <w:rPr>
          <w:sz w:val="20"/>
          <w:szCs w:val="20"/>
          <w:color w:val="auto"/>
        </w:rPr>
      </w:pPr>
    </w:p>
    <w:p>
      <w:pPr>
        <w:spacing w:after="0"/>
        <w:rPr>
          <w:sz w:val="20"/>
          <w:szCs w:val="20"/>
          <w:color w:val="auto"/>
        </w:rPr>
      </w:pPr>
      <w:r>
        <w:rPr>
          <w:sz w:val="1"/>
          <w:szCs w:val="1"/>
          <w:color w:val="auto"/>
        </w:rPr>
        <w:drawing>
          <wp:inline distT="0" distB="0" distL="0" distR="0">
            <wp:extent cx="85725" cy="7747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Independent chairs of all Board 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168275</wp:posOffset>
            </wp:positionV>
            <wp:extent cx="55035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40"/>
            <w:col w:w="8580"/>
          </w:cols>
          <w:pgMar w:left="320" w:top="230" w:right="359" w:bottom="1440" w:gutter="0" w:footer="0" w:header="0"/>
          <w:type w:val="continuous"/>
        </w:sectPr>
      </w:pPr>
    </w:p>
    <w:p>
      <w:pPr>
        <w:spacing w:after="0" w:line="102" w:lineRule="exact"/>
        <w:rPr>
          <w:sz w:val="20"/>
          <w:szCs w:val="20"/>
          <w:color w:val="auto"/>
        </w:rPr>
      </w:pPr>
    </w:p>
    <w:p>
      <w:pPr>
        <w:ind w:left="80"/>
        <w:spacing w:after="0"/>
        <w:rPr>
          <w:sz w:val="20"/>
          <w:szCs w:val="20"/>
          <w:color w:val="auto"/>
        </w:rPr>
      </w:pPr>
      <w:r>
        <w:rPr>
          <w:rFonts w:ascii="Calibri" w:cs="Calibri" w:eastAsia="Calibri" w:hAnsi="Calibri"/>
          <w:sz w:val="17"/>
          <w:szCs w:val="17"/>
          <w:b w:val="1"/>
          <w:bCs w:val="1"/>
          <w:color w:val="002E6D"/>
        </w:rPr>
        <w:t>Principle 5:</w:t>
      </w:r>
    </w:p>
    <w:p>
      <w:pPr>
        <w:ind w:left="80"/>
        <w:spacing w:after="0" w:line="218" w:lineRule="auto"/>
        <w:rPr>
          <w:sz w:val="20"/>
          <w:szCs w:val="20"/>
          <w:color w:val="auto"/>
        </w:rPr>
      </w:pPr>
      <w:r>
        <w:rPr>
          <w:rFonts w:ascii="Calibri" w:cs="Calibri" w:eastAsia="Calibri" w:hAnsi="Calibri"/>
          <w:sz w:val="17"/>
          <w:szCs w:val="17"/>
          <w:b w:val="1"/>
          <w:bCs w:val="1"/>
          <w:color w:val="002E6D"/>
        </w:rPr>
        <w:t>Boards should adopt structures and practces that enhance their efectveness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883285</wp:posOffset>
            </wp:positionV>
            <wp:extent cx="1465580" cy="8229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65580" cy="822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200" w:hanging="195"/>
        <w:spacing w:after="0"/>
        <w:rPr>
          <w:sz w:val="20"/>
          <w:szCs w:val="20"/>
          <w:color w:val="auto"/>
        </w:rPr>
      </w:pPr>
      <w:r>
        <w:rPr>
          <w:sz w:val="1"/>
          <w:szCs w:val="1"/>
          <w:color w:val="auto"/>
        </w:rPr>
        <w:drawing>
          <wp:inline distT="0" distB="0" distL="0" distR="0">
            <wp:extent cx="85725" cy="7683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76835"/>
                    </a:xfrm>
                    <a:prstGeom prst="rect">
                      <a:avLst/>
                    </a:prstGeom>
                    <a:noFill/>
                    <a:ln>
                      <a:noFill/>
                    </a:ln>
                  </pic:spPr>
                </pic:pic>
              </a:graphicData>
            </a:graphic>
          </wp:inline>
        </w:drawing>
      </w:r>
      <w:r>
        <w:rPr>
          <w:rFonts w:ascii="Calibri" w:cs="Calibri" w:eastAsia="Calibri" w:hAnsi="Calibri"/>
          <w:sz w:val="17"/>
          <w:szCs w:val="17"/>
          <w:color w:val="auto"/>
        </w:rPr>
        <w:t xml:space="preserve"> 12 of 13 director nominees are independent; all Board commitees are fully independent</w:t>
      </w:r>
    </w:p>
    <w:p>
      <w:pPr>
        <w:spacing w:after="0" w:line="106" w:lineRule="exact"/>
        <w:rPr>
          <w:sz w:val="20"/>
          <w:szCs w:val="20"/>
          <w:color w:val="auto"/>
        </w:rPr>
      </w:pPr>
    </w:p>
    <w:p>
      <w:pPr>
        <w:ind w:left="200" w:right="100" w:hanging="195"/>
        <w:spacing w:after="0"/>
        <w:rPr>
          <w:sz w:val="20"/>
          <w:szCs w:val="20"/>
          <w:color w:val="auto"/>
        </w:rPr>
      </w:pPr>
      <w:r>
        <w:rPr>
          <w:sz w:val="1"/>
          <w:szCs w:val="1"/>
          <w:color w:val="auto"/>
        </w:rPr>
        <w:drawing>
          <wp:inline distT="0" distB="0" distL="0" distR="0">
            <wp:extent cx="85725" cy="7747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Four directors are women; one director is an African-American male</w:t>
      </w:r>
    </w:p>
    <w:p>
      <w:pPr>
        <w:spacing w:after="0" w:line="93" w:lineRule="exact"/>
        <w:rPr>
          <w:sz w:val="20"/>
          <w:szCs w:val="20"/>
          <w:color w:val="auto"/>
        </w:rPr>
      </w:pPr>
    </w:p>
    <w:p>
      <w:pPr>
        <w:ind w:left="200" w:hanging="195"/>
        <w:spacing w:after="0"/>
        <w:rPr>
          <w:sz w:val="20"/>
          <w:szCs w:val="20"/>
          <w:color w:val="auto"/>
        </w:rPr>
      </w:pPr>
      <w:r>
        <w:rPr>
          <w:sz w:val="1"/>
          <w:szCs w:val="1"/>
          <w:color w:val="auto"/>
        </w:rPr>
        <w:drawing>
          <wp:inline distT="0" distB="0" distL="0" distR="0">
            <wp:extent cx="85725" cy="7747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Signifcant Board refreshment yielding a diverse mix of skills and experiences</w:t>
      </w:r>
    </w:p>
    <w:p>
      <w:pPr>
        <w:spacing w:after="0" w:line="103" w:lineRule="exact"/>
        <w:rPr>
          <w:sz w:val="20"/>
          <w:szCs w:val="20"/>
          <w:color w:val="auto"/>
        </w:rPr>
      </w:pPr>
    </w:p>
    <w:p>
      <w:pPr>
        <w:spacing w:after="0"/>
        <w:rPr>
          <w:sz w:val="20"/>
          <w:szCs w:val="20"/>
          <w:color w:val="auto"/>
        </w:rPr>
      </w:pPr>
      <w:r>
        <w:rPr>
          <w:sz w:val="1"/>
          <w:szCs w:val="1"/>
          <w:color w:val="auto"/>
        </w:rPr>
        <w:drawing>
          <wp:inline distT="0" distB="0" distL="0" distR="0">
            <wp:extent cx="85725" cy="7683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76835"/>
                    </a:xfrm>
                    <a:prstGeom prst="rect">
                      <a:avLst/>
                    </a:prstGeom>
                    <a:noFill/>
                    <a:ln>
                      <a:noFill/>
                    </a:ln>
                  </pic:spPr>
                </pic:pic>
              </a:graphicData>
            </a:graphic>
          </wp:inline>
        </w:drawing>
      </w:r>
      <w:r>
        <w:rPr>
          <w:rFonts w:ascii="Calibri" w:cs="Calibri" w:eastAsia="Calibri" w:hAnsi="Calibri"/>
          <w:sz w:val="17"/>
          <w:szCs w:val="17"/>
          <w:color w:val="auto"/>
        </w:rPr>
        <w:t xml:space="preserve"> Annual Board and commitee self-assessments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left="200" w:right="60" w:hanging="198"/>
        <w:spacing w:after="0"/>
        <w:rPr>
          <w:sz w:val="20"/>
          <w:szCs w:val="20"/>
          <w:color w:val="auto"/>
        </w:rPr>
      </w:pPr>
      <w:r>
        <w:rPr>
          <w:sz w:val="1"/>
          <w:szCs w:val="1"/>
          <w:color w:val="auto"/>
        </w:rPr>
        <w:drawing>
          <wp:inline distT="0" distB="0" distL="0" distR="0">
            <wp:extent cx="85725" cy="7683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76835"/>
                    </a:xfrm>
                    <a:prstGeom prst="rect">
                      <a:avLst/>
                    </a:prstGeom>
                    <a:noFill/>
                    <a:ln>
                      <a:noFill/>
                    </a:ln>
                  </pic:spPr>
                </pic:pic>
              </a:graphicData>
            </a:graphic>
          </wp:inline>
        </w:drawing>
      </w:r>
      <w:r>
        <w:rPr>
          <w:rFonts w:ascii="Calibri" w:cs="Calibri" w:eastAsia="Calibri" w:hAnsi="Calibri"/>
          <w:sz w:val="17"/>
          <w:szCs w:val="17"/>
          <w:color w:val="auto"/>
        </w:rPr>
        <w:t xml:space="preserve"> 2022 updates to Governance Guidelines make explicit the Company’s commitment to actvely seek out gender and ethnically diverse Board candidates</w:t>
      </w:r>
    </w:p>
    <w:p>
      <w:pPr>
        <w:spacing w:after="0" w:line="93" w:lineRule="exact"/>
        <w:rPr>
          <w:sz w:val="20"/>
          <w:szCs w:val="20"/>
          <w:color w:val="auto"/>
        </w:rPr>
      </w:pPr>
    </w:p>
    <w:p>
      <w:pPr>
        <w:ind w:right="1360"/>
        <w:spacing w:after="0" w:line="359" w:lineRule="auto"/>
        <w:rPr>
          <w:sz w:val="20"/>
          <w:szCs w:val="20"/>
          <w:color w:val="auto"/>
        </w:rPr>
      </w:pPr>
      <w:r>
        <w:rPr>
          <w:sz w:val="1"/>
          <w:szCs w:val="1"/>
          <w:color w:val="auto"/>
        </w:rPr>
        <w:drawing>
          <wp:inline distT="0" distB="0" distL="0" distR="0">
            <wp:extent cx="85725" cy="7747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Board access to ofcers and employees </w:t>
      </w:r>
      <w:r>
        <w:rPr>
          <w:sz w:val="1"/>
          <w:szCs w:val="1"/>
          <w:color w:val="auto"/>
        </w:rPr>
        <w:drawing>
          <wp:inline distT="0" distB="0" distL="0" distR="0">
            <wp:extent cx="85725" cy="7747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2022 Board atendance of 99%</w:t>
      </w:r>
    </w:p>
    <w:p>
      <w:pPr>
        <w:ind w:left="200" w:right="120" w:hanging="198"/>
        <w:spacing w:after="0"/>
        <w:rPr>
          <w:sz w:val="20"/>
          <w:szCs w:val="20"/>
          <w:color w:val="auto"/>
        </w:rPr>
      </w:pPr>
      <w:r>
        <w:rPr>
          <w:sz w:val="1"/>
          <w:szCs w:val="1"/>
          <w:color w:val="auto"/>
        </w:rPr>
        <w:drawing>
          <wp:inline distT="0" distB="0" distL="0" distR="0">
            <wp:extent cx="85725" cy="774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Calibri" w:cs="Calibri" w:eastAsia="Calibri" w:hAnsi="Calibri"/>
          <w:sz w:val="17"/>
          <w:szCs w:val="17"/>
          <w:color w:val="auto"/>
        </w:rPr>
        <w:t xml:space="preserve"> Overboarding policy ensures Board members can devote sufcient tme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179070</wp:posOffset>
            </wp:positionV>
            <wp:extent cx="55035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160" w:space="480"/>
            <w:col w:w="4040" w:space="220"/>
            <w:col w:w="4320"/>
          </w:cols>
          <w:pgMar w:left="320" w:top="230" w:right="359" w:bottom="1440" w:gutter="0" w:footer="0" w:header="0"/>
          <w:type w:val="continuous"/>
        </w:sectPr>
      </w:pPr>
    </w:p>
    <w:p>
      <w:pPr>
        <w:spacing w:after="0" w:line="119" w:lineRule="exact"/>
        <w:rPr>
          <w:sz w:val="20"/>
          <w:szCs w:val="20"/>
          <w:color w:val="auto"/>
        </w:rPr>
      </w:pPr>
    </w:p>
    <w:p>
      <w:pPr>
        <w:ind w:left="100"/>
        <w:spacing w:after="0"/>
        <w:rPr>
          <w:sz w:val="20"/>
          <w:szCs w:val="20"/>
          <w:color w:val="auto"/>
        </w:rPr>
      </w:pPr>
      <w:r>
        <w:rPr>
          <w:rFonts w:ascii="Calibri" w:cs="Calibri" w:eastAsia="Calibri" w:hAnsi="Calibri"/>
          <w:sz w:val="17"/>
          <w:szCs w:val="17"/>
          <w:b w:val="1"/>
          <w:bCs w:val="1"/>
          <w:color w:val="002E6D"/>
        </w:rPr>
        <w:t>Principle 6:</w:t>
      </w:r>
    </w:p>
    <w:p>
      <w:pPr>
        <w:ind w:left="100"/>
        <w:spacing w:after="0" w:line="218" w:lineRule="auto"/>
        <w:rPr>
          <w:sz w:val="20"/>
          <w:szCs w:val="20"/>
          <w:color w:val="auto"/>
        </w:rPr>
      </w:pPr>
      <w:r>
        <w:rPr>
          <w:rFonts w:ascii="Calibri" w:cs="Calibri" w:eastAsia="Calibri" w:hAnsi="Calibri"/>
          <w:sz w:val="17"/>
          <w:szCs w:val="17"/>
          <w:b w:val="1"/>
          <w:bCs w:val="1"/>
          <w:color w:val="002E6D"/>
        </w:rPr>
        <w:t>Boards should develop management incentve structures that are aligned with the long-term strategy of the company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60" w:hanging="195"/>
        <w:spacing w:after="0"/>
        <w:rPr>
          <w:sz w:val="20"/>
          <w:szCs w:val="20"/>
          <w:color w:val="auto"/>
        </w:rPr>
      </w:pPr>
      <w:r>
        <w:rPr>
          <w:sz w:val="1"/>
          <w:szCs w:val="1"/>
          <w:color w:val="auto"/>
        </w:rPr>
        <w:drawing>
          <wp:inline distT="0" distB="0" distL="0" distR="0">
            <wp:extent cx="85725" cy="7683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76835"/>
                    </a:xfrm>
                    <a:prstGeom prst="rect">
                      <a:avLst/>
                    </a:prstGeom>
                    <a:noFill/>
                    <a:ln>
                      <a:noFill/>
                    </a:ln>
                  </pic:spPr>
                </pic:pic>
              </a:graphicData>
            </a:graphic>
          </wp:inline>
        </w:drawing>
      </w:r>
      <w:r>
        <w:rPr>
          <w:rFonts w:ascii="Calibri" w:cs="Calibri" w:eastAsia="Calibri" w:hAnsi="Calibri"/>
          <w:sz w:val="17"/>
          <w:szCs w:val="17"/>
          <w:color w:val="auto"/>
        </w:rPr>
        <w:t xml:space="preserve"> Compensaton programs actvely reviewed by the Board and include short- and long-term goals ted to the long-range plan and that underpin our long-term strategy</w:t>
      </w:r>
    </w:p>
    <w:p>
      <w:pPr>
        <w:spacing w:after="0" w:line="831" w:lineRule="exact"/>
        <w:rPr>
          <w:sz w:val="20"/>
          <w:szCs w:val="20"/>
          <w:color w:val="auto"/>
        </w:rPr>
      </w:pPr>
    </w:p>
    <w:p>
      <w:pPr>
        <w:sectPr>
          <w:pgSz w:w="11900" w:h="16838" w:orient="portrait"/>
          <w:cols w:equalWidth="0" w:num="2">
            <w:col w:w="2280" w:space="560"/>
            <w:col w:w="8380"/>
          </w:cols>
          <w:pgMar w:left="320" w:top="2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29"/>
          <w:szCs w:val="29"/>
          <w:color w:val="003478"/>
        </w:rPr>
        <w:t>Board Leadership Structure</w:t>
      </w:r>
    </w:p>
    <w:p>
      <w:pPr>
        <w:spacing w:after="0" w:line="306" w:lineRule="exact"/>
        <w:rPr>
          <w:sz w:val="20"/>
          <w:szCs w:val="20"/>
          <w:color w:val="auto"/>
        </w:rPr>
      </w:pPr>
    </w:p>
    <w:p>
      <w:pPr>
        <w:ind w:left="20" w:right="20"/>
        <w:spacing w:after="0" w:line="245" w:lineRule="auto"/>
        <w:rPr>
          <w:sz w:val="20"/>
          <w:szCs w:val="20"/>
          <w:color w:val="auto"/>
        </w:rPr>
      </w:pPr>
      <w:r>
        <w:rPr>
          <w:rFonts w:ascii="Calibri" w:cs="Calibri" w:eastAsia="Calibri" w:hAnsi="Calibri"/>
          <w:sz w:val="17"/>
          <w:szCs w:val="17"/>
          <w:color w:val="auto"/>
        </w:rPr>
        <w:t>The Board believes the independent directors should have the fexibility to respond to changing circumstances and choose the board leadership structure that best fts the Company’s needs as they evolve over tme. As a result, the roles of the Chairman and the CEO have been split from tme to tme to facilitate leadership transitons and at other tmes have been combined. The independent directors elected Mr. Taiclet as Chairman in March 2021. Prior to that, the roles were separated while former CEO Marillyn Hewson served as Executve Chairman to assist in the CEO transiton.</w:t>
      </w:r>
    </w:p>
    <w:p>
      <w:pPr>
        <w:spacing w:after="0" w:line="65" w:lineRule="exact"/>
        <w:rPr>
          <w:sz w:val="20"/>
          <w:szCs w:val="20"/>
          <w:color w:val="auto"/>
        </w:rPr>
      </w:pPr>
    </w:p>
    <w:p>
      <w:pPr>
        <w:ind w:left="20"/>
        <w:spacing w:after="0" w:line="246" w:lineRule="auto"/>
        <w:rPr>
          <w:sz w:val="20"/>
          <w:szCs w:val="20"/>
          <w:color w:val="auto"/>
        </w:rPr>
      </w:pPr>
      <w:r>
        <w:rPr>
          <w:rFonts w:ascii="Calibri" w:cs="Calibri" w:eastAsia="Calibri" w:hAnsi="Calibri"/>
          <w:sz w:val="17"/>
          <w:szCs w:val="17"/>
          <w:color w:val="auto"/>
        </w:rPr>
        <w:t>The Board reviews the Company’s leadership structure, including the responsibilites of the independent Lead Director, at least annually to determine the most appropriate structure for efectve oversight of the Company’s strategic priorites and Board functoning. As part of this process, in 2022, the Board reviewed benchmarking data of the leadership structure of other large companies and industry peers and investor views on the separaton of the roles. At present, the Board believes that the combinaton of the roles, along with the robust authority given to the experienced independent Lead Director, efectvely represents the interests of stockholders by maintaining the appropriate level of independence, oversight and responsibility. The Board consists entrely of independent directors, other than Mr. Taiclet, and exercises a strong, independent oversight functon through frequent executve sessions, independent Board commitees and an experienced independent Lead Director with clearly delineated and comprehensive dutes. The Board believes that presentng a single face to our customers through the combined Chairman and CEO role is valuable and that unifed Board and management leadership best positons the Company to successfully implement its strategy, partcularly in the current dynamic and challenging geopolitcal and economic environment. Further, the combined Chairman and CEO role facilitates real-tme, transparent communicaton with the Board on critcal business maters. The Board believes that Mr. Taiclet, who is a former independent Board member and a veteran with deep knowledge of complex industries and our primary customer, is well qualifed for the role of Chairman and that the Board operates efectvely and efciently under his leadership.</w:t>
      </w:r>
    </w:p>
    <w:p>
      <w:pPr>
        <w:spacing w:after="0" w:line="285" w:lineRule="exact"/>
        <w:rPr>
          <w:sz w:val="20"/>
          <w:szCs w:val="20"/>
          <w:color w:val="auto"/>
        </w:rPr>
      </w:pPr>
    </w:p>
    <w:p>
      <w:pPr>
        <w:jc w:val="both"/>
        <w:ind w:left="20" w:right="300"/>
        <w:spacing w:after="0" w:line="247" w:lineRule="auto"/>
        <w:rPr>
          <w:sz w:val="20"/>
          <w:szCs w:val="20"/>
          <w:color w:val="auto"/>
        </w:rPr>
      </w:pPr>
      <w:r>
        <w:rPr>
          <w:rFonts w:ascii="Calibri" w:cs="Calibri" w:eastAsia="Calibri" w:hAnsi="Calibri"/>
          <w:sz w:val="17"/>
          <w:szCs w:val="17"/>
          <w:color w:val="auto"/>
        </w:rPr>
        <w:t>The independent directors will contnue to review the leadership structure on an ongoing basis, at least annually, to ensure that it contnues to meet the needs of the Company and supports the generaton of stockholder value over the long 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003478"/>
        </w:rPr>
        <w:t>Chairman,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-718185</wp:posOffset>
            </wp:positionV>
            <wp:extent cx="2194560" cy="43802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94560" cy="438023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James D. Taiclet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580"/>
        <w:spacing w:after="0" w:line="276" w:lineRule="auto"/>
        <w:rPr>
          <w:sz w:val="20"/>
          <w:szCs w:val="20"/>
          <w:color w:val="auto"/>
        </w:rPr>
      </w:pPr>
      <w:r>
        <w:rPr>
          <w:rFonts w:ascii="Arial" w:cs="Arial" w:eastAsia="Arial" w:hAnsi="Arial"/>
          <w:sz w:val="17"/>
          <w:szCs w:val="17"/>
          <w:b w:val="1"/>
          <w:bCs w:val="1"/>
          <w:color w:val="003478"/>
        </w:rPr>
        <w:t>Independent Lead Director; Governance Committee Chair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Daniel F. Akerson</w:t>
      </w:r>
    </w:p>
    <w:p>
      <w:pPr>
        <w:spacing w:after="0" w:line="72" w:lineRule="exact"/>
        <w:rPr>
          <w:sz w:val="20"/>
          <w:szCs w:val="20"/>
          <w:color w:val="auto"/>
        </w:rPr>
      </w:pPr>
    </w:p>
    <w:p>
      <w:pPr>
        <w:ind w:right="660"/>
        <w:spacing w:after="0" w:line="227" w:lineRule="auto"/>
        <w:rPr>
          <w:sz w:val="20"/>
          <w:szCs w:val="20"/>
          <w:color w:val="auto"/>
        </w:rPr>
      </w:pPr>
      <w:r>
        <w:rPr>
          <w:rFonts w:ascii="Calibri" w:cs="Calibri" w:eastAsia="Calibri" w:hAnsi="Calibri"/>
          <w:sz w:val="17"/>
          <w:szCs w:val="17"/>
          <w:color w:val="auto"/>
        </w:rPr>
        <w:t>Elected annually by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003478"/>
        </w:rPr>
        <w:t>Other Committee Chairs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Thomas J. Falk (Audit)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James O. Ellis, Jr. (CBS)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Ilene S. Gordon (Compensation)</w:t>
      </w:r>
    </w:p>
    <w:p>
      <w:pPr>
        <w:spacing w:after="0" w:line="87" w:lineRule="exact"/>
        <w:rPr>
          <w:sz w:val="20"/>
          <w:szCs w:val="20"/>
          <w:color w:val="auto"/>
        </w:rPr>
      </w:pPr>
    </w:p>
    <w:p>
      <w:pPr>
        <w:spacing w:after="0"/>
        <w:rPr>
          <w:sz w:val="20"/>
          <w:szCs w:val="20"/>
          <w:color w:val="auto"/>
        </w:rPr>
      </w:pPr>
      <w:r>
        <w:rPr>
          <w:rFonts w:ascii="Calibri" w:cs="Calibri" w:eastAsia="Calibri" w:hAnsi="Calibri"/>
          <w:sz w:val="17"/>
          <w:szCs w:val="17"/>
          <w:color w:val="auto"/>
        </w:rPr>
        <w:t>All commitees are fully independent</w:t>
      </w:r>
    </w:p>
    <w:p>
      <w:pPr>
        <w:spacing w:after="0" w:line="200" w:lineRule="exact"/>
        <w:rPr>
          <w:sz w:val="20"/>
          <w:szCs w:val="20"/>
          <w:color w:val="auto"/>
        </w:rPr>
      </w:pPr>
    </w:p>
    <w:p>
      <w:pPr>
        <w:spacing w:after="0" w:line="217" w:lineRule="exact"/>
        <w:rPr>
          <w:sz w:val="20"/>
          <w:szCs w:val="20"/>
          <w:color w:val="auto"/>
        </w:rPr>
      </w:pPr>
    </w:p>
    <w:p>
      <w:pPr>
        <w:ind w:right="520"/>
        <w:spacing w:after="0" w:line="222" w:lineRule="auto"/>
        <w:rPr>
          <w:sz w:val="20"/>
          <w:szCs w:val="20"/>
          <w:color w:val="auto"/>
        </w:rPr>
      </w:pPr>
      <w:r>
        <w:rPr>
          <w:rFonts w:ascii="Calibri" w:cs="Calibri" w:eastAsia="Calibri" w:hAnsi="Calibri"/>
          <w:sz w:val="17"/>
          <w:szCs w:val="17"/>
          <w:color w:val="auto"/>
        </w:rPr>
        <w:t xml:space="preserve">Stockholders and other interested partes may communicate with the independent Lead Director at </w:t>
      </w:r>
      <w:r>
        <w:rPr>
          <w:rFonts w:ascii="Calibri" w:cs="Calibri" w:eastAsia="Calibri" w:hAnsi="Calibri"/>
          <w:sz w:val="17"/>
          <w:szCs w:val="17"/>
          <w:i w:val="1"/>
          <w:iCs w:val="1"/>
          <w:color w:val="auto"/>
        </w:rPr>
        <w:t>Lead.Director@lmco.com</w:t>
      </w:r>
    </w:p>
    <w:p>
      <w:pPr>
        <w:spacing w:after="0" w:line="200" w:lineRule="exact"/>
        <w:rPr>
          <w:sz w:val="20"/>
          <w:szCs w:val="20"/>
          <w:color w:val="auto"/>
        </w:rPr>
      </w:pPr>
    </w:p>
    <w:p>
      <w:pPr>
        <w:sectPr>
          <w:pgSz w:w="11900" w:h="16838" w:orient="portrait"/>
          <w:cols w:equalWidth="0" w:num="2">
            <w:col w:w="7660" w:space="460"/>
            <w:col w:w="2980"/>
          </w:cols>
          <w:pgMar w:left="320" w:top="230" w:right="47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25"/>
          <w:szCs w:val="25"/>
          <w:color w:val="818EB4"/>
        </w:rPr>
        <w:t>Independent Lead Director’s Role</w:t>
      </w:r>
    </w:p>
    <w:p>
      <w:pPr>
        <w:spacing w:after="0" w:line="59" w:lineRule="exact"/>
        <w:rPr>
          <w:sz w:val="20"/>
          <w:szCs w:val="20"/>
          <w:color w:val="auto"/>
        </w:rPr>
      </w:pPr>
    </w:p>
    <w:p>
      <w:pPr>
        <w:ind w:left="20" w:right="280"/>
        <w:spacing w:after="0" w:line="247" w:lineRule="auto"/>
        <w:rPr>
          <w:sz w:val="20"/>
          <w:szCs w:val="20"/>
          <w:color w:val="auto"/>
        </w:rPr>
      </w:pPr>
      <w:r>
        <w:rPr>
          <w:rFonts w:ascii="Calibri" w:cs="Calibri" w:eastAsia="Calibri" w:hAnsi="Calibri"/>
          <w:sz w:val="17"/>
          <w:szCs w:val="17"/>
          <w:color w:val="auto"/>
        </w:rPr>
        <w:t>The Board has structured the independent Lead Director’s role to enhance the functoning of the Board and with sufcient authority to provide a counterbalance to management. The independent Lead Director has prescribed responsibilites specifed in the Bylaws and Governance Guidelines or as otherwise assigned by the Board. The independent Lead Director’s responsibilites include:</w:t>
      </w:r>
    </w:p>
    <w:p>
      <w:pPr>
        <w:spacing w:after="0" w:line="61" w:lineRule="exact"/>
        <w:rPr>
          <w:sz w:val="20"/>
          <w:szCs w:val="20"/>
          <w:color w:val="auto"/>
        </w:rPr>
      </w:pPr>
    </w:p>
    <w:p>
      <w:pPr>
        <w:ind w:left="180" w:right="200" w:hanging="154"/>
        <w:spacing w:after="0" w:line="247" w:lineRule="auto"/>
        <w:tabs>
          <w:tab w:leader="none" w:pos="173" w:val="left"/>
        </w:tabs>
        <w:numPr>
          <w:ilvl w:val="0"/>
          <w:numId w:val="26"/>
        </w:numPr>
        <w:rPr>
          <w:rFonts w:ascii="Calibri" w:cs="Calibri" w:eastAsia="Calibri" w:hAnsi="Calibri"/>
          <w:sz w:val="17"/>
          <w:szCs w:val="17"/>
          <w:color w:val="003478"/>
        </w:rPr>
      </w:pPr>
      <w:r>
        <w:rPr>
          <w:rFonts w:ascii="Calibri" w:cs="Calibri" w:eastAsia="Calibri" w:hAnsi="Calibri"/>
          <w:sz w:val="17"/>
          <w:szCs w:val="17"/>
          <w:b w:val="1"/>
          <w:bCs w:val="1"/>
          <w:color w:val="auto"/>
        </w:rPr>
        <w:t xml:space="preserve">Leadership of independent directors — </w:t>
      </w:r>
      <w:r>
        <w:rPr>
          <w:rFonts w:ascii="Calibri" w:cs="Calibri" w:eastAsia="Calibri" w:hAnsi="Calibri"/>
          <w:sz w:val="17"/>
          <w:szCs w:val="17"/>
          <w:color w:val="auto"/>
        </w:rPr>
        <w:t>preside as Chair at Board meetngs while in executve sessions of the non-management directors or executve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sessions of the independent directors or if the Chairman is not present; determine the frequency and tming of executve sessions of non-management directors; lead discussions of the Chairman and CEO’s performance;</w:t>
      </w:r>
    </w:p>
    <w:p>
      <w:pPr>
        <w:spacing w:after="0" w:line="47" w:lineRule="exact"/>
        <w:rPr>
          <w:rFonts w:ascii="Calibri" w:cs="Calibri" w:eastAsia="Calibri" w:hAnsi="Calibri"/>
          <w:sz w:val="17"/>
          <w:szCs w:val="17"/>
          <w:color w:val="003478"/>
        </w:rPr>
      </w:pPr>
    </w:p>
    <w:p>
      <w:pPr>
        <w:ind w:left="180" w:right="140" w:hanging="154"/>
        <w:spacing w:after="0" w:line="247" w:lineRule="auto"/>
        <w:tabs>
          <w:tab w:leader="none" w:pos="173" w:val="left"/>
        </w:tabs>
        <w:numPr>
          <w:ilvl w:val="0"/>
          <w:numId w:val="26"/>
        </w:numPr>
        <w:rPr>
          <w:rFonts w:ascii="Calibri" w:cs="Calibri" w:eastAsia="Calibri" w:hAnsi="Calibri"/>
          <w:sz w:val="17"/>
          <w:szCs w:val="17"/>
          <w:color w:val="003478"/>
        </w:rPr>
      </w:pPr>
      <w:r>
        <w:rPr>
          <w:rFonts w:ascii="Calibri" w:cs="Calibri" w:eastAsia="Calibri" w:hAnsi="Calibri"/>
          <w:sz w:val="17"/>
          <w:szCs w:val="17"/>
          <w:b w:val="1"/>
          <w:bCs w:val="1"/>
          <w:color w:val="auto"/>
        </w:rPr>
        <w:t xml:space="preserve">Board meetng agendas and schedules — </w:t>
      </w:r>
      <w:r>
        <w:rPr>
          <w:rFonts w:ascii="Calibri" w:cs="Calibri" w:eastAsia="Calibri" w:hAnsi="Calibri"/>
          <w:sz w:val="17"/>
          <w:szCs w:val="17"/>
          <w:color w:val="auto"/>
        </w:rPr>
        <w:t>approve Board and commitee meetng topics and schedules, including consultng with the Chairman and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commitee chairs; review and approve all Board and commitee agendas (in collaboraton with each commitee chair); provide input to management on the scope and quality of informaton sent to the Board;</w:t>
      </w:r>
    </w:p>
    <w:p>
      <w:pPr>
        <w:spacing w:after="0" w:line="61" w:lineRule="exact"/>
        <w:rPr>
          <w:rFonts w:ascii="Calibri" w:cs="Calibri" w:eastAsia="Calibri" w:hAnsi="Calibri"/>
          <w:sz w:val="17"/>
          <w:szCs w:val="17"/>
          <w:color w:val="003478"/>
        </w:rPr>
      </w:pPr>
    </w:p>
    <w:p>
      <w:pPr>
        <w:ind w:left="180" w:right="720" w:hanging="154"/>
        <w:spacing w:after="0" w:line="245" w:lineRule="auto"/>
        <w:tabs>
          <w:tab w:leader="none" w:pos="173" w:val="left"/>
        </w:tabs>
        <w:numPr>
          <w:ilvl w:val="0"/>
          <w:numId w:val="26"/>
        </w:numPr>
        <w:rPr>
          <w:rFonts w:ascii="Calibri" w:cs="Calibri" w:eastAsia="Calibri" w:hAnsi="Calibri"/>
          <w:sz w:val="17"/>
          <w:szCs w:val="17"/>
          <w:color w:val="003478"/>
        </w:rPr>
      </w:pPr>
      <w:r>
        <w:rPr>
          <w:rFonts w:ascii="Calibri" w:cs="Calibri" w:eastAsia="Calibri" w:hAnsi="Calibri"/>
          <w:sz w:val="17"/>
          <w:szCs w:val="17"/>
          <w:b w:val="1"/>
          <w:bCs w:val="1"/>
          <w:color w:val="auto"/>
        </w:rPr>
        <w:t xml:space="preserve">Board refreshment and evaluatons — </w:t>
      </w:r>
      <w:r>
        <w:rPr>
          <w:rFonts w:ascii="Calibri" w:cs="Calibri" w:eastAsia="Calibri" w:hAnsi="Calibri"/>
          <w:sz w:val="17"/>
          <w:szCs w:val="17"/>
          <w:color w:val="auto"/>
        </w:rPr>
        <w:t>together with the Chairman, assist the Governance Commitee with recruitment of directors and extend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invitatons to potental directors to join the Board; lead the Board’s annual self-assessment process;</w:t>
      </w:r>
    </w:p>
    <w:p>
      <w:pPr>
        <w:spacing w:after="0" w:line="62" w:lineRule="exact"/>
        <w:rPr>
          <w:rFonts w:ascii="Calibri" w:cs="Calibri" w:eastAsia="Calibri" w:hAnsi="Calibri"/>
          <w:sz w:val="17"/>
          <w:szCs w:val="17"/>
          <w:color w:val="003478"/>
        </w:rPr>
      </w:pPr>
    </w:p>
    <w:p>
      <w:pPr>
        <w:ind w:left="180" w:hanging="154"/>
        <w:spacing w:after="0" w:line="235" w:lineRule="auto"/>
        <w:tabs>
          <w:tab w:leader="none" w:pos="173" w:val="left"/>
        </w:tabs>
        <w:numPr>
          <w:ilvl w:val="0"/>
          <w:numId w:val="26"/>
        </w:numPr>
        <w:rPr>
          <w:rFonts w:ascii="Calibri" w:cs="Calibri" w:eastAsia="Calibri" w:hAnsi="Calibri"/>
          <w:sz w:val="17"/>
          <w:szCs w:val="17"/>
          <w:color w:val="003478"/>
        </w:rPr>
      </w:pPr>
      <w:r>
        <w:rPr>
          <w:rFonts w:ascii="Calibri" w:cs="Calibri" w:eastAsia="Calibri" w:hAnsi="Calibri"/>
          <w:sz w:val="17"/>
          <w:szCs w:val="17"/>
          <w:b w:val="1"/>
          <w:bCs w:val="1"/>
          <w:color w:val="auto"/>
        </w:rPr>
        <w:t xml:space="preserve">Board commitees — </w:t>
      </w:r>
      <w:r>
        <w:rPr>
          <w:rFonts w:ascii="Calibri" w:cs="Calibri" w:eastAsia="Calibri" w:hAnsi="Calibri"/>
          <w:sz w:val="17"/>
          <w:szCs w:val="17"/>
          <w:color w:val="auto"/>
        </w:rPr>
        <w:t>act as liaison between the Board and management and among the directors and the commitees of the Board; serve as an ex ofcio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member of each commitee, if not otherwise a member of the commitee;</w:t>
      </w:r>
    </w:p>
    <w:p>
      <w:pPr>
        <w:spacing w:after="0" w:line="66" w:lineRule="exact"/>
        <w:rPr>
          <w:rFonts w:ascii="Calibri" w:cs="Calibri" w:eastAsia="Calibri" w:hAnsi="Calibri"/>
          <w:sz w:val="17"/>
          <w:szCs w:val="17"/>
          <w:color w:val="003478"/>
        </w:rPr>
      </w:pPr>
    </w:p>
    <w:p>
      <w:pPr>
        <w:ind w:left="180" w:right="540" w:hanging="154"/>
        <w:spacing w:after="0" w:line="245" w:lineRule="auto"/>
        <w:tabs>
          <w:tab w:leader="none" w:pos="173" w:val="left"/>
        </w:tabs>
        <w:numPr>
          <w:ilvl w:val="0"/>
          <w:numId w:val="26"/>
        </w:numPr>
        <w:rPr>
          <w:rFonts w:ascii="Calibri" w:cs="Calibri" w:eastAsia="Calibri" w:hAnsi="Calibri"/>
          <w:sz w:val="17"/>
          <w:szCs w:val="17"/>
          <w:color w:val="003478"/>
        </w:rPr>
      </w:pPr>
      <w:r>
        <w:rPr>
          <w:rFonts w:ascii="Calibri" w:cs="Calibri" w:eastAsia="Calibri" w:hAnsi="Calibri"/>
          <w:sz w:val="17"/>
          <w:szCs w:val="17"/>
          <w:b w:val="1"/>
          <w:bCs w:val="1"/>
          <w:color w:val="auto"/>
        </w:rPr>
        <w:t xml:space="preserve">Stockholder communicatons — </w:t>
      </w:r>
      <w:r>
        <w:rPr>
          <w:rFonts w:ascii="Calibri" w:cs="Calibri" w:eastAsia="Calibri" w:hAnsi="Calibri"/>
          <w:sz w:val="17"/>
          <w:szCs w:val="17"/>
          <w:color w:val="auto"/>
        </w:rPr>
        <w:t>serve as the point of contact for stockholders and others to communicate with the Board, including meetng with</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investors as appropriate;</w:t>
      </w:r>
    </w:p>
    <w:p>
      <w:pPr>
        <w:spacing w:after="0" w:line="58" w:lineRule="exact"/>
        <w:rPr>
          <w:rFonts w:ascii="Calibri" w:cs="Calibri" w:eastAsia="Calibri" w:hAnsi="Calibri"/>
          <w:sz w:val="17"/>
          <w:szCs w:val="17"/>
          <w:color w:val="003478"/>
        </w:rPr>
      </w:pPr>
    </w:p>
    <w:p>
      <w:pPr>
        <w:ind w:left="180" w:hanging="154"/>
        <w:spacing w:after="0"/>
        <w:tabs>
          <w:tab w:leader="none" w:pos="180" w:val="left"/>
        </w:tabs>
        <w:numPr>
          <w:ilvl w:val="0"/>
          <w:numId w:val="26"/>
        </w:numPr>
        <w:rPr>
          <w:rFonts w:ascii="Calibri" w:cs="Calibri" w:eastAsia="Calibri" w:hAnsi="Calibri"/>
          <w:sz w:val="17"/>
          <w:szCs w:val="17"/>
          <w:color w:val="003478"/>
        </w:rPr>
      </w:pPr>
      <w:r>
        <w:rPr>
          <w:rFonts w:ascii="Calibri" w:cs="Calibri" w:eastAsia="Calibri" w:hAnsi="Calibri"/>
          <w:sz w:val="17"/>
          <w:szCs w:val="17"/>
          <w:b w:val="1"/>
          <w:bCs w:val="1"/>
          <w:color w:val="auto"/>
        </w:rPr>
        <w:t xml:space="preserve">Board consultants — </w:t>
      </w:r>
      <w:r>
        <w:rPr>
          <w:rFonts w:ascii="Calibri" w:cs="Calibri" w:eastAsia="Calibri" w:hAnsi="Calibri"/>
          <w:sz w:val="17"/>
          <w:szCs w:val="17"/>
          <w:color w:val="auto"/>
        </w:rPr>
        <w:t>recommend to the Board and commitees the retenton of advisors and consultants who report directly to the Board; and</w:t>
      </w:r>
    </w:p>
    <w:p>
      <w:pPr>
        <w:spacing w:after="0" w:line="62" w:lineRule="exact"/>
        <w:rPr>
          <w:rFonts w:ascii="Calibri" w:cs="Calibri" w:eastAsia="Calibri" w:hAnsi="Calibri"/>
          <w:sz w:val="17"/>
          <w:szCs w:val="17"/>
          <w:color w:val="003478"/>
        </w:rPr>
      </w:pPr>
    </w:p>
    <w:p>
      <w:pPr>
        <w:ind w:left="180" w:hanging="154"/>
        <w:spacing w:after="0"/>
        <w:tabs>
          <w:tab w:leader="none" w:pos="180" w:val="left"/>
        </w:tabs>
        <w:numPr>
          <w:ilvl w:val="0"/>
          <w:numId w:val="26"/>
        </w:numPr>
        <w:rPr>
          <w:rFonts w:ascii="Calibri" w:cs="Calibri" w:eastAsia="Calibri" w:hAnsi="Calibri"/>
          <w:sz w:val="17"/>
          <w:szCs w:val="17"/>
          <w:color w:val="003478"/>
        </w:rPr>
      </w:pPr>
      <w:r>
        <w:rPr>
          <w:rFonts w:ascii="Calibri" w:cs="Calibri" w:eastAsia="Calibri" w:hAnsi="Calibri"/>
          <w:sz w:val="17"/>
          <w:szCs w:val="17"/>
          <w:b w:val="1"/>
          <w:bCs w:val="1"/>
          <w:color w:val="auto"/>
        </w:rPr>
        <w:t xml:space="preserve">Board special meetngs — </w:t>
      </w:r>
      <w:r>
        <w:rPr>
          <w:rFonts w:ascii="Calibri" w:cs="Calibri" w:eastAsia="Calibri" w:hAnsi="Calibri"/>
          <w:sz w:val="17"/>
          <w:szCs w:val="17"/>
          <w:color w:val="auto"/>
        </w:rPr>
        <w:t>authority to call a special meetng of the Board or of the independent directors at any tme, at any place and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401955</wp:posOffset>
            </wp:positionV>
            <wp:extent cx="1071880" cy="180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5"/>
          <w:szCs w:val="25"/>
          <w:color w:val="818EB4"/>
        </w:rPr>
        <w:t>Considerations in Selecting the Current Independent Lead Director</w:t>
      </w:r>
    </w:p>
    <w:p>
      <w:pPr>
        <w:spacing w:after="0" w:line="113" w:lineRule="exact"/>
        <w:rPr>
          <w:sz w:val="20"/>
          <w:szCs w:val="20"/>
          <w:color w:val="auto"/>
        </w:rPr>
      </w:pPr>
    </w:p>
    <w:p>
      <w:pPr>
        <w:ind w:right="20"/>
        <w:spacing w:after="0" w:line="252" w:lineRule="auto"/>
        <w:rPr>
          <w:sz w:val="20"/>
          <w:szCs w:val="20"/>
          <w:color w:val="auto"/>
        </w:rPr>
      </w:pPr>
      <w:r>
        <w:rPr>
          <w:rFonts w:ascii="Calibri" w:cs="Calibri" w:eastAsia="Calibri" w:hAnsi="Calibri"/>
          <w:sz w:val="17"/>
          <w:szCs w:val="17"/>
          <w:color w:val="auto"/>
        </w:rPr>
        <w:t>In accordance with our Bylaws and Governance Guidelines, the independent members of the Board annually elect one of the independent directors to serve as the Lead Director by the afrmatve vote of a majority of the directors who have been determined to be “independent” for purposes of the New York Stock Exchange (NYSE) listng standards. The Board’s nominee for independent Lead Director, Dan Akerson, has been elected annually to serve as independent Lead Director since 2019. The Board believes that his signifcant experience with global operatons and organizatons undergoing a strategic transiton makes him well-qualifed to provide independent oversight of the opportunites and risks currently facing the Company.</w:t>
      </w:r>
    </w:p>
    <w:p>
      <w:pPr>
        <w:spacing w:after="0" w:line="126" w:lineRule="exact"/>
        <w:rPr>
          <w:sz w:val="20"/>
          <w:szCs w:val="20"/>
          <w:color w:val="auto"/>
        </w:rPr>
      </w:pPr>
    </w:p>
    <w:p>
      <w:pPr>
        <w:ind w:right="40"/>
        <w:spacing w:after="0" w:line="256" w:lineRule="auto"/>
        <w:rPr>
          <w:sz w:val="20"/>
          <w:szCs w:val="20"/>
          <w:color w:val="auto"/>
        </w:rPr>
      </w:pPr>
      <w:r>
        <w:rPr>
          <w:rFonts w:ascii="Calibri" w:cs="Calibri" w:eastAsia="Calibri" w:hAnsi="Calibri"/>
          <w:sz w:val="17"/>
          <w:szCs w:val="17"/>
          <w:color w:val="auto"/>
        </w:rPr>
        <w:t>Mr. Akerson meets frequently with Mr. Taiclet to provide independent oversight and provide feedback and directon from the independent Board members. Mr. Akerson leads the Board’s annual self-evaluaton and annually conducts one-on-one meetngs with each independent director to seek feedback on Board and Company operatons and priorites and the Chairman and CEO’s performance, and may also provide input on the design of the Board itself. Mr. Akerson is also deeply engaged with Board refreshment and interviews all potental candidates in additon to the Chairman. Mr. Akerson also leads discussions of the independent directors on CEO and management succession planning.</w:t>
      </w:r>
    </w:p>
    <w:p>
      <w:pPr>
        <w:spacing w:after="0" w:line="108" w:lineRule="exact"/>
        <w:rPr>
          <w:sz w:val="20"/>
          <w:szCs w:val="20"/>
          <w:color w:val="auto"/>
        </w:rPr>
      </w:pPr>
    </w:p>
    <w:p>
      <w:pPr>
        <w:ind w:right="120"/>
        <w:spacing w:after="0" w:line="258" w:lineRule="auto"/>
        <w:rPr>
          <w:sz w:val="20"/>
          <w:szCs w:val="20"/>
          <w:color w:val="auto"/>
        </w:rPr>
      </w:pPr>
      <w:r>
        <w:rPr>
          <w:rFonts w:ascii="Calibri" w:cs="Calibri" w:eastAsia="Calibri" w:hAnsi="Calibri"/>
          <w:sz w:val="17"/>
          <w:szCs w:val="17"/>
          <w:color w:val="auto"/>
        </w:rPr>
        <w:t>Annually, the Board analyzes risks to the Company through an in-depth strategy review and advises on the Company’s strategy to efectvely manage those risks. In leading a discussion of the independent directors as part of this review, Mr. Akerson is well-positoned to elicit independent Board member views on the Company’s strategy and risk management and require Board consideraton of any risk maters. As chair of the Governance Commitee and an ex ofcio member of each other commitee, Mr. Akerson has insight into and oversight of all maters before the Board.</w:t>
      </w:r>
    </w:p>
    <w:p>
      <w:pPr>
        <w:spacing w:after="0" w:line="304" w:lineRule="exact"/>
        <w:rPr>
          <w:sz w:val="20"/>
          <w:szCs w:val="20"/>
          <w:color w:val="auto"/>
        </w:rPr>
      </w:pPr>
    </w:p>
    <w:p>
      <w:pPr>
        <w:spacing w:after="0"/>
        <w:rPr>
          <w:sz w:val="20"/>
          <w:szCs w:val="20"/>
          <w:color w:val="auto"/>
        </w:rPr>
      </w:pPr>
      <w:r>
        <w:rPr>
          <w:rFonts w:ascii="Arial" w:cs="Arial" w:eastAsia="Arial" w:hAnsi="Arial"/>
          <w:sz w:val="29"/>
          <w:szCs w:val="29"/>
          <w:color w:val="003478"/>
        </w:rPr>
        <w:t>Executive Sessions</w:t>
      </w:r>
    </w:p>
    <w:p>
      <w:pPr>
        <w:spacing w:after="0" w:line="144" w:lineRule="exact"/>
        <w:rPr>
          <w:sz w:val="20"/>
          <w:szCs w:val="20"/>
          <w:color w:val="auto"/>
        </w:rPr>
      </w:pPr>
    </w:p>
    <w:p>
      <w:pPr>
        <w:ind w:right="60"/>
        <w:spacing w:after="0" w:line="252" w:lineRule="auto"/>
        <w:rPr>
          <w:sz w:val="20"/>
          <w:szCs w:val="20"/>
          <w:color w:val="auto"/>
        </w:rPr>
      </w:pPr>
      <w:r>
        <w:rPr>
          <w:rFonts w:ascii="Calibri" w:cs="Calibri" w:eastAsia="Calibri" w:hAnsi="Calibri"/>
          <w:sz w:val="17"/>
          <w:szCs w:val="17"/>
          <w:color w:val="auto"/>
        </w:rPr>
        <w:t>Generally, each Board and commitee meetng agenda includes an executve session of the non-management directors, who are all independent. The Governance Guidelines require that at least three Board meetngs per year will include an executve session of the non-management directors. In 2022, every Board meetng included an executve session. In most cases, these sessions included a discussion of CEO performance. The independent Lead Director presides during the executve sessions of the Board, and reports to the Chairman and CEO on all relevant maters, or invites the Chairman and CEO to join the executve session for further discussion, as appropriate. The respectve chairman of each commitee presides during the commitee executve sessions.</w:t>
      </w:r>
    </w:p>
    <w:p>
      <w:pPr>
        <w:spacing w:after="0" w:line="323" w:lineRule="exact"/>
        <w:rPr>
          <w:sz w:val="20"/>
          <w:szCs w:val="20"/>
          <w:color w:val="auto"/>
        </w:rPr>
      </w:pPr>
    </w:p>
    <w:p>
      <w:pPr>
        <w:spacing w:after="0"/>
        <w:rPr>
          <w:sz w:val="20"/>
          <w:szCs w:val="20"/>
          <w:color w:val="auto"/>
        </w:rPr>
      </w:pPr>
      <w:r>
        <w:rPr>
          <w:rFonts w:ascii="Arial" w:cs="Arial" w:eastAsia="Arial" w:hAnsi="Arial"/>
          <w:sz w:val="29"/>
          <w:szCs w:val="29"/>
          <w:color w:val="003478"/>
        </w:rPr>
        <w:t>Committees of the Board of Directors</w:t>
      </w:r>
    </w:p>
    <w:p>
      <w:pPr>
        <w:spacing w:after="0" w:line="130" w:lineRule="exact"/>
        <w:rPr>
          <w:sz w:val="20"/>
          <w:szCs w:val="20"/>
          <w:color w:val="auto"/>
        </w:rPr>
      </w:pPr>
    </w:p>
    <w:p>
      <w:pPr>
        <w:ind w:right="140"/>
        <w:spacing w:after="0" w:line="258" w:lineRule="auto"/>
        <w:rPr>
          <w:sz w:val="20"/>
          <w:szCs w:val="20"/>
          <w:color w:val="auto"/>
        </w:rPr>
      </w:pPr>
      <w:r>
        <w:rPr>
          <w:rFonts w:ascii="Calibri" w:cs="Calibri" w:eastAsia="Calibri" w:hAnsi="Calibri"/>
          <w:sz w:val="17"/>
          <w:szCs w:val="17"/>
          <w:color w:val="auto"/>
        </w:rPr>
        <w:t xml:space="preserve">The Board has four standing commitees: Audit, Classifed Business and Security (CBS Commitee), Management Development and Compensaton (Compensaton Commitee), and Nominatng and Corporate Governance (Governance Commitee). Charters for each commitee are available on the Company’s website at </w:t>
      </w:r>
      <w:r>
        <w:rPr>
          <w:rFonts w:ascii="Calibri" w:cs="Calibri" w:eastAsia="Calibri" w:hAnsi="Calibri"/>
          <w:sz w:val="17"/>
          <w:szCs w:val="17"/>
          <w:i w:val="1"/>
          <w:iCs w:val="1"/>
          <w:color w:val="auto"/>
        </w:rPr>
        <w:t>www.lockheedmartn.com/corporate-governance</w:t>
      </w:r>
      <w:r>
        <w:rPr>
          <w:rFonts w:ascii="Calibri" w:cs="Calibri" w:eastAsia="Calibri" w:hAnsi="Calibri"/>
          <w:sz w:val="17"/>
          <w:szCs w:val="17"/>
          <w:color w:val="auto"/>
        </w:rPr>
        <w:t>. The Board may establish other standing or special commitees as may be necessary to carry out its responsibilites.</w:t>
      </w:r>
    </w:p>
    <w:p>
      <w:pPr>
        <w:spacing w:after="0" w:line="107" w:lineRule="exact"/>
        <w:rPr>
          <w:sz w:val="20"/>
          <w:szCs w:val="20"/>
          <w:color w:val="auto"/>
        </w:rPr>
      </w:pPr>
    </w:p>
    <w:p>
      <w:pPr>
        <w:ind w:right="540"/>
        <w:spacing w:after="0" w:line="256" w:lineRule="auto"/>
        <w:rPr>
          <w:sz w:val="20"/>
          <w:szCs w:val="20"/>
          <w:color w:val="auto"/>
        </w:rPr>
      </w:pPr>
      <w:r>
        <w:rPr>
          <w:rFonts w:ascii="Calibri" w:cs="Calibri" w:eastAsia="Calibri" w:hAnsi="Calibri"/>
          <w:sz w:val="17"/>
          <w:szCs w:val="17"/>
          <w:color w:val="auto"/>
        </w:rPr>
        <w:t>In February of each year, the Governance Commitee reviews the membership, tenure, leadership and commitments of each of the commitees and considers possible changes given the qualifcatons and skill sets of members on the Board or a desire for commitee rotaton or refreshment. The Governance Commitee also takes into consideraton the membership requirements and responsibilites set forth in each of the respectve commitee charters and the Governance Guidelines. The Governance Commitee recommends to the Board any proposed changes to commitee assignments and leadership. The Governance Commitee also reviews the operaton of the Board generally.</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003478"/>
        </w:rPr>
        <w:t>2022-2023 Committee Membership Changes</w:t>
      </w:r>
    </w:p>
    <w:p>
      <w:pPr>
        <w:spacing w:after="0" w:line="115" w:lineRule="exact"/>
        <w:rPr>
          <w:sz w:val="20"/>
          <w:szCs w:val="20"/>
          <w:color w:val="auto"/>
        </w:rPr>
      </w:pPr>
    </w:p>
    <w:p>
      <w:pPr>
        <w:ind w:right="260"/>
        <w:spacing w:after="0" w:line="255" w:lineRule="auto"/>
        <w:rPr>
          <w:sz w:val="20"/>
          <w:szCs w:val="20"/>
          <w:color w:val="auto"/>
        </w:rPr>
      </w:pPr>
      <w:r>
        <w:rPr>
          <w:rFonts w:ascii="Calibri" w:cs="Calibri" w:eastAsia="Calibri" w:hAnsi="Calibri"/>
          <w:sz w:val="17"/>
          <w:szCs w:val="17"/>
          <w:color w:val="auto"/>
        </w:rPr>
        <w:t>At the June 2022 Board meetng, upon the recommendaton of the Governance Commitee, the Board added Ms. Reed-Klages to the Governance Commitee and added Mr. Donovan to the Audit Commitee, replacing Ms. Reed-Klages. Mr. Vincent R. Stewart joined the CBS Commitee in July 2022 and served through his resignaton from the Board efectve January 1, 2023.</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003478"/>
        </w:rPr>
        <w:t>2023-2024 Committee Membership Changes</w:t>
      </w:r>
    </w:p>
    <w:p>
      <w:pPr>
        <w:spacing w:after="0" w:line="129" w:lineRule="exact"/>
        <w:rPr>
          <w:sz w:val="20"/>
          <w:szCs w:val="20"/>
          <w:color w:val="auto"/>
        </w:rPr>
      </w:pPr>
    </w:p>
    <w:p>
      <w:pPr>
        <w:ind w:right="320"/>
        <w:spacing w:after="0" w:line="255" w:lineRule="auto"/>
        <w:rPr>
          <w:sz w:val="20"/>
          <w:szCs w:val="20"/>
          <w:color w:val="auto"/>
        </w:rPr>
      </w:pPr>
      <w:r>
        <w:rPr>
          <w:rFonts w:ascii="Calibri" w:cs="Calibri" w:eastAsia="Calibri" w:hAnsi="Calibri"/>
          <w:sz w:val="17"/>
          <w:szCs w:val="17"/>
          <w:color w:val="auto"/>
        </w:rPr>
        <w:t>At the February 2023 Board meetng, upon the recommendaton of the Governance Commitee, the Board elected Mr. Dunford as Chair of the CBS Commitee and Mr. Donovan as a member and the Chair of the Compensaton Commitee, each efectve afer the Annual Meetng and assuming their re-electon. Mr. Donovan will no longer serve as a member of the Audit Commitee following his electon to the Compensaton Commitee.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818EB4"/>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2168525" cy="35318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68525" cy="353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3478"/>
        </w:rPr>
        <w:t>Thomas J. Falk, Chair</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David B. Burritt</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John M. Donovan*</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James O. Ellis, Jr.</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Ilene S. Gordon</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Patricia E. Yarrington</w:t>
      </w:r>
    </w:p>
    <w:p>
      <w:pPr>
        <w:spacing w:after="0" w:line="186" w:lineRule="exact"/>
        <w:rPr>
          <w:sz w:val="20"/>
          <w:szCs w:val="20"/>
          <w:color w:val="auto"/>
        </w:rPr>
      </w:pPr>
    </w:p>
    <w:p>
      <w:pPr>
        <w:ind w:left="160"/>
        <w:spacing w:after="0" w:line="256" w:lineRule="auto"/>
        <w:rPr>
          <w:sz w:val="20"/>
          <w:szCs w:val="20"/>
          <w:color w:val="auto"/>
        </w:rPr>
      </w:pPr>
      <w:r>
        <w:rPr>
          <w:rFonts w:ascii="Calibri" w:cs="Calibri" w:eastAsia="Calibri" w:hAnsi="Calibri"/>
          <w:sz w:val="17"/>
          <w:szCs w:val="17"/>
          <w:color w:val="002E6D"/>
          <w:shd w:val="clear" w:color="auto" w:fill="E5E7EF"/>
        </w:rPr>
        <w:t>All Audit Commitee members are independent within the meaning of the NYSE listng standards, applicable SEC regulatons and our Governance Guidelines. In additon, the Board has determined that all members are fnancially literate within the meaning of the NYSE listng standards and that all members, except Mr. Ellis, meet the SEC’s criteria as audit commitee “fnancial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216852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6852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5460" w:val="left"/>
        </w:tabs>
        <w:rPr>
          <w:sz w:val="20"/>
          <w:szCs w:val="20"/>
          <w:color w:val="auto"/>
        </w:rPr>
      </w:pPr>
      <w:r>
        <w:rPr>
          <w:rFonts w:ascii="Arial" w:cs="Arial" w:eastAsia="Arial" w:hAnsi="Arial"/>
          <w:sz w:val="20"/>
          <w:szCs w:val="20"/>
          <w:color w:val="003478"/>
        </w:rPr>
        <w:t>2022 Focus Areas</w:t>
      </w:r>
      <w:r>
        <w:rPr>
          <w:sz w:val="20"/>
          <w:szCs w:val="20"/>
          <w:color w:val="auto"/>
        </w:rPr>
        <w:tab/>
      </w:r>
      <w:r>
        <w:rPr>
          <w:rFonts w:ascii="Arial" w:cs="Arial" w:eastAsia="Arial" w:hAnsi="Arial"/>
          <w:sz w:val="19"/>
          <w:szCs w:val="19"/>
          <w:color w:val="003478"/>
        </w:rPr>
        <w:t>Meetings in 2022: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-251460</wp:posOffset>
            </wp:positionV>
            <wp:extent cx="7132320" cy="685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6858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39370</wp:posOffset>
            </wp:positionV>
            <wp:extent cx="48260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119" w:lineRule="exact"/>
        <w:rPr>
          <w:sz w:val="20"/>
          <w:szCs w:val="20"/>
          <w:color w:val="auto"/>
        </w:rPr>
      </w:pPr>
    </w:p>
    <w:p>
      <w:pPr>
        <w:ind w:left="240" w:hanging="162"/>
        <w:spacing w:after="0"/>
        <w:tabs>
          <w:tab w:leader="none" w:pos="240" w:val="left"/>
        </w:tabs>
        <w:numPr>
          <w:ilvl w:val="0"/>
          <w:numId w:val="27"/>
        </w:numPr>
        <w:rPr>
          <w:rFonts w:ascii="Calibri" w:cs="Calibri" w:eastAsia="Calibri" w:hAnsi="Calibri"/>
          <w:sz w:val="17"/>
          <w:szCs w:val="17"/>
          <w:color w:val="002E6D"/>
        </w:rPr>
      </w:pPr>
      <w:r>
        <w:rPr>
          <w:rFonts w:ascii="Calibri" w:cs="Calibri" w:eastAsia="Calibri" w:hAnsi="Calibri"/>
          <w:sz w:val="17"/>
          <w:szCs w:val="17"/>
          <w:color w:val="auto"/>
        </w:rPr>
        <w:t>Business Segment and Program Performance</w:t>
      </w:r>
    </w:p>
    <w:p>
      <w:pPr>
        <w:spacing w:after="0" w:line="75" w:lineRule="exact"/>
        <w:rPr>
          <w:rFonts w:ascii="Calibri" w:cs="Calibri" w:eastAsia="Calibri" w:hAnsi="Calibri"/>
          <w:sz w:val="17"/>
          <w:szCs w:val="17"/>
          <w:color w:val="002E6D"/>
        </w:rPr>
      </w:pPr>
    </w:p>
    <w:p>
      <w:pPr>
        <w:ind w:left="240" w:hanging="162"/>
        <w:spacing w:after="0"/>
        <w:tabs>
          <w:tab w:leader="none" w:pos="240" w:val="left"/>
        </w:tabs>
        <w:numPr>
          <w:ilvl w:val="0"/>
          <w:numId w:val="27"/>
        </w:numPr>
        <w:rPr>
          <w:rFonts w:ascii="Calibri" w:cs="Calibri" w:eastAsia="Calibri" w:hAnsi="Calibri"/>
          <w:sz w:val="17"/>
          <w:szCs w:val="17"/>
          <w:color w:val="002E6D"/>
        </w:rPr>
      </w:pPr>
      <w:r>
        <w:rPr>
          <w:rFonts w:ascii="Calibri" w:cs="Calibri" w:eastAsia="Calibri" w:hAnsi="Calibri"/>
          <w:sz w:val="17"/>
          <w:szCs w:val="17"/>
          <w:color w:val="auto"/>
        </w:rPr>
        <w:t>Enterprise Risk Management and 2022 Audit Plan; Internal Audit Transformaton</w:t>
      </w:r>
    </w:p>
    <w:p>
      <w:pPr>
        <w:spacing w:after="0" w:line="65" w:lineRule="exact"/>
        <w:rPr>
          <w:rFonts w:ascii="Calibri" w:cs="Calibri" w:eastAsia="Calibri" w:hAnsi="Calibri"/>
          <w:sz w:val="17"/>
          <w:szCs w:val="17"/>
          <w:color w:val="002E6D"/>
        </w:rPr>
      </w:pPr>
    </w:p>
    <w:p>
      <w:pPr>
        <w:ind w:left="240" w:right="380" w:hanging="162"/>
        <w:spacing w:after="0" w:line="261" w:lineRule="auto"/>
        <w:tabs>
          <w:tab w:leader="none" w:pos="233" w:val="left"/>
        </w:tabs>
        <w:numPr>
          <w:ilvl w:val="0"/>
          <w:numId w:val="27"/>
        </w:numPr>
        <w:rPr>
          <w:rFonts w:ascii="Calibri" w:cs="Calibri" w:eastAsia="Calibri" w:hAnsi="Calibri"/>
          <w:sz w:val="17"/>
          <w:szCs w:val="17"/>
          <w:color w:val="003478"/>
        </w:rPr>
      </w:pPr>
      <w:r>
        <w:rPr>
          <w:rFonts w:ascii="Calibri" w:cs="Calibri" w:eastAsia="Calibri" w:hAnsi="Calibri"/>
          <w:sz w:val="17"/>
          <w:szCs w:val="17"/>
          <w:color w:val="auto"/>
        </w:rPr>
        <w:t>Critcal Audit Maters Related to Revenue Recogniton and Pension Estmates; Pension De-Risking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56515</wp:posOffset>
            </wp:positionV>
            <wp:extent cx="48260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003478"/>
        </w:rPr>
        <w:t>Roles and Responsibilities of the Committee</w:t>
      </w:r>
    </w:p>
    <w:p>
      <w:pPr>
        <w:spacing w:after="0" w:line="129" w:lineRule="exact"/>
        <w:rPr>
          <w:sz w:val="20"/>
          <w:szCs w:val="20"/>
          <w:color w:val="auto"/>
        </w:rPr>
      </w:pPr>
    </w:p>
    <w:p>
      <w:pPr>
        <w:ind w:right="20"/>
        <w:spacing w:after="0" w:line="258" w:lineRule="auto"/>
        <w:rPr>
          <w:sz w:val="20"/>
          <w:szCs w:val="20"/>
          <w:color w:val="auto"/>
        </w:rPr>
      </w:pPr>
      <w:r>
        <w:rPr>
          <w:rFonts w:ascii="Calibri" w:cs="Calibri" w:eastAsia="Calibri" w:hAnsi="Calibri"/>
          <w:sz w:val="17"/>
          <w:szCs w:val="17"/>
          <w:color w:val="auto"/>
        </w:rPr>
        <w:t>The Audit Commitee assists the Board in fulflling its oversight responsibilites relatng to the integrity of the fnancial statements and compliance with legal and regulatory requirements. The Audit Commitee has oversight of the Company’s internal audit plan and reviews risks and opportunites to management’s long-term strategy as identfed by the Company’s enterprise risk management processes. It is directly responsible for the appointment, compensaton, retenton, oversight and terminaton of the Company’s independent auditors, Ernst &amp; Young LLP (Ernst &amp; Young). The Audit Commitee also reviews the Company’s policies regarding derivatves and the fnancial status, investment performance and funding of the Company’s post-retrement beneft plans. The Audit Commitee meets privately with management, internal audit, and Ernst &amp; Young. The functons of the Audit Commitee are further described in the “Audit Commitee Report” on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983615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1" w:lineRule="exact"/>
        <w:rPr>
          <w:sz w:val="20"/>
          <w:szCs w:val="20"/>
          <w:color w:val="auto"/>
        </w:rPr>
      </w:pPr>
    </w:p>
    <w:p>
      <w:pPr>
        <w:sectPr>
          <w:pgSz w:w="11900" w:h="16838" w:orient="portrait"/>
          <w:cols w:equalWidth="0" w:num="2">
            <w:col w:w="3280" w:space="380"/>
            <w:col w:w="7500"/>
          </w:cols>
          <w:pgMar w:left="320" w:top="23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80" w:val="left"/>
        </w:tabs>
        <w:rPr>
          <w:sz w:val="20"/>
          <w:szCs w:val="20"/>
          <w:color w:val="auto"/>
        </w:rPr>
      </w:pPr>
      <w:r>
        <w:rPr>
          <w:rFonts w:ascii="Calibri" w:cs="Calibri" w:eastAsia="Calibri" w:hAnsi="Calibri"/>
          <w:sz w:val="14"/>
          <w:szCs w:val="14"/>
          <w:color w:val="auto"/>
        </w:rPr>
        <w:t>*</w:t>
        <w:tab/>
        <w:t>Mr. Donovan joined in June 2022 and will serve untl the Annual Meetng. Ms. Reed-Klages served untl June 2022.</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818EB4"/>
        </w:rPr>
        <w:t>Classified Business and 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26060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2606040"/>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James O. Ellis, Jr., Chair*</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Bruce A. Carlson</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John M. Donovan*</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Joseph F. Dunford, Jr.</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Jeh C. Johnson</w:t>
      </w:r>
    </w:p>
    <w:p>
      <w:pPr>
        <w:spacing w:after="0" w:line="132" w:lineRule="exact"/>
        <w:rPr>
          <w:sz w:val="20"/>
          <w:szCs w:val="20"/>
          <w:color w:val="auto"/>
        </w:rPr>
      </w:pPr>
    </w:p>
    <w:p>
      <w:pPr>
        <w:ind w:left="160"/>
        <w:spacing w:after="0" w:line="257" w:lineRule="auto"/>
        <w:rPr>
          <w:sz w:val="20"/>
          <w:szCs w:val="20"/>
          <w:color w:val="auto"/>
        </w:rPr>
      </w:pPr>
      <w:r>
        <w:rPr>
          <w:rFonts w:ascii="Calibri" w:cs="Calibri" w:eastAsia="Calibri" w:hAnsi="Calibri"/>
          <w:sz w:val="17"/>
          <w:szCs w:val="17"/>
          <w:color w:val="002E6D"/>
        </w:rPr>
        <w:t>All CBS Commitee members are independent within the meaning of the NYSE listng standards and our Governance Guidelines and hold high-level security clearances.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tabs>
          <w:tab w:leader="none" w:pos="5460" w:val="left"/>
        </w:tabs>
        <w:rPr>
          <w:sz w:val="20"/>
          <w:szCs w:val="20"/>
          <w:color w:val="auto"/>
        </w:rPr>
      </w:pPr>
      <w:r>
        <w:rPr>
          <w:rFonts w:ascii="Arial" w:cs="Arial" w:eastAsia="Arial" w:hAnsi="Arial"/>
          <w:sz w:val="20"/>
          <w:szCs w:val="20"/>
          <w:color w:val="003478"/>
        </w:rPr>
        <w:t>2022 Focus Areas</w:t>
      </w:r>
      <w:r>
        <w:rPr>
          <w:sz w:val="20"/>
          <w:szCs w:val="20"/>
          <w:color w:val="auto"/>
        </w:rPr>
        <w:tab/>
      </w:r>
      <w:r>
        <w:rPr>
          <w:rFonts w:ascii="Arial" w:cs="Arial" w:eastAsia="Arial" w:hAnsi="Arial"/>
          <w:sz w:val="19"/>
          <w:szCs w:val="19"/>
          <w:color w:val="003478"/>
        </w:rPr>
        <w:t>Meetings in 2022: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39370</wp:posOffset>
            </wp:positionV>
            <wp:extent cx="48260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26000" cy="8890"/>
                    </a:xfrm>
                    <a:prstGeom prst="rect">
                      <a:avLst/>
                    </a:prstGeom>
                    <a:noFill/>
                  </pic:spPr>
                </pic:pic>
              </a:graphicData>
            </a:graphic>
          </wp:anchor>
        </w:drawing>
      </w:r>
    </w:p>
    <w:p>
      <w:pPr>
        <w:spacing w:after="0" w:line="133" w:lineRule="exact"/>
        <w:rPr>
          <w:sz w:val="20"/>
          <w:szCs w:val="20"/>
          <w:color w:val="auto"/>
        </w:rPr>
      </w:pPr>
    </w:p>
    <w:p>
      <w:pPr>
        <w:ind w:left="240" w:hanging="162"/>
        <w:spacing w:after="0"/>
        <w:tabs>
          <w:tab w:leader="none" w:pos="240" w:val="left"/>
        </w:tabs>
        <w:numPr>
          <w:ilvl w:val="0"/>
          <w:numId w:val="28"/>
        </w:numPr>
        <w:rPr>
          <w:rFonts w:ascii="Calibri" w:cs="Calibri" w:eastAsia="Calibri" w:hAnsi="Calibri"/>
          <w:sz w:val="17"/>
          <w:szCs w:val="17"/>
          <w:color w:val="002E6D"/>
        </w:rPr>
      </w:pPr>
      <w:r>
        <w:rPr>
          <w:rFonts w:ascii="Calibri" w:cs="Calibri" w:eastAsia="Calibri" w:hAnsi="Calibri"/>
          <w:sz w:val="17"/>
          <w:szCs w:val="17"/>
          <w:color w:val="auto"/>
        </w:rPr>
        <w:t>Classifed Program Risk Oversight and Alignment with Company’s Strategy</w:t>
      </w:r>
    </w:p>
    <w:p>
      <w:pPr>
        <w:spacing w:after="0" w:line="75" w:lineRule="exact"/>
        <w:rPr>
          <w:rFonts w:ascii="Calibri" w:cs="Calibri" w:eastAsia="Calibri" w:hAnsi="Calibri"/>
          <w:sz w:val="17"/>
          <w:szCs w:val="17"/>
          <w:color w:val="002E6D"/>
        </w:rPr>
      </w:pPr>
    </w:p>
    <w:p>
      <w:pPr>
        <w:ind w:left="240" w:hanging="162"/>
        <w:spacing w:after="0"/>
        <w:tabs>
          <w:tab w:leader="none" w:pos="240" w:val="left"/>
        </w:tabs>
        <w:numPr>
          <w:ilvl w:val="0"/>
          <w:numId w:val="28"/>
        </w:numPr>
        <w:rPr>
          <w:rFonts w:ascii="Calibri" w:cs="Calibri" w:eastAsia="Calibri" w:hAnsi="Calibri"/>
          <w:sz w:val="17"/>
          <w:szCs w:val="17"/>
          <w:color w:val="002E6D"/>
        </w:rPr>
      </w:pPr>
      <w:r>
        <w:rPr>
          <w:rFonts w:ascii="Calibri" w:cs="Calibri" w:eastAsia="Calibri" w:hAnsi="Calibri"/>
          <w:sz w:val="17"/>
          <w:szCs w:val="17"/>
          <w:color w:val="auto"/>
        </w:rPr>
        <w:t>Support to Supply Chain Risk Management</w:t>
      </w:r>
    </w:p>
    <w:p>
      <w:pPr>
        <w:spacing w:after="0" w:line="62" w:lineRule="exact"/>
        <w:rPr>
          <w:rFonts w:ascii="Calibri" w:cs="Calibri" w:eastAsia="Calibri" w:hAnsi="Calibri"/>
          <w:sz w:val="17"/>
          <w:szCs w:val="17"/>
          <w:color w:val="002E6D"/>
        </w:rPr>
      </w:pPr>
    </w:p>
    <w:p>
      <w:pPr>
        <w:ind w:left="240" w:hanging="162"/>
        <w:spacing w:after="0"/>
        <w:tabs>
          <w:tab w:leader="none" w:pos="240" w:val="left"/>
        </w:tabs>
        <w:numPr>
          <w:ilvl w:val="0"/>
          <w:numId w:val="28"/>
        </w:numPr>
        <w:rPr>
          <w:rFonts w:ascii="Calibri" w:cs="Calibri" w:eastAsia="Calibri" w:hAnsi="Calibri"/>
          <w:sz w:val="17"/>
          <w:szCs w:val="17"/>
          <w:color w:val="002E6D"/>
        </w:rPr>
      </w:pPr>
      <w:r>
        <w:rPr>
          <w:rFonts w:ascii="Calibri" w:cs="Calibri" w:eastAsia="Calibri" w:hAnsi="Calibri"/>
          <w:sz w:val="17"/>
          <w:szCs w:val="17"/>
          <w:color w:val="auto"/>
        </w:rPr>
        <w:t>Security of Personnel, Facilites and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76200</wp:posOffset>
            </wp:positionV>
            <wp:extent cx="48260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003478"/>
        </w:rPr>
        <w:t>Roles and Responsibilities of the Committee</w:t>
      </w:r>
    </w:p>
    <w:p>
      <w:pPr>
        <w:spacing w:after="0" w:line="129" w:lineRule="exact"/>
        <w:rPr>
          <w:sz w:val="20"/>
          <w:szCs w:val="20"/>
          <w:color w:val="auto"/>
        </w:rPr>
      </w:pPr>
    </w:p>
    <w:p>
      <w:pPr>
        <w:spacing w:after="0" w:line="257" w:lineRule="auto"/>
        <w:rPr>
          <w:sz w:val="20"/>
          <w:szCs w:val="20"/>
          <w:color w:val="auto"/>
        </w:rPr>
      </w:pPr>
      <w:r>
        <w:rPr>
          <w:rFonts w:ascii="Calibri" w:cs="Calibri" w:eastAsia="Calibri" w:hAnsi="Calibri"/>
          <w:sz w:val="17"/>
          <w:szCs w:val="17"/>
          <w:color w:val="auto"/>
        </w:rPr>
        <w:t>The CBS Commitee assists the Board in fulflling its oversight responsibilites relatng to the Company’s classifed business actvites and the security of personnel, facilites and data (including classifed cybersecurity maters). The CBS Commitee consists of directors who possess the appropriate security clearance credentals, at least one of whom must be a member of the Audit Commitee, none of whom are ofcers or employees of the Company and all of whom are free from any relatonship that, in the opinion of the Board, would interfere with the exercise of independent judgment as a member of the CBS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542290</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4" w:lineRule="exact"/>
        <w:rPr>
          <w:sz w:val="20"/>
          <w:szCs w:val="20"/>
          <w:color w:val="auto"/>
        </w:rPr>
      </w:pPr>
    </w:p>
    <w:p>
      <w:pPr>
        <w:sectPr>
          <w:pgSz w:w="11900" w:h="16838" w:orient="portrait"/>
          <w:cols w:equalWidth="0" w:num="2">
            <w:col w:w="3360" w:space="300"/>
            <w:col w:w="7500"/>
          </w:cols>
          <w:pgMar w:left="320" w:top="230" w:right="41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ind w:left="260" w:right="20" w:hanging="252"/>
        <w:spacing w:after="0" w:line="264" w:lineRule="auto"/>
        <w:tabs>
          <w:tab w:leader="none" w:pos="219"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Efectve afer the Annual Meetng and assuming his re-electon, Mr. Dunford will become the Chair of the CBS Commitee. Mr. Ellis will remain a member of the CBS Commitee. In additon to the listed members above, Mr. Vincent R. Stewart served on the Commitee from July 2022 untl January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293370</wp:posOffset>
            </wp:positionV>
            <wp:extent cx="1071880"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5"/>
          <w:szCs w:val="25"/>
          <w:color w:val="818EB4"/>
        </w:rPr>
        <w:t>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31032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31032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Ilene S. Gordon, Chair*</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Thomas J. Falk</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Vicki A. Hollub</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Debra L. Reed-Klages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Patricia E. Yarrington</w:t>
      </w:r>
    </w:p>
    <w:p>
      <w:pPr>
        <w:spacing w:after="0" w:line="186" w:lineRule="exact"/>
        <w:rPr>
          <w:sz w:val="20"/>
          <w:szCs w:val="20"/>
          <w:color w:val="auto"/>
        </w:rPr>
      </w:pPr>
    </w:p>
    <w:p>
      <w:pPr>
        <w:ind w:left="160"/>
        <w:spacing w:after="0" w:line="258" w:lineRule="auto"/>
        <w:rPr>
          <w:sz w:val="20"/>
          <w:szCs w:val="20"/>
          <w:color w:val="auto"/>
        </w:rPr>
      </w:pPr>
      <w:r>
        <w:rPr>
          <w:rFonts w:ascii="Calibri" w:cs="Calibri" w:eastAsia="Calibri" w:hAnsi="Calibri"/>
          <w:sz w:val="17"/>
          <w:szCs w:val="17"/>
          <w:color w:val="002E6D"/>
        </w:rPr>
        <w:t>All Compensaton Commitee members are independent within the meaning of the NYSE listng standards, applicable SEC regulatons and our Governance Guidelines.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tabs>
          <w:tab w:leader="none" w:pos="5460" w:val="left"/>
        </w:tabs>
        <w:rPr>
          <w:sz w:val="20"/>
          <w:szCs w:val="20"/>
          <w:color w:val="auto"/>
        </w:rPr>
      </w:pPr>
      <w:r>
        <w:rPr>
          <w:rFonts w:ascii="Arial" w:cs="Arial" w:eastAsia="Arial" w:hAnsi="Arial"/>
          <w:sz w:val="20"/>
          <w:szCs w:val="20"/>
          <w:color w:val="003478"/>
        </w:rPr>
        <w:t>2022 Focus Areas</w:t>
      </w:r>
      <w:r>
        <w:rPr>
          <w:sz w:val="20"/>
          <w:szCs w:val="20"/>
          <w:color w:val="auto"/>
        </w:rPr>
        <w:tab/>
      </w:r>
      <w:r>
        <w:rPr>
          <w:rFonts w:ascii="Arial" w:cs="Arial" w:eastAsia="Arial" w:hAnsi="Arial"/>
          <w:sz w:val="19"/>
          <w:szCs w:val="19"/>
          <w:color w:val="003478"/>
        </w:rPr>
        <w:t>Meetings in 2022: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39370</wp:posOffset>
            </wp:positionV>
            <wp:extent cx="48260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19" w:lineRule="exact"/>
        <w:rPr>
          <w:sz w:val="20"/>
          <w:szCs w:val="20"/>
          <w:color w:val="auto"/>
        </w:rPr>
      </w:pPr>
    </w:p>
    <w:p>
      <w:pPr>
        <w:ind w:left="240" w:hanging="162"/>
        <w:spacing w:after="0"/>
        <w:tabs>
          <w:tab w:leader="none" w:pos="240" w:val="left"/>
        </w:tabs>
        <w:numPr>
          <w:ilvl w:val="0"/>
          <w:numId w:val="30"/>
        </w:numPr>
        <w:rPr>
          <w:rFonts w:ascii="Calibri" w:cs="Calibri" w:eastAsia="Calibri" w:hAnsi="Calibri"/>
          <w:sz w:val="17"/>
          <w:szCs w:val="17"/>
          <w:color w:val="002E6D"/>
        </w:rPr>
      </w:pPr>
      <w:r>
        <w:rPr>
          <w:rFonts w:ascii="Calibri" w:cs="Calibri" w:eastAsia="Calibri" w:hAnsi="Calibri"/>
          <w:sz w:val="17"/>
          <w:szCs w:val="17"/>
          <w:color w:val="auto"/>
        </w:rPr>
        <w:t>Strategic and Operatonal Performance</w:t>
      </w:r>
    </w:p>
    <w:p>
      <w:pPr>
        <w:spacing w:after="0" w:line="62" w:lineRule="exact"/>
        <w:rPr>
          <w:rFonts w:ascii="Calibri" w:cs="Calibri" w:eastAsia="Calibri" w:hAnsi="Calibri"/>
          <w:sz w:val="17"/>
          <w:szCs w:val="17"/>
          <w:color w:val="002E6D"/>
        </w:rPr>
      </w:pPr>
    </w:p>
    <w:p>
      <w:pPr>
        <w:ind w:left="240" w:hanging="162"/>
        <w:spacing w:after="0"/>
        <w:tabs>
          <w:tab w:leader="none" w:pos="240" w:val="left"/>
        </w:tabs>
        <w:numPr>
          <w:ilvl w:val="0"/>
          <w:numId w:val="30"/>
        </w:numPr>
        <w:rPr>
          <w:rFonts w:ascii="Calibri" w:cs="Calibri" w:eastAsia="Calibri" w:hAnsi="Calibri"/>
          <w:sz w:val="17"/>
          <w:szCs w:val="17"/>
          <w:color w:val="002E6D"/>
        </w:rPr>
      </w:pPr>
      <w:r>
        <w:rPr>
          <w:rFonts w:ascii="Calibri" w:cs="Calibri" w:eastAsia="Calibri" w:hAnsi="Calibri"/>
          <w:sz w:val="17"/>
          <w:szCs w:val="17"/>
          <w:color w:val="auto"/>
        </w:rPr>
        <w:t>Talent Management and Succession Planning</w:t>
      </w:r>
    </w:p>
    <w:p>
      <w:pPr>
        <w:spacing w:after="0" w:line="75" w:lineRule="exact"/>
        <w:rPr>
          <w:rFonts w:ascii="Calibri" w:cs="Calibri" w:eastAsia="Calibri" w:hAnsi="Calibri"/>
          <w:sz w:val="17"/>
          <w:szCs w:val="17"/>
          <w:color w:val="002E6D"/>
        </w:rPr>
      </w:pPr>
    </w:p>
    <w:p>
      <w:pPr>
        <w:ind w:left="240" w:hanging="162"/>
        <w:spacing w:after="0"/>
        <w:tabs>
          <w:tab w:leader="none" w:pos="240" w:val="left"/>
        </w:tabs>
        <w:numPr>
          <w:ilvl w:val="0"/>
          <w:numId w:val="30"/>
        </w:numPr>
        <w:rPr>
          <w:rFonts w:ascii="Calibri" w:cs="Calibri" w:eastAsia="Calibri" w:hAnsi="Calibri"/>
          <w:sz w:val="17"/>
          <w:szCs w:val="17"/>
          <w:color w:val="002E6D"/>
        </w:rPr>
      </w:pPr>
      <w:r>
        <w:rPr>
          <w:rFonts w:ascii="Calibri" w:cs="Calibri" w:eastAsia="Calibri" w:hAnsi="Calibri"/>
          <w:sz w:val="17"/>
          <w:szCs w:val="17"/>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67945</wp:posOffset>
            </wp:positionV>
            <wp:extent cx="48260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003478"/>
        </w:rPr>
        <w:t>Roles and Responsibilities of the Committee</w:t>
      </w:r>
    </w:p>
    <w:p>
      <w:pPr>
        <w:spacing w:after="0" w:line="115" w:lineRule="exact"/>
        <w:rPr>
          <w:sz w:val="20"/>
          <w:szCs w:val="20"/>
          <w:color w:val="auto"/>
        </w:rPr>
      </w:pPr>
    </w:p>
    <w:p>
      <w:pPr>
        <w:ind w:right="100"/>
        <w:spacing w:after="0" w:line="255" w:lineRule="auto"/>
        <w:rPr>
          <w:sz w:val="20"/>
          <w:szCs w:val="20"/>
          <w:color w:val="auto"/>
        </w:rPr>
      </w:pPr>
      <w:r>
        <w:rPr>
          <w:rFonts w:ascii="Calibri" w:cs="Calibri" w:eastAsia="Calibri" w:hAnsi="Calibri"/>
          <w:sz w:val="17"/>
          <w:szCs w:val="17"/>
          <w:color w:val="auto"/>
        </w:rPr>
        <w:t>The Compensaton Commitee reviews and approves the corporate goals and objectves relevant to the compensaton of the CEO and other executve ofcers, evaluates the performance of the CEO and, either as a commitee or together with the other independent members of the Board, determines and approves the compensaton philosophy and levels for the CEO and other executve ofcers. The Compensaton Commitee does not delegate its responsibilites with respect to compensaton that is specifc to the executve ofcers. For other employees and for broad-based compensaton plans, the Compensaton Commitee may delegate authority to the CEO or the Senior Vice President and Chief Human Resources Ofcer, subject to certain limits.</w:t>
      </w:r>
    </w:p>
    <w:p>
      <w:pPr>
        <w:spacing w:after="0" w:line="126" w:lineRule="exact"/>
        <w:rPr>
          <w:sz w:val="20"/>
          <w:szCs w:val="20"/>
          <w:color w:val="auto"/>
        </w:rPr>
      </w:pPr>
    </w:p>
    <w:p>
      <w:pPr>
        <w:ind w:right="180"/>
        <w:spacing w:after="0" w:line="255" w:lineRule="auto"/>
        <w:rPr>
          <w:sz w:val="20"/>
          <w:szCs w:val="20"/>
          <w:color w:val="auto"/>
        </w:rPr>
      </w:pPr>
      <w:r>
        <w:rPr>
          <w:rFonts w:ascii="Calibri" w:cs="Calibri" w:eastAsia="Calibri" w:hAnsi="Calibri"/>
          <w:sz w:val="17"/>
          <w:szCs w:val="17"/>
          <w:color w:val="auto"/>
        </w:rPr>
        <w:t>Additonal informaton regarding the role of the Compensaton Commitee and our compensaton practces and procedures is provided under the captons “Compensaton Commitee Report” on page 39 and “Compensaton Discussion and Analysis (CD&amp;A)” beginning on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291465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380"/>
            <w:col w:w="7580"/>
          </w:cols>
          <w:pgMar w:left="320" w:top="230" w:right="339" w:bottom="1440" w:gutter="0" w:footer="0" w:header="0"/>
          <w:type w:val="continuous"/>
        </w:sectPr>
      </w:pPr>
    </w:p>
    <w:p>
      <w:pPr>
        <w:spacing w:after="0" w:line="393" w:lineRule="exact"/>
        <w:rPr>
          <w:sz w:val="20"/>
          <w:szCs w:val="20"/>
          <w:color w:val="auto"/>
        </w:rPr>
      </w:pPr>
    </w:p>
    <w:p>
      <w:pPr>
        <w:ind w:left="180" w:right="180" w:hanging="172"/>
        <w:spacing w:after="0" w:line="264" w:lineRule="auto"/>
        <w:tabs>
          <w:tab w:leader="none" w:pos="220" w:val="left"/>
        </w:tabs>
        <w:numPr>
          <w:ilvl w:val="0"/>
          <w:numId w:val="31"/>
        </w:numPr>
        <w:rPr>
          <w:rFonts w:ascii="Calibri" w:cs="Calibri" w:eastAsia="Calibri" w:hAnsi="Calibri"/>
          <w:sz w:val="14"/>
          <w:szCs w:val="14"/>
          <w:color w:val="auto"/>
        </w:rPr>
      </w:pPr>
      <w:r>
        <w:rPr>
          <w:rFonts w:ascii="Calibri" w:cs="Calibri" w:eastAsia="Calibri" w:hAnsi="Calibri"/>
          <w:sz w:val="14"/>
          <w:szCs w:val="14"/>
          <w:color w:val="auto"/>
        </w:rPr>
        <w:t>Efectve afer the Annual Meetng and assuming his re-electon, Mr. Donovan will become a member and the Chair of the Compensaton Commitee. Ms. Gordon will remain a member of the Compensaton Commitee.</w:t>
      </w:r>
    </w:p>
    <w:p>
      <w:pPr>
        <w:spacing w:after="0" w:line="48" w:lineRule="exact"/>
        <w:rPr>
          <w:sz w:val="20"/>
          <w:szCs w:val="20"/>
          <w:color w:val="auto"/>
        </w:rPr>
      </w:pPr>
    </w:p>
    <w:p>
      <w:pPr>
        <w:spacing w:after="0"/>
        <w:rPr>
          <w:sz w:val="20"/>
          <w:szCs w:val="20"/>
          <w:color w:val="auto"/>
        </w:rPr>
      </w:pPr>
      <w:r>
        <w:rPr>
          <w:rFonts w:ascii="Arial" w:cs="Arial" w:eastAsia="Arial" w:hAnsi="Arial"/>
          <w:sz w:val="25"/>
          <w:szCs w:val="25"/>
          <w:color w:val="818EB4"/>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35401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Daniel F. Akerson, Chair</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David B. Burritt</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Bruce A. Carlson</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Joseph F. Dunford, Jr.</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Vicki A. Hollub</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Jeh C. Johnson</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Debra L. Reed-Klages*</w:t>
      </w:r>
    </w:p>
    <w:p>
      <w:pPr>
        <w:spacing w:after="0" w:line="172" w:lineRule="exact"/>
        <w:rPr>
          <w:sz w:val="20"/>
          <w:szCs w:val="20"/>
          <w:color w:val="auto"/>
        </w:rPr>
      </w:pPr>
    </w:p>
    <w:p>
      <w:pPr>
        <w:ind w:left="160"/>
        <w:spacing w:after="0" w:line="258" w:lineRule="auto"/>
        <w:rPr>
          <w:sz w:val="20"/>
          <w:szCs w:val="20"/>
          <w:color w:val="auto"/>
        </w:rPr>
      </w:pPr>
      <w:r>
        <w:rPr>
          <w:rFonts w:ascii="Calibri" w:cs="Calibri" w:eastAsia="Calibri" w:hAnsi="Calibri"/>
          <w:sz w:val="17"/>
          <w:szCs w:val="17"/>
          <w:color w:val="002E6D"/>
          <w:shd w:val="clear" w:color="auto" w:fill="E5E7EF"/>
        </w:rPr>
        <w:t>All Governance Commitee members are independent within the meaning of the NYSE listng standards, applicable SEC regulatons and our Governance Guidelines.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tabs>
          <w:tab w:leader="none" w:pos="5460" w:val="left"/>
        </w:tabs>
        <w:rPr>
          <w:sz w:val="20"/>
          <w:szCs w:val="20"/>
          <w:color w:val="auto"/>
        </w:rPr>
      </w:pPr>
      <w:r>
        <w:rPr>
          <w:rFonts w:ascii="Arial" w:cs="Arial" w:eastAsia="Arial" w:hAnsi="Arial"/>
          <w:sz w:val="20"/>
          <w:szCs w:val="20"/>
          <w:color w:val="003478"/>
        </w:rPr>
        <w:t>2022 Focus Areas</w:t>
      </w:r>
      <w:r>
        <w:rPr>
          <w:sz w:val="20"/>
          <w:szCs w:val="20"/>
          <w:color w:val="auto"/>
        </w:rPr>
        <w:tab/>
      </w:r>
      <w:r>
        <w:rPr>
          <w:rFonts w:ascii="Arial" w:cs="Arial" w:eastAsia="Arial" w:hAnsi="Arial"/>
          <w:sz w:val="19"/>
          <w:szCs w:val="19"/>
          <w:color w:val="003478"/>
        </w:rPr>
        <w:t>Meetings in 2022: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39370</wp:posOffset>
            </wp:positionV>
            <wp:extent cx="48260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19" w:lineRule="exact"/>
        <w:rPr>
          <w:sz w:val="20"/>
          <w:szCs w:val="20"/>
          <w:color w:val="auto"/>
        </w:rPr>
      </w:pPr>
    </w:p>
    <w:p>
      <w:pPr>
        <w:ind w:left="240" w:hanging="162"/>
        <w:spacing w:after="0"/>
        <w:tabs>
          <w:tab w:leader="none" w:pos="240" w:val="left"/>
        </w:tabs>
        <w:numPr>
          <w:ilvl w:val="0"/>
          <w:numId w:val="32"/>
        </w:numPr>
        <w:rPr>
          <w:rFonts w:ascii="Calibri" w:cs="Calibri" w:eastAsia="Calibri" w:hAnsi="Calibri"/>
          <w:sz w:val="17"/>
          <w:szCs w:val="17"/>
          <w:color w:val="002E6D"/>
        </w:rPr>
      </w:pPr>
      <w:r>
        <w:rPr>
          <w:rFonts w:ascii="Calibri" w:cs="Calibri" w:eastAsia="Calibri" w:hAnsi="Calibri"/>
          <w:sz w:val="17"/>
          <w:szCs w:val="17"/>
          <w:color w:val="auto"/>
        </w:rPr>
        <w:t>Board Recruitment and Refreshment; Board Diversity</w:t>
      </w:r>
    </w:p>
    <w:p>
      <w:pPr>
        <w:spacing w:after="0" w:line="75" w:lineRule="exact"/>
        <w:rPr>
          <w:rFonts w:ascii="Calibri" w:cs="Calibri" w:eastAsia="Calibri" w:hAnsi="Calibri"/>
          <w:sz w:val="17"/>
          <w:szCs w:val="17"/>
          <w:color w:val="002E6D"/>
        </w:rPr>
      </w:pPr>
    </w:p>
    <w:p>
      <w:pPr>
        <w:ind w:left="240" w:hanging="162"/>
        <w:spacing w:after="0"/>
        <w:tabs>
          <w:tab w:leader="none" w:pos="240" w:val="left"/>
        </w:tabs>
        <w:numPr>
          <w:ilvl w:val="0"/>
          <w:numId w:val="32"/>
        </w:numPr>
        <w:rPr>
          <w:rFonts w:ascii="Calibri" w:cs="Calibri" w:eastAsia="Calibri" w:hAnsi="Calibri"/>
          <w:sz w:val="17"/>
          <w:szCs w:val="17"/>
          <w:color w:val="002E6D"/>
        </w:rPr>
      </w:pPr>
      <w:r>
        <w:rPr>
          <w:rFonts w:ascii="Calibri" w:cs="Calibri" w:eastAsia="Calibri" w:hAnsi="Calibri"/>
          <w:sz w:val="17"/>
          <w:szCs w:val="17"/>
          <w:color w:val="auto"/>
        </w:rPr>
        <w:t>2025 Sustainability Management Plan Goals and Progress, Including Climate Goals</w:t>
      </w:r>
    </w:p>
    <w:p>
      <w:pPr>
        <w:spacing w:after="0" w:line="62" w:lineRule="exact"/>
        <w:rPr>
          <w:rFonts w:ascii="Calibri" w:cs="Calibri" w:eastAsia="Calibri" w:hAnsi="Calibri"/>
          <w:sz w:val="17"/>
          <w:szCs w:val="17"/>
          <w:color w:val="002E6D"/>
        </w:rPr>
      </w:pPr>
    </w:p>
    <w:p>
      <w:pPr>
        <w:ind w:left="240" w:hanging="162"/>
        <w:spacing w:after="0"/>
        <w:tabs>
          <w:tab w:leader="none" w:pos="240" w:val="left"/>
        </w:tabs>
        <w:numPr>
          <w:ilvl w:val="0"/>
          <w:numId w:val="32"/>
        </w:numPr>
        <w:rPr>
          <w:rFonts w:ascii="Calibri" w:cs="Calibri" w:eastAsia="Calibri" w:hAnsi="Calibri"/>
          <w:sz w:val="17"/>
          <w:szCs w:val="17"/>
          <w:color w:val="002E6D"/>
        </w:rPr>
      </w:pPr>
      <w:r>
        <w:rPr>
          <w:rFonts w:ascii="Calibri" w:cs="Calibri" w:eastAsia="Calibri" w:hAnsi="Calibri"/>
          <w:sz w:val="17"/>
          <w:szCs w:val="17"/>
          <w:color w:val="auto"/>
        </w:rPr>
        <w:t>Oversight of Product Safety and Employee Safety and Health Eforts</w:t>
      </w:r>
    </w:p>
    <w:p>
      <w:pPr>
        <w:spacing w:after="0" w:line="75" w:lineRule="exact"/>
        <w:rPr>
          <w:rFonts w:ascii="Calibri" w:cs="Calibri" w:eastAsia="Calibri" w:hAnsi="Calibri"/>
          <w:sz w:val="17"/>
          <w:szCs w:val="17"/>
          <w:color w:val="002E6D"/>
        </w:rPr>
      </w:pPr>
    </w:p>
    <w:p>
      <w:pPr>
        <w:ind w:left="240" w:hanging="162"/>
        <w:spacing w:after="0"/>
        <w:tabs>
          <w:tab w:leader="none" w:pos="240" w:val="left"/>
        </w:tabs>
        <w:numPr>
          <w:ilvl w:val="0"/>
          <w:numId w:val="32"/>
        </w:numPr>
        <w:rPr>
          <w:rFonts w:ascii="Calibri" w:cs="Calibri" w:eastAsia="Calibri" w:hAnsi="Calibri"/>
          <w:sz w:val="17"/>
          <w:szCs w:val="17"/>
          <w:color w:val="002E6D"/>
        </w:rPr>
      </w:pPr>
      <w:r>
        <w:rPr>
          <w:rFonts w:ascii="Calibri" w:cs="Calibri" w:eastAsia="Calibri" w:hAnsi="Calibri"/>
          <w:sz w:val="17"/>
          <w:szCs w:val="17"/>
          <w:color w:val="auto"/>
        </w:rPr>
        <w:t>Human Rights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67310</wp:posOffset>
            </wp:positionV>
            <wp:extent cx="48260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003478"/>
        </w:rPr>
        <w:t>Roles and Responsibilities of the Committee</w:t>
      </w:r>
    </w:p>
    <w:p>
      <w:pPr>
        <w:spacing w:after="0" w:line="115" w:lineRule="exact"/>
        <w:rPr>
          <w:sz w:val="20"/>
          <w:szCs w:val="20"/>
          <w:color w:val="auto"/>
        </w:rPr>
      </w:pPr>
    </w:p>
    <w:p>
      <w:pPr>
        <w:ind w:right="100"/>
        <w:spacing w:after="0" w:line="243" w:lineRule="auto"/>
        <w:rPr>
          <w:sz w:val="20"/>
          <w:szCs w:val="20"/>
          <w:color w:val="auto"/>
        </w:rPr>
      </w:pPr>
      <w:r>
        <w:rPr>
          <w:rFonts w:ascii="Calibri" w:cs="Calibri" w:eastAsia="Calibri" w:hAnsi="Calibri"/>
          <w:sz w:val="17"/>
          <w:szCs w:val="17"/>
          <w:color w:val="auto"/>
        </w:rPr>
        <w:t>The Governance Commitee develops and implements policies and practces relatng to corporate governance, including our Governance Guidelines. The Governance Commitee assists the Board by selectng candidates to be nominated to the Board, making recommendatons concerning the compositon of Board commitees and overseeing the annual evaluaton of the Board and its commitees.</w:t>
      </w:r>
    </w:p>
    <w:p>
      <w:pPr>
        <w:spacing w:after="0" w:line="118" w:lineRule="exact"/>
        <w:rPr>
          <w:sz w:val="20"/>
          <w:szCs w:val="20"/>
          <w:color w:val="auto"/>
        </w:rPr>
      </w:pPr>
    </w:p>
    <w:p>
      <w:pPr>
        <w:ind w:right="260"/>
        <w:spacing w:after="0" w:line="245" w:lineRule="auto"/>
        <w:rPr>
          <w:sz w:val="20"/>
          <w:szCs w:val="20"/>
          <w:color w:val="auto"/>
        </w:rPr>
      </w:pPr>
      <w:r>
        <w:rPr>
          <w:rFonts w:ascii="Calibri" w:cs="Calibri" w:eastAsia="Calibri" w:hAnsi="Calibri"/>
          <w:sz w:val="17"/>
          <w:szCs w:val="17"/>
          <w:color w:val="auto"/>
        </w:rPr>
        <w:t>The Governance Commitee reviews and recommends to the Board the compensaton of directors. Our executve ofcers do not play a role in determining director pay.</w:t>
      </w:r>
    </w:p>
    <w:p>
      <w:pPr>
        <w:spacing w:after="0" w:line="116" w:lineRule="exact"/>
        <w:rPr>
          <w:sz w:val="20"/>
          <w:szCs w:val="20"/>
          <w:color w:val="auto"/>
        </w:rPr>
      </w:pPr>
    </w:p>
    <w:p>
      <w:pPr>
        <w:ind w:right="220"/>
        <w:spacing w:after="0" w:line="246" w:lineRule="auto"/>
        <w:rPr>
          <w:sz w:val="20"/>
          <w:szCs w:val="20"/>
          <w:color w:val="auto"/>
        </w:rPr>
      </w:pPr>
      <w:r>
        <w:rPr>
          <w:rFonts w:ascii="Calibri" w:cs="Calibri" w:eastAsia="Calibri" w:hAnsi="Calibri"/>
          <w:sz w:val="17"/>
          <w:szCs w:val="17"/>
          <w:color w:val="auto"/>
        </w:rPr>
        <w:t>The Governance Commitee assists the Board in fulflling its oversight eforts in corporate responsibility, corporate culture, human rights, environmental stewardship (including climate change), politcal contributons and lobbying expenditures, ethical business practces, community outreach, philanthropy, diversity, inclusion and equal opportunity, sustainability, and health and safety programs. The Governance Commitee monitors compliance and recommends changes to our Code of Conduct. The Governance Commitee also has oversight over the Company’s policies and processes for the safety of the Company’s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263525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300"/>
            <w:col w:w="7580"/>
          </w:cols>
          <w:pgMar w:left="320" w:top="230" w:right="339" w:bottom="1440" w:gutter="0" w:footer="0" w:header="0"/>
          <w:type w:val="continuous"/>
        </w:sectPr>
      </w:pPr>
    </w:p>
    <w:p>
      <w:pPr>
        <w:spacing w:after="0" w:line="307" w:lineRule="exact"/>
        <w:rPr>
          <w:sz w:val="20"/>
          <w:szCs w:val="20"/>
          <w:color w:val="auto"/>
        </w:rPr>
      </w:pPr>
    </w:p>
    <w:p>
      <w:pPr>
        <w:spacing w:after="0"/>
        <w:tabs>
          <w:tab w:leader="none" w:pos="180" w:val="left"/>
        </w:tabs>
        <w:rPr>
          <w:sz w:val="20"/>
          <w:szCs w:val="20"/>
          <w:color w:val="auto"/>
        </w:rPr>
      </w:pPr>
      <w:r>
        <w:rPr>
          <w:rFonts w:ascii="Calibri" w:cs="Calibri" w:eastAsia="Calibri" w:hAnsi="Calibri"/>
          <w:sz w:val="14"/>
          <w:szCs w:val="14"/>
          <w:color w:val="auto"/>
        </w:rPr>
        <w:t>*</w:t>
        <w:tab/>
        <w:t>Ms. Reed Klages joined in June 2022.</w:t>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Board Role and Responsibilities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818EB4"/>
        </w:rPr>
        <w:t>Board Role in Strategic Planning</w:t>
      </w:r>
    </w:p>
    <w:p>
      <w:pPr>
        <w:spacing w:after="0" w:line="59" w:lineRule="exact"/>
        <w:rPr>
          <w:sz w:val="20"/>
          <w:szCs w:val="20"/>
          <w:color w:val="auto"/>
        </w:rPr>
      </w:pPr>
    </w:p>
    <w:p>
      <w:pPr>
        <w:ind w:right="120"/>
        <w:spacing w:after="0" w:line="244" w:lineRule="auto"/>
        <w:rPr>
          <w:sz w:val="20"/>
          <w:szCs w:val="20"/>
          <w:color w:val="auto"/>
        </w:rPr>
      </w:pPr>
      <w:r>
        <w:rPr>
          <w:rFonts w:ascii="Calibri" w:cs="Calibri" w:eastAsia="Calibri" w:hAnsi="Calibri"/>
          <w:sz w:val="17"/>
          <w:szCs w:val="17"/>
          <w:color w:val="auto"/>
        </w:rPr>
        <w:t>The Board is involved in strategic planning and review throughout the year. Additonally, every September/October, the Board meets in a half-day session dedicated to a discussion of the Company’s strategy, one-year plan and three-year long-range plan. The Chairman, President and CEO regularly reviews developments against the Company’s strategic framework at Board meetngs and provides updates between regularly-scheduled sessions, as necessary. This schedule corresponds to management’s annual schedule for developing the long-range plan and gives the Board the opportunity to provide input while the long-range plan is being developed and to monitor progress on the plan. In additon:</w:t>
      </w:r>
    </w:p>
    <w:p>
      <w:pPr>
        <w:spacing w:after="0" w:line="66" w:lineRule="exact"/>
        <w:rPr>
          <w:sz w:val="20"/>
          <w:szCs w:val="20"/>
          <w:color w:val="auto"/>
        </w:rPr>
      </w:pPr>
    </w:p>
    <w:p>
      <w:pPr>
        <w:ind w:left="260" w:right="480" w:hanging="187"/>
        <w:spacing w:after="0" w:line="245" w:lineRule="auto"/>
        <w:tabs>
          <w:tab w:leader="none" w:pos="261" w:val="left"/>
        </w:tabs>
        <w:numPr>
          <w:ilvl w:val="0"/>
          <w:numId w:val="33"/>
        </w:numPr>
        <w:rPr>
          <w:rFonts w:ascii="Calibri" w:cs="Calibri" w:eastAsia="Calibri" w:hAnsi="Calibri"/>
          <w:sz w:val="17"/>
          <w:szCs w:val="17"/>
          <w:color w:val="003478"/>
        </w:rPr>
      </w:pPr>
      <w:r>
        <w:rPr>
          <w:rFonts w:ascii="Calibri" w:cs="Calibri" w:eastAsia="Calibri" w:hAnsi="Calibri"/>
          <w:sz w:val="17"/>
          <w:szCs w:val="17"/>
          <w:color w:val="auto"/>
        </w:rPr>
        <w:t>the Board (or the appropriate commitee) reviews the progress and challenges to the Company’s strategy and approves specifc initatves, including acquisitons and divesttures over a certain monetary threshold;</w:t>
      </w:r>
    </w:p>
    <w:p>
      <w:pPr>
        <w:spacing w:after="0" w:line="62" w:lineRule="exact"/>
        <w:rPr>
          <w:rFonts w:ascii="Calibri" w:cs="Calibri" w:eastAsia="Calibri" w:hAnsi="Calibri"/>
          <w:sz w:val="17"/>
          <w:szCs w:val="17"/>
          <w:color w:val="003478"/>
        </w:rPr>
      </w:pPr>
    </w:p>
    <w:p>
      <w:pPr>
        <w:ind w:left="260" w:right="600" w:hanging="187"/>
        <w:spacing w:after="0" w:line="245" w:lineRule="auto"/>
        <w:tabs>
          <w:tab w:leader="none" w:pos="261" w:val="left"/>
        </w:tabs>
        <w:numPr>
          <w:ilvl w:val="0"/>
          <w:numId w:val="33"/>
        </w:numPr>
        <w:rPr>
          <w:rFonts w:ascii="Calibri" w:cs="Calibri" w:eastAsia="Calibri" w:hAnsi="Calibri"/>
          <w:sz w:val="17"/>
          <w:szCs w:val="17"/>
          <w:color w:val="003478"/>
        </w:rPr>
      </w:pPr>
      <w:r>
        <w:rPr>
          <w:rFonts w:ascii="Calibri" w:cs="Calibri" w:eastAsia="Calibri" w:hAnsi="Calibri"/>
          <w:sz w:val="17"/>
          <w:szCs w:val="17"/>
          <w:color w:val="auto"/>
        </w:rPr>
        <w:t>the Board (or the appropriate commitee) reviews trends identfed as signifcant risks and topical items of strategic interest such as human capital strategy and cybersecurity on a regular basis;</w:t>
      </w:r>
    </w:p>
    <w:p>
      <w:pPr>
        <w:spacing w:after="0" w:line="48" w:lineRule="exact"/>
        <w:rPr>
          <w:rFonts w:ascii="Calibri" w:cs="Calibri" w:eastAsia="Calibri" w:hAnsi="Calibri"/>
          <w:sz w:val="17"/>
          <w:szCs w:val="17"/>
          <w:color w:val="003478"/>
        </w:rPr>
      </w:pPr>
    </w:p>
    <w:p>
      <w:pPr>
        <w:ind w:left="260" w:hanging="187"/>
        <w:spacing w:after="0" w:line="245" w:lineRule="auto"/>
        <w:tabs>
          <w:tab w:leader="none" w:pos="261" w:val="left"/>
        </w:tabs>
        <w:numPr>
          <w:ilvl w:val="0"/>
          <w:numId w:val="33"/>
        </w:numPr>
        <w:rPr>
          <w:rFonts w:ascii="Calibri" w:cs="Calibri" w:eastAsia="Calibri" w:hAnsi="Calibri"/>
          <w:sz w:val="17"/>
          <w:szCs w:val="17"/>
          <w:color w:val="003478"/>
        </w:rPr>
      </w:pPr>
      <w:r>
        <w:rPr>
          <w:rFonts w:ascii="Calibri" w:cs="Calibri" w:eastAsia="Calibri" w:hAnsi="Calibri"/>
          <w:sz w:val="17"/>
          <w:szCs w:val="17"/>
          <w:color w:val="auto"/>
        </w:rPr>
        <w:t>the Board’s annual schedule includes at least one meetng per year at a diferent Company facility where directors can tour the operatons, engage directly with employees and experience frst-hand the Company’s culture; and</w:t>
      </w:r>
    </w:p>
    <w:p>
      <w:pPr>
        <w:spacing w:after="0" w:line="62" w:lineRule="exact"/>
        <w:rPr>
          <w:rFonts w:ascii="Calibri" w:cs="Calibri" w:eastAsia="Calibri" w:hAnsi="Calibri"/>
          <w:sz w:val="17"/>
          <w:szCs w:val="17"/>
          <w:color w:val="003478"/>
        </w:rPr>
      </w:pPr>
    </w:p>
    <w:p>
      <w:pPr>
        <w:ind w:left="260" w:right="560" w:hanging="187"/>
        <w:spacing w:after="0" w:line="245" w:lineRule="auto"/>
        <w:tabs>
          <w:tab w:leader="none" w:pos="261" w:val="left"/>
        </w:tabs>
        <w:numPr>
          <w:ilvl w:val="0"/>
          <w:numId w:val="33"/>
        </w:numPr>
        <w:rPr>
          <w:rFonts w:ascii="Calibri" w:cs="Calibri" w:eastAsia="Calibri" w:hAnsi="Calibri"/>
          <w:sz w:val="17"/>
          <w:szCs w:val="17"/>
          <w:color w:val="003478"/>
        </w:rPr>
      </w:pPr>
      <w:r>
        <w:rPr>
          <w:rFonts w:ascii="Calibri" w:cs="Calibri" w:eastAsia="Calibri" w:hAnsi="Calibri"/>
          <w:sz w:val="17"/>
          <w:szCs w:val="17"/>
          <w:color w:val="auto"/>
        </w:rPr>
        <w:t>each business segment executve vice president presents an operatons review to the Board and each business segment fnancial ofcer presents a fnancial review to the Audit Commitee on a rotatng basis.</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color w:val="818EB4"/>
        </w:rPr>
        <w:t>Board Oversight of Risk</w:t>
      </w:r>
    </w:p>
    <w:p>
      <w:pPr>
        <w:spacing w:after="0" w:line="72" w:lineRule="exact"/>
        <w:rPr>
          <w:sz w:val="20"/>
          <w:szCs w:val="20"/>
          <w:color w:val="auto"/>
        </w:rPr>
      </w:pPr>
    </w:p>
    <w:p>
      <w:pPr>
        <w:ind w:right="200"/>
        <w:spacing w:after="0" w:line="245" w:lineRule="auto"/>
        <w:rPr>
          <w:sz w:val="20"/>
          <w:szCs w:val="20"/>
          <w:color w:val="auto"/>
        </w:rPr>
      </w:pPr>
      <w:r>
        <w:rPr>
          <w:rFonts w:ascii="Calibri" w:cs="Calibri" w:eastAsia="Calibri" w:hAnsi="Calibri"/>
          <w:sz w:val="17"/>
          <w:szCs w:val="17"/>
          <w:color w:val="auto"/>
        </w:rPr>
        <w:t>Core Board responsibilites include assessing corporate risk tolerance and monitoring management’s processes for identfying and mitgatng risks to ensure the Company’s risk exposure is consistent with its strategic objectves. All of our directors have risk management expertse.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140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14070"/>
                    </a:xfrm>
                    <a:prstGeom prst="rect">
                      <a:avLst/>
                    </a:prstGeom>
                    <a:noFill/>
                  </pic:spPr>
                </pic:pic>
              </a:graphicData>
            </a:graphic>
          </wp:anchor>
        </w:drawing>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003478"/>
        </w:rPr>
        <w:t>Board of Directors</w:t>
      </w:r>
    </w:p>
    <w:p>
      <w:pPr>
        <w:spacing w:after="0" w:line="63" w:lineRule="exact"/>
        <w:rPr>
          <w:sz w:val="20"/>
          <w:szCs w:val="20"/>
          <w:color w:val="auto"/>
        </w:rPr>
      </w:pPr>
    </w:p>
    <w:p>
      <w:pPr>
        <w:jc w:val="both"/>
        <w:ind w:left="100" w:right="120"/>
        <w:spacing w:after="0" w:line="255" w:lineRule="auto"/>
        <w:rPr>
          <w:sz w:val="20"/>
          <w:szCs w:val="20"/>
          <w:color w:val="auto"/>
        </w:rPr>
      </w:pPr>
      <w:r>
        <w:rPr>
          <w:rFonts w:ascii="Calibri" w:cs="Calibri" w:eastAsia="Calibri" w:hAnsi="Calibri"/>
          <w:sz w:val="17"/>
          <w:szCs w:val="17"/>
          <w:color w:val="auto"/>
        </w:rPr>
        <w:t>While the Board is ultmately responsible for risk oversight, the commitees possess primary responsibility for certain risk management oversight, as shown below. The full Board retains primary oversight over areas such as capital structure/allocaton, cybersecurity and business and people strategy that are not primarily overseen by a commitee. The Board receives regular reports from commitees and management covering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6287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62877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03478"/>
        </w:rPr>
        <w:t>Audit Committee</w:t>
      </w:r>
    </w:p>
    <w:p>
      <w:pPr>
        <w:spacing w:after="0" w:line="59" w:lineRule="exact"/>
        <w:rPr>
          <w:sz w:val="20"/>
          <w:szCs w:val="20"/>
          <w:color w:val="auto"/>
        </w:rPr>
      </w:pPr>
    </w:p>
    <w:p>
      <w:pPr>
        <w:ind w:left="100"/>
        <w:spacing w:after="0" w:line="247" w:lineRule="auto"/>
        <w:rPr>
          <w:sz w:val="20"/>
          <w:szCs w:val="20"/>
          <w:color w:val="auto"/>
        </w:rPr>
      </w:pPr>
      <w:r>
        <w:rPr>
          <w:rFonts w:ascii="Calibri" w:cs="Calibri" w:eastAsia="Calibri" w:hAnsi="Calibri"/>
          <w:sz w:val="17"/>
          <w:szCs w:val="17"/>
          <w:color w:val="auto"/>
        </w:rPr>
        <w:t>Oversight of fnancial, legal and compliance risks; the enterprise risk management process, including risk identfcaton, risk assessment and risk management; evaluaton of management’s risk mitgaton performance; and pension liability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003478"/>
        </w:rPr>
        <w:t>Management Development and Compensation Committee</w:t>
      </w:r>
    </w:p>
    <w:p>
      <w:pPr>
        <w:spacing w:after="0" w:line="1" w:lineRule="exact"/>
        <w:rPr>
          <w:sz w:val="20"/>
          <w:szCs w:val="20"/>
          <w:color w:val="auto"/>
        </w:rPr>
      </w:pPr>
    </w:p>
    <w:p>
      <w:pPr>
        <w:ind w:right="20"/>
        <w:spacing w:after="0" w:line="247" w:lineRule="auto"/>
        <w:rPr>
          <w:sz w:val="20"/>
          <w:szCs w:val="20"/>
          <w:color w:val="auto"/>
        </w:rPr>
      </w:pPr>
      <w:r>
        <w:rPr>
          <w:rFonts w:ascii="Calibri" w:cs="Calibri" w:eastAsia="Calibri" w:hAnsi="Calibri"/>
          <w:sz w:val="17"/>
          <w:szCs w:val="17"/>
          <w:color w:val="auto"/>
        </w:rPr>
        <w:t>Oversight of executve succession planning and incentve compensaton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right="620"/>
        <w:spacing w:after="0" w:line="290" w:lineRule="auto"/>
        <w:rPr>
          <w:sz w:val="20"/>
          <w:szCs w:val="20"/>
          <w:color w:val="auto"/>
        </w:rPr>
      </w:pPr>
      <w:r>
        <w:rPr>
          <w:rFonts w:ascii="Arial" w:cs="Arial" w:eastAsia="Arial" w:hAnsi="Arial"/>
          <w:sz w:val="16"/>
          <w:szCs w:val="16"/>
          <w:b w:val="1"/>
          <w:bCs w:val="1"/>
          <w:color w:val="003478"/>
        </w:rPr>
        <w:t>Classified Business and Security Committee</w:t>
      </w:r>
    </w:p>
    <w:p>
      <w:pPr>
        <w:spacing w:after="0" w:line="1" w:lineRule="exact"/>
        <w:rPr>
          <w:sz w:val="20"/>
          <w:szCs w:val="20"/>
          <w:color w:val="auto"/>
        </w:rPr>
      </w:pPr>
    </w:p>
    <w:p>
      <w:pPr>
        <w:spacing w:after="0" w:line="245" w:lineRule="auto"/>
        <w:rPr>
          <w:sz w:val="20"/>
          <w:szCs w:val="20"/>
          <w:color w:val="auto"/>
        </w:rPr>
      </w:pPr>
      <w:r>
        <w:rPr>
          <w:rFonts w:ascii="Calibri" w:cs="Calibri" w:eastAsia="Calibri" w:hAnsi="Calibri"/>
          <w:sz w:val="17"/>
          <w:szCs w:val="17"/>
          <w:color w:val="auto"/>
        </w:rPr>
        <w:t>Oversight of classifed programs and security of personnel, facilites and data-related risks including classifed cybersecurity, security of suppliers and the global supply chain within the classifed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290195</wp:posOffset>
            </wp:positionV>
            <wp:extent cx="7132320" cy="13284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28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right="560"/>
        <w:spacing w:after="0" w:line="290" w:lineRule="auto"/>
        <w:rPr>
          <w:sz w:val="20"/>
          <w:szCs w:val="20"/>
          <w:color w:val="auto"/>
        </w:rPr>
      </w:pPr>
      <w:r>
        <w:rPr>
          <w:rFonts w:ascii="Arial" w:cs="Arial" w:eastAsia="Arial" w:hAnsi="Arial"/>
          <w:sz w:val="16"/>
          <w:szCs w:val="16"/>
          <w:b w:val="1"/>
          <w:bCs w:val="1"/>
          <w:color w:val="003478"/>
        </w:rPr>
        <w:t>Nominating and Corporate Governance Committee</w:t>
      </w:r>
    </w:p>
    <w:p>
      <w:pPr>
        <w:spacing w:after="0" w:line="1" w:lineRule="exact"/>
        <w:rPr>
          <w:sz w:val="20"/>
          <w:szCs w:val="20"/>
          <w:color w:val="auto"/>
        </w:rPr>
      </w:pPr>
    </w:p>
    <w:p>
      <w:pPr>
        <w:ind w:right="180"/>
        <w:spacing w:after="0" w:line="246" w:lineRule="auto"/>
        <w:rPr>
          <w:sz w:val="20"/>
          <w:szCs w:val="20"/>
          <w:color w:val="auto"/>
        </w:rPr>
      </w:pPr>
      <w:r>
        <w:rPr>
          <w:rFonts w:ascii="Calibri" w:cs="Calibri" w:eastAsia="Calibri" w:hAnsi="Calibri"/>
          <w:sz w:val="17"/>
          <w:szCs w:val="17"/>
          <w:color w:val="auto"/>
        </w:rPr>
        <w:t>Oversight of corporate governance, ethical conduct, sustainability, environmental stewardship (including climate change), corporate culture, health and safety programs and community and public relatons</w:t>
      </w:r>
    </w:p>
    <w:p>
      <w:pPr>
        <w:spacing w:after="0" w:line="217" w:lineRule="exact"/>
        <w:rPr>
          <w:sz w:val="20"/>
          <w:szCs w:val="20"/>
          <w:color w:val="auto"/>
        </w:rPr>
      </w:pPr>
    </w:p>
    <w:p>
      <w:pPr>
        <w:sectPr>
          <w:pgSz w:w="11900" w:h="16838" w:orient="portrait"/>
          <w:cols w:equalWidth="0" w:num="4">
            <w:col w:w="2560" w:space="360"/>
            <w:col w:w="2380" w:space="480"/>
            <w:col w:w="2500" w:space="360"/>
            <w:col w:w="2600"/>
          </w:cols>
          <w:pgMar w:left="320" w:top="230" w:right="3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003478"/>
        </w:rPr>
        <w:t>Management</w:t>
      </w:r>
    </w:p>
    <w:p>
      <w:pPr>
        <w:spacing w:after="0" w:line="77" w:lineRule="exact"/>
        <w:rPr>
          <w:sz w:val="20"/>
          <w:szCs w:val="20"/>
          <w:color w:val="auto"/>
        </w:rPr>
      </w:pPr>
    </w:p>
    <w:p>
      <w:pPr>
        <w:ind w:left="100" w:right="280"/>
        <w:spacing w:after="0" w:line="256" w:lineRule="auto"/>
        <w:rPr>
          <w:sz w:val="20"/>
          <w:szCs w:val="20"/>
          <w:color w:val="auto"/>
        </w:rPr>
      </w:pPr>
      <w:r>
        <w:rPr>
          <w:rFonts w:ascii="Calibri" w:cs="Calibri" w:eastAsia="Calibri" w:hAnsi="Calibri"/>
          <w:sz w:val="17"/>
          <w:szCs w:val="17"/>
          <w:color w:val="auto"/>
        </w:rPr>
        <w:t>Management is responsible for enterprise risk management and the day-to-day handling and mitgaton of risks. Corporate executves provide the Board and its commitees with reports on enterprise-wide risk, and business segment management provides reports covering segment business and strategic risks. The CFO, who is also the Chief Risk Ofcer, reports to the Board at every meetng. Each of the Company’s four business segment executve vice presidents reports to the Board annually, which reports include a discussion of risks. Additonally, the executve leadership team partcipates in an annual discussion with the Board as part of the strategy review. The Company’s enterprise risk management program is discussed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462915</wp:posOffset>
            </wp:positionV>
            <wp:extent cx="107188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818EB4"/>
        </w:rPr>
        <w:t>Enterprise Risk Management</w:t>
      </w:r>
    </w:p>
    <w:p>
      <w:pPr>
        <w:spacing w:after="0" w:line="111" w:lineRule="exact"/>
        <w:rPr>
          <w:sz w:val="20"/>
          <w:szCs w:val="20"/>
          <w:color w:val="auto"/>
        </w:rPr>
      </w:pPr>
    </w:p>
    <w:p>
      <w:pPr>
        <w:ind w:right="20"/>
        <w:spacing w:after="0" w:line="261" w:lineRule="auto"/>
        <w:rPr>
          <w:sz w:val="20"/>
          <w:szCs w:val="20"/>
          <w:color w:val="auto"/>
        </w:rPr>
      </w:pPr>
      <w:r>
        <w:rPr>
          <w:rFonts w:ascii="Calibri" w:cs="Calibri" w:eastAsia="Calibri" w:hAnsi="Calibri"/>
          <w:sz w:val="17"/>
          <w:szCs w:val="17"/>
          <w:color w:val="auto"/>
        </w:rPr>
        <w:t>Management is responsible for our Enterprise Risk Management functon (ERM), which is designed to (i) provide assurance that key strategic, operatonal and growth risks are identfed and efectvely managed; (ii) support the development and implementaton of sound risk management practces and risk-informed decision making; (iii) drive risk awareness across the Company; and (iv) create a sustainable risk-based culture. The ERM structure and process is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213360</wp:posOffset>
            </wp:positionV>
            <wp:extent cx="4834890" cy="2074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3489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80"/>
        <w:spacing w:after="0" w:line="245" w:lineRule="auto"/>
        <w:rPr>
          <w:sz w:val="20"/>
          <w:szCs w:val="20"/>
          <w:color w:val="auto"/>
        </w:rPr>
      </w:pPr>
      <w:r>
        <w:rPr>
          <w:rFonts w:ascii="Calibri" w:cs="Calibri" w:eastAsia="Calibri" w:hAnsi="Calibri"/>
          <w:sz w:val="17"/>
          <w:szCs w:val="17"/>
          <w:color w:val="auto"/>
        </w:rPr>
        <w:t>ERM manages risk primarily through risk identfcaton, risk assessment and risk controls and mitgaton. Two primary components of the enterprise risk management process are an annual enterprise risk assessment and a biennial compliance risk assessment.</w:t>
      </w:r>
    </w:p>
    <w:p>
      <w:pPr>
        <w:spacing w:after="0" w:line="116" w:lineRule="exact"/>
        <w:rPr>
          <w:sz w:val="20"/>
          <w:szCs w:val="20"/>
          <w:color w:val="auto"/>
        </w:rPr>
      </w:pPr>
    </w:p>
    <w:p>
      <w:pPr>
        <w:ind w:left="260" w:right="60" w:hanging="171"/>
        <w:spacing w:after="0"/>
        <w:tabs>
          <w:tab w:leader="none" w:pos="253" w:val="left"/>
        </w:tabs>
        <w:numPr>
          <w:ilvl w:val="0"/>
          <w:numId w:val="34"/>
        </w:numPr>
        <w:rPr>
          <w:rFonts w:ascii="Calibri" w:cs="Calibri" w:eastAsia="Calibri" w:hAnsi="Calibri"/>
          <w:sz w:val="17"/>
          <w:szCs w:val="17"/>
          <w:color w:val="003478"/>
        </w:rPr>
      </w:pPr>
      <w:r>
        <w:rPr>
          <w:rFonts w:ascii="Calibri" w:cs="Calibri" w:eastAsia="Calibri" w:hAnsi="Calibri"/>
          <w:sz w:val="17"/>
          <w:szCs w:val="17"/>
          <w:b w:val="1"/>
          <w:bCs w:val="1"/>
          <w:color w:val="auto"/>
        </w:rPr>
        <w:t xml:space="preserve">The enterprise risk assessment </w:t>
      </w:r>
      <w:r>
        <w:rPr>
          <w:rFonts w:ascii="Calibri" w:cs="Calibri" w:eastAsia="Calibri" w:hAnsi="Calibri"/>
          <w:sz w:val="17"/>
          <w:szCs w:val="17"/>
          <w:color w:val="auto"/>
        </w:rPr>
        <w:t>is prepared annually by engaging over 1,500 leaders across the Company, including senior executves and internal audit.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ERM uses the results of this engagement to prepare an enterprise risk matrix focusing on the top identfed risks, and assigns risk owners and recommended mitgaton plans, which are then tracked. The risks assessed are generally ones that could materialize over a one-to-three-year horizon. We also monitor emerging risks, assessed to have reduced immediacy, identfed from internal sources, external benchmarking and partcipaton in professional organizatons.</w:t>
      </w:r>
    </w:p>
    <w:p>
      <w:pPr>
        <w:spacing w:after="0" w:line="303" w:lineRule="exact"/>
        <w:rPr>
          <w:rFonts w:ascii="Calibri" w:cs="Calibri" w:eastAsia="Calibri" w:hAnsi="Calibri"/>
          <w:sz w:val="17"/>
          <w:szCs w:val="17"/>
          <w:color w:val="003478"/>
        </w:rPr>
      </w:pPr>
    </w:p>
    <w:p>
      <w:pPr>
        <w:ind w:left="260" w:right="80" w:hanging="171"/>
        <w:spacing w:after="0" w:line="234" w:lineRule="auto"/>
        <w:tabs>
          <w:tab w:leader="none" w:pos="253" w:val="left"/>
        </w:tabs>
        <w:numPr>
          <w:ilvl w:val="0"/>
          <w:numId w:val="34"/>
        </w:numPr>
        <w:rPr>
          <w:rFonts w:ascii="Calibri" w:cs="Calibri" w:eastAsia="Calibri" w:hAnsi="Calibri"/>
          <w:sz w:val="17"/>
          <w:szCs w:val="17"/>
          <w:color w:val="003478"/>
        </w:rPr>
      </w:pPr>
      <w:r>
        <w:rPr>
          <w:rFonts w:ascii="Calibri" w:cs="Calibri" w:eastAsia="Calibri" w:hAnsi="Calibri"/>
          <w:sz w:val="17"/>
          <w:szCs w:val="17"/>
          <w:b w:val="1"/>
          <w:bCs w:val="1"/>
          <w:color w:val="auto"/>
        </w:rPr>
        <w:t xml:space="preserve">The compliance risk assessment </w:t>
      </w:r>
      <w:r>
        <w:rPr>
          <w:rFonts w:ascii="Calibri" w:cs="Calibri" w:eastAsia="Calibri" w:hAnsi="Calibri"/>
          <w:sz w:val="17"/>
          <w:szCs w:val="17"/>
          <w:color w:val="auto"/>
        </w:rPr>
        <w:t>is conducted every two years and involves a survey of approximately 800 subject mater experts on compliance risks and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review of external risk benchmarking. It is focused on specialized areas of compliance risk whereas the enterprise risk assessment encompasses strategic and operatonal risks.</w:t>
      </w:r>
    </w:p>
    <w:p>
      <w:pPr>
        <w:spacing w:after="0" w:line="122" w:lineRule="exact"/>
        <w:rPr>
          <w:sz w:val="20"/>
          <w:szCs w:val="20"/>
          <w:color w:val="auto"/>
        </w:rPr>
      </w:pPr>
    </w:p>
    <w:p>
      <w:pPr>
        <w:ind w:right="100"/>
        <w:spacing w:after="0" w:line="261" w:lineRule="auto"/>
        <w:rPr>
          <w:sz w:val="20"/>
          <w:szCs w:val="20"/>
          <w:color w:val="auto"/>
        </w:rPr>
      </w:pPr>
      <w:r>
        <w:rPr>
          <w:rFonts w:ascii="Calibri" w:cs="Calibri" w:eastAsia="Calibri" w:hAnsi="Calibri"/>
          <w:sz w:val="17"/>
          <w:szCs w:val="17"/>
          <w:color w:val="auto"/>
        </w:rPr>
        <w:t>Each of these assessments and recommended mitgaton actons are reviewed by the Risk and Compliance Commitee and Integrated Risk Council, which are detailed below, and are reported to the Audit Commitee.</w:t>
      </w:r>
    </w:p>
    <w:p>
      <w:pPr>
        <w:spacing w:after="0" w:line="102" w:lineRule="exact"/>
        <w:rPr>
          <w:sz w:val="20"/>
          <w:szCs w:val="20"/>
          <w:color w:val="auto"/>
        </w:rPr>
      </w:pPr>
    </w:p>
    <w:p>
      <w:pPr>
        <w:ind w:right="20"/>
        <w:spacing w:after="0" w:line="255" w:lineRule="auto"/>
        <w:rPr>
          <w:sz w:val="20"/>
          <w:szCs w:val="20"/>
          <w:color w:val="auto"/>
        </w:rPr>
      </w:pPr>
      <w:r>
        <w:rPr>
          <w:rFonts w:ascii="Calibri" w:cs="Calibri" w:eastAsia="Calibri" w:hAnsi="Calibri"/>
          <w:sz w:val="17"/>
          <w:szCs w:val="17"/>
          <w:color w:val="auto"/>
        </w:rPr>
        <w:t>Risk management is not ERM’s responsibility alone. We view enterprise risk management as inextricably linked with an internal control environment and have an overarching policy that covers both internal control and enterprise risk management. We also have other key processes designed to reduce risk, including executve planning panel reviews of proposals, disclosure controls commitee reviews of risks, and comprehensive external and internal audit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8002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20"/>
          <w:szCs w:val="20"/>
          <w:color w:val="003478"/>
          <w:shd w:val="clear" w:color="auto" w:fill="E5E7EF"/>
        </w:rPr>
        <w:t>The Risk and Compliance Committee and the Integrated Risk Council</w:t>
      </w:r>
    </w:p>
    <w:p>
      <w:pPr>
        <w:spacing w:after="0" w:line="129" w:lineRule="exact"/>
        <w:rPr>
          <w:sz w:val="20"/>
          <w:szCs w:val="20"/>
          <w:color w:val="auto"/>
        </w:rPr>
      </w:pPr>
    </w:p>
    <w:p>
      <w:pPr>
        <w:ind w:left="100" w:right="100"/>
        <w:spacing w:after="0" w:line="256" w:lineRule="auto"/>
        <w:rPr>
          <w:sz w:val="20"/>
          <w:szCs w:val="20"/>
          <w:color w:val="auto"/>
        </w:rPr>
      </w:pPr>
      <w:r>
        <w:rPr>
          <w:rFonts w:ascii="Calibri" w:cs="Calibri" w:eastAsia="Calibri" w:hAnsi="Calibri"/>
          <w:sz w:val="17"/>
          <w:szCs w:val="17"/>
          <w:color w:val="auto"/>
        </w:rPr>
        <w:t>Management formally reviews enterprise risk management through a Risk and Compliance Commitee (RCC) and an Integrated Risk Council (IRC), as well as periodically during executve leadership team meetngs. The RCC meets on a quarterly basis and its primary purpose is to (i) oversee the Company’s enterprise risk management program and report to the IRC; (ii) support the Lockheed Martn strategic planning process through identfcaton and management of key risks and opportunites; (iii) provide a forum for business segment and corporate functonal representatves to communicate, coordinate and collaborate on their respectve risk management actvites; and (iv) provide a forum for approval of the Company’s mandatory business conduct and compliance training. In 2022, we formally assigned specifc responsibilites for oversight of elements of our sustainability initatves to the RCC, further enhancing the integraton of our sustainability and risk management programs. Our Audit Commitee Chair has partcipated in an RCC meetng. The next level of review in the process is the smaller IRC, which provides a more strategic perspectve. The IRC primarily oversees the RCC and reviews the enterprise risk management actvites to conduct strategic, operatonal and compliance risk management; its members inform other senior executves and the Board of those eforts.</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818EB4"/>
        </w:rPr>
        <w:t>Board Oversight of Succession Planning</w:t>
      </w:r>
    </w:p>
    <w:p>
      <w:pPr>
        <w:spacing w:after="0" w:line="126" w:lineRule="exact"/>
        <w:rPr>
          <w:sz w:val="20"/>
          <w:szCs w:val="20"/>
          <w:color w:val="auto"/>
        </w:rPr>
      </w:pPr>
    </w:p>
    <w:p>
      <w:pPr>
        <w:ind w:right="60"/>
        <w:spacing w:after="0" w:line="258" w:lineRule="auto"/>
        <w:rPr>
          <w:sz w:val="20"/>
          <w:szCs w:val="20"/>
          <w:color w:val="auto"/>
        </w:rPr>
      </w:pPr>
      <w:r>
        <w:rPr>
          <w:rFonts w:ascii="Calibri" w:cs="Calibri" w:eastAsia="Calibri" w:hAnsi="Calibri"/>
          <w:sz w:val="17"/>
          <w:szCs w:val="17"/>
          <w:color w:val="auto"/>
        </w:rPr>
        <w:t>Our Board is actvely engaged in management succession planning and views CEO succession planning as one of its core responsibilites. Annually, the Board meets to review our succession strategy and leadership pipeline for key roles, taking into account the Company’s long-term corporate strategy. CEO succession planning discussions are led by the independent Lead Director and the Board members have direct access to and interacton with members of senior management and high-potental future leaders as part of this succession planning. This actvity includes informal and one-on-one setngs to enable directors to personally assess potental candidates and cultvate future leaders. The Board of Directors maintains a succession plan for the CEO and other key members of management and has a contngency plan if the CEO were to depart unexpectedly. The Company has a corporate policy imposing a mandatory retrement age of 65 for all executve ofcers other than the CEO. The CEO’s tenure is at the discreton of the independent members of the Board, which are free to consider all relevant factors.</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b w:val="1"/>
          <w:bCs w:val="1"/>
          <w:color w:val="818EB4"/>
        </w:rPr>
        <w:t>Board Oversight of ESG</w:t>
      </w:r>
    </w:p>
    <w:p>
      <w:pPr>
        <w:spacing w:after="0" w:line="128" w:lineRule="exact"/>
        <w:rPr>
          <w:sz w:val="20"/>
          <w:szCs w:val="20"/>
          <w:color w:val="auto"/>
        </w:rPr>
      </w:pPr>
    </w:p>
    <w:p>
      <w:pPr>
        <w:spacing w:after="0" w:line="261" w:lineRule="auto"/>
        <w:rPr>
          <w:sz w:val="20"/>
          <w:szCs w:val="20"/>
          <w:color w:val="auto"/>
        </w:rPr>
      </w:pPr>
      <w:r>
        <w:rPr>
          <w:rFonts w:ascii="Calibri" w:cs="Calibri" w:eastAsia="Calibri" w:hAnsi="Calibri"/>
          <w:sz w:val="17"/>
          <w:szCs w:val="17"/>
          <w:color w:val="auto"/>
        </w:rPr>
        <w:t>The Board and its commitees exercise broad oversight over issues important to the Company, including ESG topics. The discussion of the Board’s oversight of sustainability, people strategy, workforce diversity and inclusion, cybersecurity, politcal and policy actvites and human rights are discussed in the “Environmental, Social and Governance” secton on page 32. The Board’s oversight of governance issues is discussed throughout the “Corporate Governance” secton.</w:t>
      </w:r>
    </w:p>
    <w:p>
      <w:pPr>
        <w:spacing w:after="0" w:line="304" w:lineRule="exact"/>
        <w:rPr>
          <w:sz w:val="20"/>
          <w:szCs w:val="20"/>
          <w:color w:val="auto"/>
        </w:rPr>
      </w:pPr>
    </w:p>
    <w:p>
      <w:pPr>
        <w:spacing w:after="0"/>
        <w:rPr>
          <w:sz w:val="20"/>
          <w:szCs w:val="20"/>
          <w:color w:val="auto"/>
        </w:rPr>
      </w:pPr>
      <w:r>
        <w:rPr>
          <w:rFonts w:ascii="Arial" w:cs="Arial" w:eastAsia="Arial" w:hAnsi="Arial"/>
          <w:sz w:val="29"/>
          <w:szCs w:val="29"/>
          <w:color w:val="003478"/>
        </w:rPr>
        <w:t>Our Stockholder Engagement Program</w:t>
      </w:r>
    </w:p>
    <w:p>
      <w:pPr>
        <w:spacing w:after="0" w:line="144" w:lineRule="exact"/>
        <w:rPr>
          <w:sz w:val="20"/>
          <w:szCs w:val="20"/>
          <w:color w:val="auto"/>
        </w:rPr>
      </w:pPr>
    </w:p>
    <w:p>
      <w:pPr>
        <w:ind w:right="220"/>
        <w:spacing w:after="0" w:line="256" w:lineRule="auto"/>
        <w:rPr>
          <w:sz w:val="20"/>
          <w:szCs w:val="20"/>
          <w:color w:val="auto"/>
        </w:rPr>
      </w:pPr>
      <w:r>
        <w:rPr>
          <w:rFonts w:ascii="Calibri" w:cs="Calibri" w:eastAsia="Calibri" w:hAnsi="Calibri"/>
          <w:sz w:val="17"/>
          <w:szCs w:val="17"/>
          <w:b w:val="1"/>
          <w:bCs w:val="1"/>
          <w:color w:val="auto"/>
        </w:rPr>
        <w:t xml:space="preserve">Board’s Commitment to Engagement. </w:t>
      </w:r>
      <w:r>
        <w:rPr>
          <w:rFonts w:ascii="Calibri" w:cs="Calibri" w:eastAsia="Calibri" w:hAnsi="Calibri"/>
          <w:sz w:val="17"/>
          <w:szCs w:val="17"/>
          <w:color w:val="auto"/>
        </w:rPr>
        <w:t>We conduct extensive governance reviews and stockholder outreach throughout the year in additon to our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engagements through Investor Relatons on fnancial and business topics. Our integrated engagement team is led by our Corporate Secretary’s ofce and includes representatves from Ethics and Enterprise Assurance, Environment, Safety, Health and Sustainability, Executve Compensaton and Diversity and Inclusion. Depending on the circumstance, our independent Lead Director or other directors may engage in these conversatons with stockholders. The Governance Commitee oversees our stockholder engagement eforts on behalf of the Board. We recognize the value of building informed and meaningful relatonships with our investors that promote increased transparency and accountability. Our Governance Guidelines outline our stockholder engagement program.</w:t>
      </w:r>
    </w:p>
    <w:p>
      <w:pPr>
        <w:spacing w:after="0" w:line="111" w:lineRule="exact"/>
        <w:rPr>
          <w:sz w:val="20"/>
          <w:szCs w:val="20"/>
          <w:color w:val="auto"/>
        </w:rPr>
      </w:pPr>
    </w:p>
    <w:p>
      <w:pPr>
        <w:ind w:right="100"/>
        <w:spacing w:after="0" w:line="257" w:lineRule="auto"/>
        <w:rPr>
          <w:sz w:val="20"/>
          <w:szCs w:val="20"/>
          <w:color w:val="auto"/>
        </w:rPr>
      </w:pPr>
      <w:r>
        <w:rPr>
          <w:rFonts w:ascii="Calibri" w:cs="Calibri" w:eastAsia="Calibri" w:hAnsi="Calibri"/>
          <w:sz w:val="17"/>
          <w:szCs w:val="17"/>
          <w:b w:val="1"/>
          <w:bCs w:val="1"/>
          <w:color w:val="auto"/>
        </w:rPr>
        <w:t xml:space="preserve">Responsiveness to Stockholders. </w:t>
      </w:r>
      <w:r>
        <w:rPr>
          <w:rFonts w:ascii="Calibri" w:cs="Calibri" w:eastAsia="Calibri" w:hAnsi="Calibri"/>
          <w:sz w:val="17"/>
          <w:szCs w:val="17"/>
          <w:color w:val="auto"/>
        </w:rPr>
        <w:t>Accountability to our stockholders contnues to be an important component of the Company’s success. We take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accountability seriously and seek feedback through stockholder engagement to understand investor views and preferences, including feedback relatng to stockholder proposals. In 2022, we received an advisory proposal from John Chevedden to reduce the threshold for calling special stockholder meetngs. Although the proposal received a signifcant level of stockholder support, a majority of our stockholders supported the Board’s recommendaton and voted against a change. Given the level of support for the proposal, we engaged with investors on this issue to beter understand their concerns and considered their feedback in our decision to maintain our current practce. We look forward to contnued engagement and dialogue to ensure our stockholder rights contnue to meet the needs and expectatons of our wide range of investors. In 2022, we were responsive to stockholders regarding an advisory proposal on human rights, which received approximately 20% stockholder support. See Proposal 6 for details on our actons and engagement in response to the 2022 stockholder proposals on human rights.</w:t>
      </w:r>
    </w:p>
    <w:p>
      <w:pPr>
        <w:sectPr>
          <w:pgSz w:w="11900" w:h="16838" w:orient="portrait"/>
          <w:cols w:equalWidth="0" w:num="1">
            <w:col w:w="11200"/>
          </w:cols>
          <w:pgMar w:left="320" w:top="230" w:right="379" w:bottom="1440" w:gutter="0" w:footer="0" w:header="0"/>
        </w:sectPr>
      </w:pPr>
    </w:p>
    <w:p>
      <w:pPr>
        <w:spacing w:after="0" w:line="228" w:lineRule="exact"/>
        <w:rPr>
          <w:sz w:val="20"/>
          <w:szCs w:val="20"/>
          <w:color w:val="auto"/>
        </w:rPr>
      </w:pPr>
    </w:p>
    <w:p>
      <w:pPr>
        <w:ind w:left="20"/>
        <w:spacing w:after="0" w:line="258" w:lineRule="auto"/>
        <w:rPr>
          <w:sz w:val="20"/>
          <w:szCs w:val="20"/>
          <w:color w:val="auto"/>
        </w:rPr>
      </w:pPr>
      <w:r>
        <w:rPr>
          <w:rFonts w:ascii="Calibri" w:cs="Calibri" w:eastAsia="Calibri" w:hAnsi="Calibri"/>
          <w:sz w:val="17"/>
          <w:szCs w:val="17"/>
          <w:b w:val="1"/>
          <w:bCs w:val="1"/>
          <w:color w:val="auto"/>
        </w:rPr>
        <w:t xml:space="preserve">Stockholder Outreach. </w:t>
      </w:r>
      <w:r>
        <w:rPr>
          <w:rFonts w:ascii="Calibri" w:cs="Calibri" w:eastAsia="Calibri" w:hAnsi="Calibri"/>
          <w:sz w:val="17"/>
          <w:szCs w:val="17"/>
          <w:color w:val="auto"/>
        </w:rPr>
        <w:t>In seeking stockholder perspectves, our senior management team ofered during 2022</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to engage with a cross secton of stockholders representng nearly a majority of our outstanding shares calculated as of December 31, 2022, and engaged with insttutons representng 61% of our insttutonal shares. Our consistent, actve and year-round dialogue with stockholders and other stakeholders enables our Board to consider a broad range of viewpoints in boardroom discussions. Stockholders’ views are communicated to the Board throughout the year and are instrumental in the development of our governance, compensaton and environmental and social policies and inform our business strategy. Please see the summary below of principal governance-related engagement topics during 2022.</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Engagement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-118110</wp:posOffset>
            </wp:positionV>
            <wp:extent cx="2023110" cy="13030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023110" cy="130302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29"/>
          <w:szCs w:val="29"/>
          <w:color w:val="002E6D"/>
        </w:rPr>
        <w:t>65</w:t>
      </w:r>
    </w:p>
    <w:p>
      <w:pPr>
        <w:spacing w:after="0" w:line="214" w:lineRule="auto"/>
        <w:rPr>
          <w:sz w:val="20"/>
          <w:szCs w:val="20"/>
          <w:color w:val="auto"/>
        </w:rPr>
      </w:pPr>
      <w:r>
        <w:rPr>
          <w:rFonts w:ascii="Calibri" w:cs="Calibri" w:eastAsia="Calibri" w:hAnsi="Calibri"/>
          <w:sz w:val="15"/>
          <w:szCs w:val="15"/>
          <w:color w:val="auto"/>
        </w:rPr>
        <w:t>Engagements</w:t>
      </w:r>
    </w:p>
    <w:p>
      <w:pPr>
        <w:spacing w:after="0" w:line="11" w:lineRule="exact"/>
        <w:rPr>
          <w:sz w:val="20"/>
          <w:szCs w:val="20"/>
          <w:color w:val="auto"/>
        </w:rPr>
      </w:pPr>
    </w:p>
    <w:p>
      <w:pPr>
        <w:spacing w:after="0"/>
        <w:rPr>
          <w:sz w:val="20"/>
          <w:szCs w:val="20"/>
          <w:color w:val="auto"/>
        </w:rPr>
      </w:pPr>
      <w:r>
        <w:rPr>
          <w:rFonts w:ascii="Arial" w:cs="Arial" w:eastAsia="Arial" w:hAnsi="Arial"/>
          <w:sz w:val="29"/>
          <w:szCs w:val="29"/>
          <w:color w:val="002E6D"/>
        </w:rPr>
        <w:t>61%</w:t>
      </w:r>
    </w:p>
    <w:p>
      <w:pPr>
        <w:spacing w:after="0" w:line="221" w:lineRule="auto"/>
        <w:rPr>
          <w:sz w:val="20"/>
          <w:szCs w:val="20"/>
          <w:color w:val="auto"/>
        </w:rPr>
      </w:pPr>
      <w:r>
        <w:rPr>
          <w:rFonts w:ascii="Calibri" w:cs="Calibri" w:eastAsia="Calibri" w:hAnsi="Calibri"/>
          <w:sz w:val="15"/>
          <w:szCs w:val="15"/>
          <w:color w:val="auto"/>
        </w:rPr>
        <w:t>of Insttutonal Shares Outstanding</w:t>
      </w:r>
    </w:p>
    <w:p>
      <w:pPr>
        <w:spacing w:after="0" w:line="11" w:lineRule="exact"/>
        <w:rPr>
          <w:sz w:val="20"/>
          <w:szCs w:val="20"/>
          <w:color w:val="auto"/>
        </w:rPr>
      </w:pPr>
    </w:p>
    <w:p>
      <w:pPr>
        <w:spacing w:after="0"/>
        <w:rPr>
          <w:sz w:val="20"/>
          <w:szCs w:val="20"/>
          <w:color w:val="auto"/>
        </w:rPr>
      </w:pPr>
      <w:r>
        <w:rPr>
          <w:rFonts w:ascii="Arial" w:cs="Arial" w:eastAsia="Arial" w:hAnsi="Arial"/>
          <w:sz w:val="29"/>
          <w:szCs w:val="29"/>
          <w:color w:val="002E6D"/>
        </w:rPr>
        <w:t>47%</w:t>
      </w:r>
    </w:p>
    <w:p>
      <w:pPr>
        <w:spacing w:after="0" w:line="221" w:lineRule="auto"/>
        <w:rPr>
          <w:sz w:val="20"/>
          <w:szCs w:val="20"/>
          <w:color w:val="auto"/>
        </w:rPr>
      </w:pPr>
      <w:r>
        <w:rPr>
          <w:rFonts w:ascii="Calibri" w:cs="Calibri" w:eastAsia="Calibri" w:hAnsi="Calibri"/>
          <w:sz w:val="15"/>
          <w:szCs w:val="15"/>
          <w:color w:val="auto"/>
        </w:rPr>
        <w:t>Outstanding Shares</w:t>
      </w:r>
    </w:p>
    <w:p>
      <w:pPr>
        <w:spacing w:after="0" w:line="366" w:lineRule="exact"/>
        <w:rPr>
          <w:sz w:val="20"/>
          <w:szCs w:val="20"/>
          <w:color w:val="auto"/>
        </w:rPr>
      </w:pPr>
    </w:p>
    <w:p>
      <w:pPr>
        <w:sectPr>
          <w:pgSz w:w="11900" w:h="16838" w:orient="portrait"/>
          <w:cols w:equalWidth="0" w:num="2">
            <w:col w:w="7940" w:space="200"/>
            <w:col w:w="3060"/>
          </w:cols>
          <w:pgMar w:left="320" w:top="230" w:right="379" w:bottom="1440" w:gutter="0" w:footer="0" w:header="0"/>
          <w:type w:val="continuous"/>
        </w:sectPr>
      </w:pPr>
    </w:p>
    <w:p>
      <w:pPr>
        <w:spacing w:after="0" w:line="135" w:lineRule="exact"/>
        <w:rPr>
          <w:sz w:val="20"/>
          <w:szCs w:val="20"/>
          <w:color w:val="auto"/>
        </w:rPr>
      </w:pPr>
    </w:p>
    <w:p>
      <w:pPr>
        <w:ind w:right="140"/>
        <w:spacing w:after="0" w:line="261" w:lineRule="auto"/>
        <w:rPr>
          <w:sz w:val="20"/>
          <w:szCs w:val="20"/>
          <w:color w:val="auto"/>
        </w:rPr>
      </w:pPr>
      <w:r>
        <w:rPr>
          <w:rFonts w:ascii="Calibri" w:cs="Calibri" w:eastAsia="Calibri" w:hAnsi="Calibri"/>
          <w:sz w:val="17"/>
          <w:szCs w:val="17"/>
          <w:b w:val="1"/>
          <w:bCs w:val="1"/>
          <w:color w:val="auto"/>
        </w:rPr>
        <w:t xml:space="preserve">Investor Priorites. </w:t>
      </w:r>
      <w:r>
        <w:rPr>
          <w:rFonts w:ascii="Calibri" w:cs="Calibri" w:eastAsia="Calibri" w:hAnsi="Calibri"/>
          <w:sz w:val="17"/>
          <w:szCs w:val="17"/>
          <w:color w:val="auto"/>
        </w:rPr>
        <w:t>The Board recognizes the importance of ESG topics to our stockholders and contnues to seek stockholder input on a range of ESG issues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and practces in furtherance of enhancing long-term stockholder value. Below are some of the investor priorites discussed during 2022:</w:t>
      </w:r>
    </w:p>
    <w:p>
      <w:pPr>
        <w:spacing w:after="0" w:line="102" w:lineRule="exact"/>
        <w:rPr>
          <w:sz w:val="20"/>
          <w:szCs w:val="20"/>
          <w:color w:val="auto"/>
        </w:rPr>
      </w:pPr>
    </w:p>
    <w:p>
      <w:pPr>
        <w:ind w:left="260" w:right="20" w:hanging="171"/>
        <w:spacing w:after="0" w:line="245" w:lineRule="auto"/>
        <w:tabs>
          <w:tab w:leader="none" w:pos="253" w:val="left"/>
        </w:tabs>
        <w:numPr>
          <w:ilvl w:val="0"/>
          <w:numId w:val="35"/>
        </w:numPr>
        <w:rPr>
          <w:rFonts w:ascii="Calibri" w:cs="Calibri" w:eastAsia="Calibri" w:hAnsi="Calibri"/>
          <w:sz w:val="17"/>
          <w:szCs w:val="17"/>
          <w:color w:val="002E6D"/>
        </w:rPr>
      </w:pPr>
      <w:r>
        <w:rPr>
          <w:rFonts w:ascii="Calibri" w:cs="Calibri" w:eastAsia="Calibri" w:hAnsi="Calibri"/>
          <w:sz w:val="17"/>
          <w:szCs w:val="17"/>
          <w:b w:val="1"/>
          <w:bCs w:val="1"/>
          <w:color w:val="auto"/>
        </w:rPr>
        <w:t>Board Compositon</w:t>
      </w:r>
      <w:r>
        <w:rPr>
          <w:rFonts w:ascii="Calibri" w:cs="Calibri" w:eastAsia="Calibri" w:hAnsi="Calibri"/>
          <w:sz w:val="17"/>
          <w:szCs w:val="17"/>
          <w:color w:val="auto"/>
        </w:rPr>
        <w:t>: Contnued focus on Board refreshment, racial/ethnic and gender diversity, and appointng directors with relevant experience and skill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sets that align with our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305435</wp:posOffset>
            </wp:positionV>
            <wp:extent cx="1071880"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74" w:lineRule="exact"/>
        <w:rPr>
          <w:sz w:val="20"/>
          <w:szCs w:val="20"/>
          <w:color w:val="auto"/>
        </w:rPr>
      </w:pPr>
    </w:p>
    <w:p>
      <w:pPr>
        <w:ind w:left="260" w:right="200" w:hanging="171"/>
        <w:spacing w:after="0" w:line="245" w:lineRule="auto"/>
        <w:tabs>
          <w:tab w:leader="none" w:pos="253" w:val="left"/>
        </w:tabs>
        <w:numPr>
          <w:ilvl w:val="0"/>
          <w:numId w:val="36"/>
        </w:numPr>
        <w:rPr>
          <w:rFonts w:ascii="Calibri" w:cs="Calibri" w:eastAsia="Calibri" w:hAnsi="Calibri"/>
          <w:sz w:val="17"/>
          <w:szCs w:val="17"/>
          <w:color w:val="002E6D"/>
        </w:rPr>
      </w:pPr>
      <w:r>
        <w:rPr>
          <w:rFonts w:ascii="Calibri" w:cs="Calibri" w:eastAsia="Calibri" w:hAnsi="Calibri"/>
          <w:sz w:val="17"/>
          <w:szCs w:val="17"/>
          <w:b w:val="1"/>
          <w:bCs w:val="1"/>
          <w:color w:val="auto"/>
        </w:rPr>
        <w:t>Climate and Environmental Stewardship</w:t>
      </w:r>
      <w:r>
        <w:rPr>
          <w:rFonts w:ascii="Calibri" w:cs="Calibri" w:eastAsia="Calibri" w:hAnsi="Calibri"/>
          <w:sz w:val="17"/>
          <w:szCs w:val="17"/>
          <w:color w:val="auto"/>
        </w:rPr>
        <w:t>: Assessment of our long-term strategy and shif to a low-carbon future, with a focus on environmental impacts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of our products and operatons; how we determine our sustainability priorites and measure progress within various investor recognized reportng</w:t>
      </w:r>
    </w:p>
    <w:p>
      <w:pPr>
        <w:spacing w:after="0" w:line="21" w:lineRule="exact"/>
        <w:rPr>
          <w:rFonts w:ascii="Calibri" w:cs="Calibri" w:eastAsia="Calibri" w:hAnsi="Calibri"/>
          <w:sz w:val="17"/>
          <w:szCs w:val="17"/>
          <w:color w:val="002E6D"/>
        </w:rPr>
      </w:pPr>
    </w:p>
    <w:p>
      <w:pPr>
        <w:ind w:left="260" w:right="180"/>
        <w:spacing w:after="0" w:line="245" w:lineRule="auto"/>
        <w:rPr>
          <w:rFonts w:ascii="Calibri" w:cs="Calibri" w:eastAsia="Calibri" w:hAnsi="Calibri"/>
          <w:sz w:val="17"/>
          <w:szCs w:val="17"/>
          <w:color w:val="002E6D"/>
        </w:rPr>
      </w:pPr>
      <w:r>
        <w:rPr>
          <w:rFonts w:ascii="Calibri" w:cs="Calibri" w:eastAsia="Calibri" w:hAnsi="Calibri"/>
          <w:sz w:val="17"/>
          <w:szCs w:val="17"/>
          <w:color w:val="auto"/>
        </w:rPr>
        <w:t>frameworks (SASB, TCFD and GRI); and how sustainability and workforce diversity goals are linked to our annual incentve program through our strategic and operatonal commitments;</w:t>
      </w:r>
    </w:p>
    <w:p>
      <w:pPr>
        <w:spacing w:after="0" w:line="75" w:lineRule="exact"/>
        <w:rPr>
          <w:rFonts w:ascii="Calibri" w:cs="Calibri" w:eastAsia="Calibri" w:hAnsi="Calibri"/>
          <w:sz w:val="17"/>
          <w:szCs w:val="17"/>
          <w:color w:val="002E6D"/>
        </w:rPr>
      </w:pPr>
    </w:p>
    <w:p>
      <w:pPr>
        <w:ind w:left="260" w:right="640" w:hanging="171"/>
        <w:spacing w:after="0" w:line="245" w:lineRule="auto"/>
        <w:tabs>
          <w:tab w:leader="none" w:pos="253" w:val="left"/>
        </w:tabs>
        <w:numPr>
          <w:ilvl w:val="0"/>
          <w:numId w:val="36"/>
        </w:numPr>
        <w:rPr>
          <w:rFonts w:ascii="Calibri" w:cs="Calibri" w:eastAsia="Calibri" w:hAnsi="Calibri"/>
          <w:sz w:val="17"/>
          <w:szCs w:val="17"/>
          <w:color w:val="002E6D"/>
        </w:rPr>
      </w:pPr>
      <w:r>
        <w:rPr>
          <w:rFonts w:ascii="Calibri" w:cs="Calibri" w:eastAsia="Calibri" w:hAnsi="Calibri"/>
          <w:sz w:val="17"/>
          <w:szCs w:val="17"/>
          <w:b w:val="1"/>
          <w:bCs w:val="1"/>
          <w:color w:val="auto"/>
        </w:rPr>
        <w:t>Human Rights</w:t>
      </w:r>
      <w:r>
        <w:rPr>
          <w:rFonts w:ascii="Calibri" w:cs="Calibri" w:eastAsia="Calibri" w:hAnsi="Calibri"/>
          <w:sz w:val="17"/>
          <w:szCs w:val="17"/>
          <w:color w:val="auto"/>
        </w:rPr>
        <w:t>: Human rights policies and risk oversight, as detailed in our second Human Rights Report, published in October 2022 in response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stockholder engagement; and potental geopolitcal impacts from the Russia-Ukraine confict; and</w:t>
      </w:r>
    </w:p>
    <w:p>
      <w:pPr>
        <w:spacing w:after="0" w:line="72" w:lineRule="exact"/>
        <w:rPr>
          <w:rFonts w:ascii="Calibri" w:cs="Calibri" w:eastAsia="Calibri" w:hAnsi="Calibri"/>
          <w:sz w:val="17"/>
          <w:szCs w:val="17"/>
          <w:color w:val="002E6D"/>
        </w:rPr>
      </w:pPr>
    </w:p>
    <w:p>
      <w:pPr>
        <w:ind w:left="240" w:hanging="151"/>
        <w:spacing w:after="0"/>
        <w:tabs>
          <w:tab w:leader="none" w:pos="240" w:val="left"/>
        </w:tabs>
        <w:numPr>
          <w:ilvl w:val="0"/>
          <w:numId w:val="36"/>
        </w:numPr>
        <w:rPr>
          <w:rFonts w:ascii="Calibri" w:cs="Calibri" w:eastAsia="Calibri" w:hAnsi="Calibri"/>
          <w:sz w:val="17"/>
          <w:szCs w:val="17"/>
          <w:color w:val="002E6D"/>
        </w:rPr>
      </w:pPr>
      <w:r>
        <w:rPr>
          <w:rFonts w:ascii="Calibri" w:cs="Calibri" w:eastAsia="Calibri" w:hAnsi="Calibri"/>
          <w:sz w:val="17"/>
          <w:szCs w:val="17"/>
          <w:b w:val="1"/>
          <w:bCs w:val="1"/>
          <w:color w:val="auto"/>
        </w:rPr>
        <w:t>Human Capital Management</w:t>
      </w:r>
      <w:r>
        <w:rPr>
          <w:rFonts w:ascii="Calibri" w:cs="Calibri" w:eastAsia="Calibri" w:hAnsi="Calibri"/>
          <w:sz w:val="17"/>
          <w:szCs w:val="17"/>
          <w:color w:val="auto"/>
        </w:rPr>
        <w:t>: Focus on eforts to recruit, develop and retain a diverse and appropriately skilled workforce.</w:t>
      </w:r>
    </w:p>
    <w:p>
      <w:pPr>
        <w:spacing w:after="0" w:line="120" w:lineRule="exact"/>
        <w:rPr>
          <w:sz w:val="20"/>
          <w:szCs w:val="20"/>
          <w:color w:val="auto"/>
        </w:rPr>
      </w:pPr>
    </w:p>
    <w:p>
      <w:pPr>
        <w:ind w:right="500"/>
        <w:spacing w:after="0" w:line="261" w:lineRule="auto"/>
        <w:rPr>
          <w:sz w:val="20"/>
          <w:szCs w:val="20"/>
          <w:color w:val="auto"/>
        </w:rPr>
      </w:pPr>
      <w:r>
        <w:rPr>
          <w:rFonts w:ascii="Calibri" w:cs="Calibri" w:eastAsia="Calibri" w:hAnsi="Calibri"/>
          <w:sz w:val="17"/>
          <w:szCs w:val="17"/>
          <w:color w:val="auto"/>
        </w:rPr>
        <w:t>These investor discussions and the results of votes on the 2022 stockholder proposals yielded valuable feedback that was incorporated into the Board’s deliberatons.</w:t>
      </w:r>
    </w:p>
    <w:p>
      <w:pPr>
        <w:sectPr>
          <w:pgSz w:w="11900" w:h="16838" w:orient="portrait"/>
          <w:cols w:equalWidth="0" w:num="1">
            <w:col w:w="11240"/>
          </w:cols>
          <w:pgMar w:left="320" w:top="230"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22"/>
          <w:szCs w:val="22"/>
          <w:color w:val="818EB4"/>
        </w:rPr>
        <w:t>Stockholder Engagement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2314575" cy="685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314575" cy="68580"/>
                    </a:xfrm>
                    <a:prstGeom prst="rect">
                      <a:avLst/>
                    </a:prstGeom>
                    <a:noFill/>
                  </pic:spPr>
                </pic:pic>
              </a:graphicData>
            </a:graphic>
          </wp:anchor>
        </w:drawing>
      </w:r>
    </w:p>
    <w:p>
      <w:pPr>
        <w:spacing w:after="0" w:line="320" w:lineRule="exact"/>
        <w:rPr>
          <w:sz w:val="20"/>
          <w:szCs w:val="20"/>
          <w:color w:val="auto"/>
        </w:rPr>
      </w:pPr>
    </w:p>
    <w:p>
      <w:pPr>
        <w:ind w:left="260" w:right="60" w:hanging="153"/>
        <w:spacing w:after="0" w:line="245" w:lineRule="auto"/>
        <w:tabs>
          <w:tab w:leader="none" w:pos="253" w:val="left"/>
        </w:tabs>
        <w:numPr>
          <w:ilvl w:val="0"/>
          <w:numId w:val="37"/>
        </w:numPr>
        <w:rPr>
          <w:rFonts w:ascii="Calibri" w:cs="Calibri" w:eastAsia="Calibri" w:hAnsi="Calibri"/>
          <w:sz w:val="17"/>
          <w:szCs w:val="17"/>
          <w:color w:val="002E6D"/>
        </w:rPr>
      </w:pPr>
      <w:r>
        <w:rPr>
          <w:rFonts w:ascii="Calibri" w:cs="Calibri" w:eastAsia="Calibri" w:hAnsi="Calibri"/>
          <w:sz w:val="17"/>
          <w:szCs w:val="17"/>
          <w:color w:val="auto"/>
        </w:rPr>
        <w:t>Solicit feedback on governance best practces and trends, executve compensaton, human</w:t>
      </w:r>
    </w:p>
    <w:p>
      <w:pPr>
        <w:spacing w:after="0" w:line="21" w:lineRule="exact"/>
        <w:rPr>
          <w:rFonts w:ascii="Calibri" w:cs="Calibri" w:eastAsia="Calibri" w:hAnsi="Calibri"/>
          <w:sz w:val="17"/>
          <w:szCs w:val="17"/>
          <w:color w:val="002E6D"/>
        </w:rPr>
      </w:pPr>
    </w:p>
    <w:p>
      <w:pPr>
        <w:ind w:left="260" w:right="140"/>
        <w:spacing w:after="0" w:line="245" w:lineRule="auto"/>
        <w:rPr>
          <w:rFonts w:ascii="Calibri" w:cs="Calibri" w:eastAsia="Calibri" w:hAnsi="Calibri"/>
          <w:sz w:val="17"/>
          <w:szCs w:val="17"/>
          <w:color w:val="002E6D"/>
        </w:rPr>
      </w:pPr>
      <w:r>
        <w:rPr>
          <w:rFonts w:ascii="Calibri" w:cs="Calibri" w:eastAsia="Calibri" w:hAnsi="Calibri"/>
          <w:sz w:val="17"/>
          <w:szCs w:val="17"/>
          <w:color w:val="auto"/>
        </w:rPr>
        <w:t>capital management, ESG maters and other topics of interest to stockholders</w:t>
      </w:r>
    </w:p>
    <w:p>
      <w:pPr>
        <w:spacing w:after="0" w:line="75" w:lineRule="exact"/>
        <w:rPr>
          <w:rFonts w:ascii="Calibri" w:cs="Calibri" w:eastAsia="Calibri" w:hAnsi="Calibri"/>
          <w:sz w:val="17"/>
          <w:szCs w:val="17"/>
          <w:color w:val="002E6D"/>
        </w:rPr>
      </w:pPr>
    </w:p>
    <w:p>
      <w:pPr>
        <w:ind w:left="260" w:right="100" w:hanging="153"/>
        <w:spacing w:after="0" w:line="247" w:lineRule="auto"/>
        <w:tabs>
          <w:tab w:leader="none" w:pos="253" w:val="left"/>
        </w:tabs>
        <w:numPr>
          <w:ilvl w:val="0"/>
          <w:numId w:val="37"/>
        </w:numPr>
        <w:rPr>
          <w:rFonts w:ascii="Calibri" w:cs="Calibri" w:eastAsia="Calibri" w:hAnsi="Calibri"/>
          <w:sz w:val="17"/>
          <w:szCs w:val="17"/>
          <w:color w:val="002E6D"/>
        </w:rPr>
      </w:pPr>
      <w:r>
        <w:rPr>
          <w:rFonts w:ascii="Calibri" w:cs="Calibri" w:eastAsia="Calibri" w:hAnsi="Calibri"/>
          <w:sz w:val="17"/>
          <w:szCs w:val="17"/>
          <w:color w:val="auto"/>
        </w:rPr>
        <w:t>Discuss stockholder proposals with proponents and actons taken in response to votes</w:t>
      </w:r>
    </w:p>
    <w:p>
      <w:pPr>
        <w:spacing w:after="0" w:line="74" w:lineRule="exact"/>
        <w:rPr>
          <w:rFonts w:ascii="Calibri" w:cs="Calibri" w:eastAsia="Calibri" w:hAnsi="Calibri"/>
          <w:sz w:val="17"/>
          <w:szCs w:val="17"/>
          <w:color w:val="002E6D"/>
        </w:rPr>
      </w:pPr>
    </w:p>
    <w:p>
      <w:pPr>
        <w:ind w:left="260" w:hanging="153"/>
        <w:spacing w:after="0" w:line="245" w:lineRule="auto"/>
        <w:tabs>
          <w:tab w:leader="none" w:pos="253" w:val="left"/>
        </w:tabs>
        <w:numPr>
          <w:ilvl w:val="0"/>
          <w:numId w:val="37"/>
        </w:numPr>
        <w:rPr>
          <w:rFonts w:ascii="Calibri" w:cs="Calibri" w:eastAsia="Calibri" w:hAnsi="Calibri"/>
          <w:sz w:val="17"/>
          <w:szCs w:val="17"/>
          <w:color w:val="002E6D"/>
        </w:rPr>
      </w:pPr>
      <w:r>
        <w:rPr>
          <w:rFonts w:ascii="Calibri" w:cs="Calibri" w:eastAsia="Calibri" w:hAnsi="Calibri"/>
          <w:sz w:val="17"/>
          <w:szCs w:val="17"/>
          <w:color w:val="auto"/>
        </w:rPr>
        <w:t>Respond to investor inquiries and requests for informaton or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1170940</wp:posOffset>
            </wp:positionV>
            <wp:extent cx="2314575" cy="16116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31457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0" w:right="420" w:hanging="153"/>
        <w:spacing w:after="0" w:line="245" w:lineRule="auto"/>
        <w:tabs>
          <w:tab w:leader="none" w:pos="253" w:val="left"/>
        </w:tabs>
        <w:numPr>
          <w:ilvl w:val="0"/>
          <w:numId w:val="38"/>
        </w:numPr>
        <w:rPr>
          <w:rFonts w:ascii="Calibri" w:cs="Calibri" w:eastAsia="Calibri" w:hAnsi="Calibri"/>
          <w:sz w:val="17"/>
          <w:szCs w:val="17"/>
          <w:color w:val="002E6D"/>
        </w:rPr>
      </w:pPr>
      <w:r>
        <w:rPr>
          <w:rFonts w:ascii="Calibri" w:cs="Calibri" w:eastAsia="Calibri" w:hAnsi="Calibri"/>
          <w:sz w:val="17"/>
          <w:szCs w:val="17"/>
          <w:color w:val="auto"/>
        </w:rPr>
        <w:t>Board responds, as appropriate, with contnued discussions with stockholders</w:t>
      </w:r>
    </w:p>
    <w:p>
      <w:pPr>
        <w:spacing w:after="0" w:line="75" w:lineRule="exact"/>
        <w:rPr>
          <w:rFonts w:ascii="Calibri" w:cs="Calibri" w:eastAsia="Calibri" w:hAnsi="Calibri"/>
          <w:sz w:val="17"/>
          <w:szCs w:val="17"/>
          <w:color w:val="002E6D"/>
        </w:rPr>
      </w:pPr>
    </w:p>
    <w:p>
      <w:pPr>
        <w:ind w:left="260" w:right="100" w:hanging="153"/>
        <w:spacing w:after="0" w:line="245" w:lineRule="auto"/>
        <w:tabs>
          <w:tab w:leader="none" w:pos="253" w:val="left"/>
        </w:tabs>
        <w:numPr>
          <w:ilvl w:val="0"/>
          <w:numId w:val="38"/>
        </w:numPr>
        <w:rPr>
          <w:rFonts w:ascii="Calibri" w:cs="Calibri" w:eastAsia="Calibri" w:hAnsi="Calibri"/>
          <w:sz w:val="17"/>
          <w:szCs w:val="17"/>
          <w:color w:val="002E6D"/>
        </w:rPr>
      </w:pPr>
      <w:r>
        <w:rPr>
          <w:rFonts w:ascii="Calibri" w:cs="Calibri" w:eastAsia="Calibri" w:hAnsi="Calibri"/>
          <w:sz w:val="17"/>
          <w:szCs w:val="17"/>
          <w:color w:val="auto"/>
        </w:rPr>
        <w:t>Board uses stockholder feedback to enhance our disclosures, governance practces,</w:t>
      </w:r>
    </w:p>
    <w:p>
      <w:pPr>
        <w:spacing w:after="0" w:line="21" w:lineRule="exact"/>
        <w:rPr>
          <w:rFonts w:ascii="Calibri" w:cs="Calibri" w:eastAsia="Calibri" w:hAnsi="Calibri"/>
          <w:sz w:val="17"/>
          <w:szCs w:val="17"/>
          <w:color w:val="002E6D"/>
        </w:rPr>
      </w:pPr>
    </w:p>
    <w:p>
      <w:pPr>
        <w:ind w:left="260" w:right="600"/>
        <w:spacing w:after="0" w:line="245" w:lineRule="auto"/>
        <w:rPr>
          <w:rFonts w:ascii="Calibri" w:cs="Calibri" w:eastAsia="Calibri" w:hAnsi="Calibri"/>
          <w:sz w:val="17"/>
          <w:szCs w:val="17"/>
          <w:color w:val="002E6D"/>
        </w:rPr>
      </w:pPr>
      <w:r>
        <w:rPr>
          <w:rFonts w:ascii="Calibri" w:cs="Calibri" w:eastAsia="Calibri" w:hAnsi="Calibri"/>
          <w:sz w:val="17"/>
          <w:szCs w:val="17"/>
          <w:color w:val="auto"/>
        </w:rPr>
        <w:t>environmental and social policies and compensaton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2314575" cy="685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314575"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59" w:right="160" w:hanging="159"/>
        <w:spacing w:after="0" w:line="245" w:lineRule="auto"/>
        <w:tabs>
          <w:tab w:leader="none" w:pos="151" w:val="left"/>
        </w:tabs>
        <w:numPr>
          <w:ilvl w:val="0"/>
          <w:numId w:val="39"/>
        </w:numPr>
        <w:rPr>
          <w:rFonts w:ascii="Calibri" w:cs="Calibri" w:eastAsia="Calibri" w:hAnsi="Calibri"/>
          <w:sz w:val="17"/>
          <w:szCs w:val="17"/>
          <w:color w:val="002E6D"/>
        </w:rPr>
      </w:pPr>
      <w:r>
        <w:rPr>
          <w:rFonts w:ascii="Calibri" w:cs="Calibri" w:eastAsia="Calibri" w:hAnsi="Calibri"/>
          <w:sz w:val="17"/>
          <w:szCs w:val="17"/>
          <w:color w:val="auto"/>
        </w:rPr>
        <w:t>Publish Annual Report, Proxy Statement and Sustainability Report</w:t>
      </w:r>
    </w:p>
    <w:p>
      <w:pPr>
        <w:spacing w:after="0" w:line="75" w:lineRule="exact"/>
        <w:rPr>
          <w:rFonts w:ascii="Calibri" w:cs="Calibri" w:eastAsia="Calibri" w:hAnsi="Calibri"/>
          <w:sz w:val="17"/>
          <w:szCs w:val="17"/>
          <w:color w:val="002E6D"/>
        </w:rPr>
      </w:pPr>
    </w:p>
    <w:p>
      <w:pPr>
        <w:ind w:left="159" w:right="440" w:hanging="159"/>
        <w:spacing w:after="0" w:line="245" w:lineRule="auto"/>
        <w:tabs>
          <w:tab w:leader="none" w:pos="151" w:val="left"/>
        </w:tabs>
        <w:numPr>
          <w:ilvl w:val="0"/>
          <w:numId w:val="39"/>
        </w:numPr>
        <w:rPr>
          <w:rFonts w:ascii="Calibri" w:cs="Calibri" w:eastAsia="Calibri" w:hAnsi="Calibri"/>
          <w:sz w:val="17"/>
          <w:szCs w:val="17"/>
          <w:color w:val="auto"/>
        </w:rPr>
      </w:pPr>
      <w:r>
        <w:rPr>
          <w:rFonts w:ascii="Calibri" w:cs="Calibri" w:eastAsia="Calibri" w:hAnsi="Calibri"/>
          <w:sz w:val="17"/>
          <w:szCs w:val="17"/>
          <w:color w:val="auto"/>
        </w:rPr>
        <w:t>Issue TCFD, human rights and climate lobbying reports and publish EEO-1 data</w:t>
      </w:r>
    </w:p>
    <w:p>
      <w:pPr>
        <w:spacing w:after="0" w:line="75" w:lineRule="exact"/>
        <w:rPr>
          <w:rFonts w:ascii="Calibri" w:cs="Calibri" w:eastAsia="Calibri" w:hAnsi="Calibri"/>
          <w:sz w:val="17"/>
          <w:szCs w:val="17"/>
          <w:color w:val="auto"/>
        </w:rPr>
      </w:pPr>
    </w:p>
    <w:p>
      <w:pPr>
        <w:ind w:left="159" w:hanging="159"/>
        <w:spacing w:after="0" w:line="247" w:lineRule="auto"/>
        <w:tabs>
          <w:tab w:leader="none" w:pos="151" w:val="left"/>
        </w:tabs>
        <w:numPr>
          <w:ilvl w:val="0"/>
          <w:numId w:val="39"/>
        </w:numPr>
        <w:rPr>
          <w:rFonts w:ascii="Calibri" w:cs="Calibri" w:eastAsia="Calibri" w:hAnsi="Calibri"/>
          <w:sz w:val="17"/>
          <w:szCs w:val="17"/>
          <w:color w:val="002E6D"/>
        </w:rPr>
      </w:pPr>
      <w:r>
        <w:rPr>
          <w:rFonts w:ascii="Calibri" w:cs="Calibri" w:eastAsia="Calibri" w:hAnsi="Calibri"/>
          <w:sz w:val="17"/>
          <w:szCs w:val="17"/>
          <w:color w:val="auto"/>
        </w:rPr>
        <w:t>Specifc engagements with stockholders about the votng maters to be addressed at the annual meetng</w:t>
      </w:r>
    </w:p>
    <w:p>
      <w:pPr>
        <w:spacing w:after="0" w:line="74" w:lineRule="exact"/>
        <w:rPr>
          <w:rFonts w:ascii="Calibri" w:cs="Calibri" w:eastAsia="Calibri" w:hAnsi="Calibri"/>
          <w:sz w:val="17"/>
          <w:szCs w:val="17"/>
          <w:color w:val="002E6D"/>
        </w:rPr>
      </w:pPr>
    </w:p>
    <w:p>
      <w:pPr>
        <w:ind w:left="159" w:right="440" w:hanging="159"/>
        <w:spacing w:after="0" w:line="245" w:lineRule="auto"/>
        <w:tabs>
          <w:tab w:leader="none" w:pos="151" w:val="left"/>
        </w:tabs>
        <w:numPr>
          <w:ilvl w:val="0"/>
          <w:numId w:val="39"/>
        </w:numPr>
        <w:rPr>
          <w:rFonts w:ascii="Calibri" w:cs="Calibri" w:eastAsia="Calibri" w:hAnsi="Calibri"/>
          <w:sz w:val="17"/>
          <w:szCs w:val="17"/>
          <w:color w:val="002E6D"/>
        </w:rPr>
      </w:pPr>
      <w:r>
        <w:rPr>
          <w:rFonts w:ascii="Calibri" w:cs="Calibri" w:eastAsia="Calibri" w:hAnsi="Calibri"/>
          <w:sz w:val="17"/>
          <w:szCs w:val="17"/>
          <w:color w:val="auto"/>
        </w:rPr>
        <w:t>Receive and publish votng results for management and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-1468755</wp:posOffset>
            </wp:positionV>
            <wp:extent cx="4783455" cy="42176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83455" cy="4217670"/>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-1468755</wp:posOffset>
            </wp:positionV>
            <wp:extent cx="4783455" cy="42176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83455"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9" w:right="460" w:hanging="159"/>
        <w:spacing w:after="0" w:line="245" w:lineRule="auto"/>
        <w:tabs>
          <w:tab w:leader="none" w:pos="151" w:val="left"/>
        </w:tabs>
        <w:numPr>
          <w:ilvl w:val="0"/>
          <w:numId w:val="40"/>
        </w:numPr>
        <w:rPr>
          <w:rFonts w:ascii="Calibri" w:cs="Calibri" w:eastAsia="Calibri" w:hAnsi="Calibri"/>
          <w:sz w:val="17"/>
          <w:szCs w:val="17"/>
          <w:color w:val="002E6D"/>
        </w:rPr>
      </w:pPr>
      <w:r>
        <w:rPr>
          <w:rFonts w:ascii="Calibri" w:cs="Calibri" w:eastAsia="Calibri" w:hAnsi="Calibri"/>
          <w:sz w:val="17"/>
          <w:szCs w:val="17"/>
          <w:color w:val="auto"/>
        </w:rPr>
        <w:t>Discuss and evaluate votng results from annual meetng of stockholders</w:t>
      </w:r>
    </w:p>
    <w:p>
      <w:pPr>
        <w:spacing w:after="0" w:line="75" w:lineRule="exact"/>
        <w:rPr>
          <w:rFonts w:ascii="Calibri" w:cs="Calibri" w:eastAsia="Calibri" w:hAnsi="Calibri"/>
          <w:sz w:val="17"/>
          <w:szCs w:val="17"/>
          <w:color w:val="002E6D"/>
        </w:rPr>
      </w:pPr>
    </w:p>
    <w:p>
      <w:pPr>
        <w:ind w:left="159" w:right="540" w:hanging="159"/>
        <w:spacing w:after="0" w:line="255" w:lineRule="auto"/>
        <w:tabs>
          <w:tab w:leader="none" w:pos="151" w:val="left"/>
        </w:tabs>
        <w:numPr>
          <w:ilvl w:val="0"/>
          <w:numId w:val="40"/>
        </w:numPr>
        <w:rPr>
          <w:rFonts w:ascii="Calibri" w:cs="Calibri" w:eastAsia="Calibri" w:hAnsi="Calibri"/>
          <w:sz w:val="17"/>
          <w:szCs w:val="17"/>
          <w:color w:val="002E6D"/>
        </w:rPr>
      </w:pPr>
      <w:r>
        <w:rPr>
          <w:rFonts w:ascii="Calibri" w:cs="Calibri" w:eastAsia="Calibri" w:hAnsi="Calibri"/>
          <w:sz w:val="17"/>
          <w:szCs w:val="17"/>
          <w:color w:val="auto"/>
        </w:rPr>
        <w:t>Stockholder input informs our Board’s consideraton of governance and other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831850</wp:posOffset>
            </wp:positionV>
            <wp:extent cx="2322830" cy="685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2283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
        <w:spacing w:after="0"/>
        <w:rPr>
          <w:sz w:val="20"/>
          <w:szCs w:val="20"/>
          <w:color w:val="auto"/>
        </w:rPr>
      </w:pPr>
      <w:r>
        <w:rPr>
          <w:rFonts w:ascii="Arial" w:cs="Arial" w:eastAsia="Arial" w:hAnsi="Arial"/>
          <w:sz w:val="16"/>
          <w:szCs w:val="16"/>
          <w:color w:val="003478"/>
        </w:rPr>
        <w:t>Topic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-227330</wp:posOffset>
            </wp:positionV>
            <wp:extent cx="2194560" cy="42945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94560" cy="4294505"/>
                    </a:xfrm>
                    <a:prstGeom prst="rect">
                      <a:avLst/>
                    </a:prstGeom>
                    <a:noFill/>
                  </pic:spPr>
                </pic:pic>
              </a:graphicData>
            </a:graphic>
          </wp:anchor>
        </w:drawing>
      </w:r>
    </w:p>
    <w:p>
      <w:pPr>
        <w:spacing w:after="0" w:line="104" w:lineRule="exact"/>
        <w:rPr>
          <w:sz w:val="20"/>
          <w:szCs w:val="20"/>
          <w:color w:val="auto"/>
        </w:rPr>
      </w:pPr>
    </w:p>
    <w:p>
      <w:pPr>
        <w:ind w:left="164" w:hanging="164"/>
        <w:spacing w:after="0"/>
        <w:tabs>
          <w:tab w:leader="none" w:pos="164" w:val="left"/>
        </w:tabs>
        <w:numPr>
          <w:ilvl w:val="0"/>
          <w:numId w:val="41"/>
        </w:numPr>
        <w:rPr>
          <w:rFonts w:ascii="Calibri" w:cs="Calibri" w:eastAsia="Calibri" w:hAnsi="Calibri"/>
          <w:sz w:val="17"/>
          <w:szCs w:val="17"/>
          <w:color w:val="auto"/>
        </w:rPr>
      </w:pPr>
      <w:r>
        <w:rPr>
          <w:rFonts w:ascii="Calibri" w:cs="Calibri" w:eastAsia="Calibri" w:hAnsi="Calibri"/>
          <w:sz w:val="17"/>
          <w:szCs w:val="17"/>
          <w:color w:val="auto"/>
        </w:rPr>
        <w:t>Climate / environmental stewardship</w:t>
      </w:r>
    </w:p>
    <w:p>
      <w:pPr>
        <w:spacing w:after="0" w:line="75" w:lineRule="exact"/>
        <w:rPr>
          <w:rFonts w:ascii="Calibri" w:cs="Calibri" w:eastAsia="Calibri" w:hAnsi="Calibri"/>
          <w:sz w:val="17"/>
          <w:szCs w:val="17"/>
          <w:color w:val="auto"/>
        </w:rPr>
      </w:pPr>
    </w:p>
    <w:p>
      <w:pPr>
        <w:ind w:left="164" w:hanging="164"/>
        <w:spacing w:after="0"/>
        <w:tabs>
          <w:tab w:leader="none" w:pos="164" w:val="left"/>
        </w:tabs>
        <w:numPr>
          <w:ilvl w:val="0"/>
          <w:numId w:val="41"/>
        </w:numPr>
        <w:rPr>
          <w:rFonts w:ascii="Calibri" w:cs="Calibri" w:eastAsia="Calibri" w:hAnsi="Calibri"/>
          <w:sz w:val="17"/>
          <w:szCs w:val="17"/>
          <w:color w:val="auto"/>
        </w:rPr>
      </w:pPr>
      <w:r>
        <w:rPr>
          <w:rFonts w:ascii="Calibri" w:cs="Calibri" w:eastAsia="Calibri" w:hAnsi="Calibri"/>
          <w:sz w:val="17"/>
          <w:szCs w:val="17"/>
          <w:color w:val="auto"/>
        </w:rPr>
        <w:t>Board diversity and refreshment</w:t>
      </w:r>
    </w:p>
    <w:p>
      <w:pPr>
        <w:spacing w:after="0" w:line="62" w:lineRule="exact"/>
        <w:rPr>
          <w:rFonts w:ascii="Calibri" w:cs="Calibri" w:eastAsia="Calibri" w:hAnsi="Calibri"/>
          <w:sz w:val="17"/>
          <w:szCs w:val="17"/>
          <w:color w:val="auto"/>
        </w:rPr>
      </w:pPr>
    </w:p>
    <w:p>
      <w:pPr>
        <w:ind w:left="164" w:hanging="164"/>
        <w:spacing w:after="0"/>
        <w:tabs>
          <w:tab w:leader="none" w:pos="164" w:val="left"/>
        </w:tabs>
        <w:numPr>
          <w:ilvl w:val="0"/>
          <w:numId w:val="41"/>
        </w:numPr>
        <w:rPr>
          <w:rFonts w:ascii="Calibri" w:cs="Calibri" w:eastAsia="Calibri" w:hAnsi="Calibri"/>
          <w:sz w:val="17"/>
          <w:szCs w:val="17"/>
          <w:color w:val="auto"/>
        </w:rPr>
      </w:pPr>
      <w:r>
        <w:rPr>
          <w:rFonts w:ascii="Calibri" w:cs="Calibri" w:eastAsia="Calibri" w:hAnsi="Calibri"/>
          <w:sz w:val="17"/>
          <w:szCs w:val="17"/>
          <w:color w:val="auto"/>
        </w:rPr>
        <w:t>Workforce diversity and inclusion</w:t>
      </w:r>
    </w:p>
    <w:p>
      <w:pPr>
        <w:spacing w:after="0" w:line="75" w:lineRule="exact"/>
        <w:rPr>
          <w:rFonts w:ascii="Calibri" w:cs="Calibri" w:eastAsia="Calibri" w:hAnsi="Calibri"/>
          <w:sz w:val="17"/>
          <w:szCs w:val="17"/>
          <w:color w:val="auto"/>
        </w:rPr>
      </w:pPr>
    </w:p>
    <w:p>
      <w:pPr>
        <w:ind w:left="164" w:hanging="164"/>
        <w:spacing w:after="0"/>
        <w:tabs>
          <w:tab w:leader="none" w:pos="164" w:val="left"/>
        </w:tabs>
        <w:numPr>
          <w:ilvl w:val="0"/>
          <w:numId w:val="41"/>
        </w:numPr>
        <w:rPr>
          <w:rFonts w:ascii="Calibri" w:cs="Calibri" w:eastAsia="Calibri" w:hAnsi="Calibri"/>
          <w:sz w:val="17"/>
          <w:szCs w:val="17"/>
          <w:color w:val="auto"/>
        </w:rPr>
      </w:pPr>
      <w:r>
        <w:rPr>
          <w:rFonts w:ascii="Calibri" w:cs="Calibri" w:eastAsia="Calibri" w:hAnsi="Calibri"/>
          <w:sz w:val="17"/>
          <w:szCs w:val="17"/>
          <w:color w:val="auto"/>
        </w:rPr>
        <w:t>Human rights risks</w:t>
      </w:r>
    </w:p>
    <w:p>
      <w:pPr>
        <w:spacing w:after="0" w:line="62" w:lineRule="exact"/>
        <w:rPr>
          <w:rFonts w:ascii="Calibri" w:cs="Calibri" w:eastAsia="Calibri" w:hAnsi="Calibri"/>
          <w:sz w:val="17"/>
          <w:szCs w:val="17"/>
          <w:color w:val="auto"/>
        </w:rPr>
      </w:pPr>
    </w:p>
    <w:p>
      <w:pPr>
        <w:ind w:left="164" w:hanging="164"/>
        <w:spacing w:after="0"/>
        <w:tabs>
          <w:tab w:leader="none" w:pos="164" w:val="left"/>
        </w:tabs>
        <w:numPr>
          <w:ilvl w:val="0"/>
          <w:numId w:val="41"/>
        </w:numPr>
        <w:rPr>
          <w:rFonts w:ascii="Calibri" w:cs="Calibri" w:eastAsia="Calibri" w:hAnsi="Calibri"/>
          <w:sz w:val="17"/>
          <w:szCs w:val="17"/>
          <w:color w:val="auto"/>
        </w:rPr>
      </w:pPr>
      <w:r>
        <w:rPr>
          <w:rFonts w:ascii="Calibri" w:cs="Calibri" w:eastAsia="Calibri" w:hAnsi="Calibri"/>
          <w:sz w:val="17"/>
          <w:szCs w:val="17"/>
          <w:color w:val="auto"/>
        </w:rPr>
        <w:t>Executve compensaton</w:t>
      </w:r>
    </w:p>
    <w:p>
      <w:pPr>
        <w:spacing w:after="0" w:line="75" w:lineRule="exact"/>
        <w:rPr>
          <w:rFonts w:ascii="Calibri" w:cs="Calibri" w:eastAsia="Calibri" w:hAnsi="Calibri"/>
          <w:sz w:val="17"/>
          <w:szCs w:val="17"/>
          <w:color w:val="auto"/>
        </w:rPr>
      </w:pPr>
    </w:p>
    <w:p>
      <w:pPr>
        <w:ind w:left="164" w:hanging="164"/>
        <w:spacing w:after="0"/>
        <w:tabs>
          <w:tab w:leader="none" w:pos="164" w:val="left"/>
        </w:tabs>
        <w:numPr>
          <w:ilvl w:val="0"/>
          <w:numId w:val="41"/>
        </w:numPr>
        <w:rPr>
          <w:rFonts w:ascii="Calibri" w:cs="Calibri" w:eastAsia="Calibri" w:hAnsi="Calibri"/>
          <w:sz w:val="17"/>
          <w:szCs w:val="17"/>
          <w:color w:val="auto"/>
        </w:rPr>
      </w:pPr>
      <w:r>
        <w:rPr>
          <w:rFonts w:ascii="Calibri" w:cs="Calibri" w:eastAsia="Calibri" w:hAnsi="Calibri"/>
          <w:sz w:val="17"/>
          <w:szCs w:val="17"/>
          <w:color w:val="auto"/>
        </w:rPr>
        <w:t>Lobbying and politcal spending</w:t>
      </w:r>
    </w:p>
    <w:p>
      <w:pPr>
        <w:spacing w:after="0" w:line="62" w:lineRule="exact"/>
        <w:rPr>
          <w:rFonts w:ascii="Calibri" w:cs="Calibri" w:eastAsia="Calibri" w:hAnsi="Calibri"/>
          <w:sz w:val="17"/>
          <w:szCs w:val="17"/>
          <w:color w:val="auto"/>
        </w:rPr>
      </w:pPr>
    </w:p>
    <w:p>
      <w:pPr>
        <w:ind w:left="164" w:hanging="164"/>
        <w:spacing w:after="0"/>
        <w:tabs>
          <w:tab w:leader="none" w:pos="164" w:val="left"/>
        </w:tabs>
        <w:numPr>
          <w:ilvl w:val="0"/>
          <w:numId w:val="41"/>
        </w:numPr>
        <w:rPr>
          <w:rFonts w:ascii="Calibri" w:cs="Calibri" w:eastAsia="Calibri" w:hAnsi="Calibri"/>
          <w:sz w:val="17"/>
          <w:szCs w:val="17"/>
          <w:color w:val="auto"/>
        </w:rPr>
      </w:pPr>
      <w:r>
        <w:rPr>
          <w:rFonts w:ascii="Calibri" w:cs="Calibri" w:eastAsia="Calibri" w:hAnsi="Calibri"/>
          <w:sz w:val="17"/>
          <w:szCs w:val="17"/>
          <w:color w:val="auto"/>
        </w:rPr>
        <w:t>Stockholder proposals</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6"/>
          <w:szCs w:val="16"/>
          <w:color w:val="003478"/>
        </w:rPr>
        <w:t>Key Participants</w:t>
      </w:r>
    </w:p>
    <w:p>
      <w:pPr>
        <w:spacing w:after="0" w:line="124" w:lineRule="exact"/>
        <w:rPr>
          <w:sz w:val="20"/>
          <w:szCs w:val="20"/>
          <w:color w:val="auto"/>
        </w:rPr>
      </w:pPr>
    </w:p>
    <w:p>
      <w:pPr>
        <w:ind w:left="164" w:hanging="164"/>
        <w:spacing w:after="0"/>
        <w:tabs>
          <w:tab w:leader="none" w:pos="164" w:val="left"/>
        </w:tabs>
        <w:numPr>
          <w:ilvl w:val="0"/>
          <w:numId w:val="42"/>
        </w:numPr>
        <w:rPr>
          <w:rFonts w:ascii="Calibri" w:cs="Calibri" w:eastAsia="Calibri" w:hAnsi="Calibri"/>
          <w:sz w:val="17"/>
          <w:szCs w:val="17"/>
          <w:color w:val="0A1A5C"/>
        </w:rPr>
      </w:pPr>
      <w:r>
        <w:rPr>
          <w:rFonts w:ascii="Calibri" w:cs="Calibri" w:eastAsia="Calibri" w:hAnsi="Calibri"/>
          <w:sz w:val="17"/>
          <w:szCs w:val="17"/>
          <w:color w:val="auto"/>
        </w:rPr>
        <w:t>Executve Leadership</w:t>
      </w:r>
    </w:p>
    <w:p>
      <w:pPr>
        <w:spacing w:after="0" w:line="75" w:lineRule="exact"/>
        <w:rPr>
          <w:rFonts w:ascii="Calibri" w:cs="Calibri" w:eastAsia="Calibri" w:hAnsi="Calibri"/>
          <w:sz w:val="17"/>
          <w:szCs w:val="17"/>
          <w:color w:val="0A1A5C"/>
        </w:rPr>
      </w:pPr>
    </w:p>
    <w:p>
      <w:pPr>
        <w:ind w:left="164" w:hanging="164"/>
        <w:spacing w:after="0"/>
        <w:tabs>
          <w:tab w:leader="none" w:pos="164" w:val="left"/>
        </w:tabs>
        <w:numPr>
          <w:ilvl w:val="0"/>
          <w:numId w:val="42"/>
        </w:numPr>
        <w:rPr>
          <w:rFonts w:ascii="Calibri" w:cs="Calibri" w:eastAsia="Calibri" w:hAnsi="Calibri"/>
          <w:sz w:val="17"/>
          <w:szCs w:val="17"/>
          <w:color w:val="0A1A5C"/>
        </w:rPr>
      </w:pPr>
      <w:r>
        <w:rPr>
          <w:rFonts w:ascii="Calibri" w:cs="Calibri" w:eastAsia="Calibri" w:hAnsi="Calibri"/>
          <w:sz w:val="17"/>
          <w:szCs w:val="17"/>
          <w:color w:val="auto"/>
        </w:rPr>
        <w:t>Senior Management</w:t>
      </w:r>
    </w:p>
    <w:p>
      <w:pPr>
        <w:spacing w:after="0" w:line="65" w:lineRule="exact"/>
        <w:rPr>
          <w:rFonts w:ascii="Calibri" w:cs="Calibri" w:eastAsia="Calibri" w:hAnsi="Calibri"/>
          <w:sz w:val="17"/>
          <w:szCs w:val="17"/>
          <w:color w:val="0A1A5C"/>
        </w:rPr>
      </w:pPr>
    </w:p>
    <w:p>
      <w:pPr>
        <w:ind w:left="164" w:right="540" w:hanging="164"/>
        <w:spacing w:after="0" w:line="245" w:lineRule="auto"/>
        <w:tabs>
          <w:tab w:leader="none" w:pos="157" w:val="left"/>
        </w:tabs>
        <w:numPr>
          <w:ilvl w:val="0"/>
          <w:numId w:val="42"/>
        </w:numPr>
        <w:rPr>
          <w:rFonts w:ascii="Calibri" w:cs="Calibri" w:eastAsia="Calibri" w:hAnsi="Calibri"/>
          <w:sz w:val="17"/>
          <w:szCs w:val="17"/>
          <w:color w:val="002E6D"/>
        </w:rPr>
      </w:pPr>
      <w:r>
        <w:rPr>
          <w:rFonts w:ascii="Calibri" w:cs="Calibri" w:eastAsia="Calibri" w:hAnsi="Calibri"/>
          <w:sz w:val="17"/>
          <w:szCs w:val="17"/>
          <w:color w:val="auto"/>
        </w:rPr>
        <w:t>Subject Mater Experts (sustainability, executve compensaton, diversity</w:t>
      </w:r>
    </w:p>
    <w:p>
      <w:pPr>
        <w:spacing w:after="0" w:line="18" w:lineRule="exact"/>
        <w:rPr>
          <w:rFonts w:ascii="Calibri" w:cs="Calibri" w:eastAsia="Calibri" w:hAnsi="Calibri"/>
          <w:sz w:val="17"/>
          <w:szCs w:val="17"/>
          <w:color w:val="002E6D"/>
        </w:rPr>
      </w:pPr>
    </w:p>
    <w:p>
      <w:pPr>
        <w:ind w:left="164"/>
        <w:spacing w:after="0"/>
        <w:rPr>
          <w:rFonts w:ascii="Calibri" w:cs="Calibri" w:eastAsia="Calibri" w:hAnsi="Calibri"/>
          <w:sz w:val="17"/>
          <w:szCs w:val="17"/>
          <w:color w:val="002E6D"/>
        </w:rPr>
      </w:pPr>
      <w:r>
        <w:rPr>
          <w:rFonts w:ascii="Calibri" w:cs="Calibri" w:eastAsia="Calibri" w:hAnsi="Calibri"/>
          <w:sz w:val="17"/>
          <w:szCs w:val="17"/>
          <w:color w:val="auto"/>
        </w:rPr>
        <w:t>&amp; inclusion)</w:t>
      </w:r>
    </w:p>
    <w:p>
      <w:pPr>
        <w:spacing w:after="0" w:line="62" w:lineRule="exact"/>
        <w:rPr>
          <w:rFonts w:ascii="Calibri" w:cs="Calibri" w:eastAsia="Calibri" w:hAnsi="Calibri"/>
          <w:sz w:val="17"/>
          <w:szCs w:val="17"/>
          <w:color w:val="002E6D"/>
        </w:rPr>
      </w:pPr>
    </w:p>
    <w:p>
      <w:pPr>
        <w:ind w:left="164" w:hanging="164"/>
        <w:spacing w:after="0"/>
        <w:tabs>
          <w:tab w:leader="none" w:pos="164" w:val="left"/>
        </w:tabs>
        <w:numPr>
          <w:ilvl w:val="0"/>
          <w:numId w:val="42"/>
        </w:numPr>
        <w:rPr>
          <w:rFonts w:ascii="Calibri" w:cs="Calibri" w:eastAsia="Calibri" w:hAnsi="Calibri"/>
          <w:sz w:val="17"/>
          <w:szCs w:val="17"/>
          <w:color w:val="auto"/>
        </w:rPr>
      </w:pPr>
      <w:r>
        <w:rPr>
          <w:rFonts w:ascii="Calibri" w:cs="Calibri" w:eastAsia="Calibri" w:hAnsi="Calibri"/>
          <w:sz w:val="17"/>
          <w:szCs w:val="17"/>
          <w:color w:val="auto"/>
        </w:rPr>
        <w:t>Independent Directors (as needed)</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6"/>
          <w:szCs w:val="16"/>
          <w:color w:val="003478"/>
        </w:rPr>
        <w:t>Methods of Engagement</w:t>
      </w:r>
    </w:p>
    <w:p>
      <w:pPr>
        <w:spacing w:after="0" w:line="110" w:lineRule="exact"/>
        <w:rPr>
          <w:sz w:val="20"/>
          <w:szCs w:val="20"/>
          <w:color w:val="auto"/>
        </w:rPr>
      </w:pPr>
    </w:p>
    <w:p>
      <w:pPr>
        <w:ind w:left="164" w:hanging="164"/>
        <w:spacing w:after="0"/>
        <w:tabs>
          <w:tab w:leader="none" w:pos="164" w:val="left"/>
        </w:tabs>
        <w:numPr>
          <w:ilvl w:val="0"/>
          <w:numId w:val="43"/>
        </w:numPr>
        <w:rPr>
          <w:rFonts w:ascii="Calibri" w:cs="Calibri" w:eastAsia="Calibri" w:hAnsi="Calibri"/>
          <w:sz w:val="17"/>
          <w:szCs w:val="17"/>
          <w:color w:val="002E6D"/>
        </w:rPr>
      </w:pPr>
      <w:r>
        <w:rPr>
          <w:rFonts w:ascii="Calibri" w:cs="Calibri" w:eastAsia="Calibri" w:hAnsi="Calibri"/>
          <w:sz w:val="17"/>
          <w:szCs w:val="17"/>
          <w:color w:val="auto"/>
        </w:rPr>
        <w:t>Telephone/video conferences</w:t>
      </w:r>
    </w:p>
    <w:p>
      <w:pPr>
        <w:spacing w:after="0" w:line="75" w:lineRule="exact"/>
        <w:rPr>
          <w:rFonts w:ascii="Calibri" w:cs="Calibri" w:eastAsia="Calibri" w:hAnsi="Calibri"/>
          <w:sz w:val="17"/>
          <w:szCs w:val="17"/>
          <w:color w:val="002E6D"/>
        </w:rPr>
      </w:pPr>
    </w:p>
    <w:p>
      <w:pPr>
        <w:ind w:left="164" w:hanging="164"/>
        <w:spacing w:after="0"/>
        <w:tabs>
          <w:tab w:leader="none" w:pos="164" w:val="left"/>
        </w:tabs>
        <w:numPr>
          <w:ilvl w:val="0"/>
          <w:numId w:val="43"/>
        </w:numPr>
        <w:rPr>
          <w:rFonts w:ascii="Calibri" w:cs="Calibri" w:eastAsia="Calibri" w:hAnsi="Calibri"/>
          <w:sz w:val="17"/>
          <w:szCs w:val="17"/>
          <w:color w:val="003478"/>
        </w:rPr>
      </w:pPr>
      <w:r>
        <w:rPr>
          <w:rFonts w:ascii="Calibri" w:cs="Calibri" w:eastAsia="Calibri" w:hAnsi="Calibri"/>
          <w:sz w:val="17"/>
          <w:szCs w:val="17"/>
          <w:color w:val="auto"/>
        </w:rPr>
        <w:t>Writen correspondence &amp; surveys</w:t>
      </w:r>
    </w:p>
    <w:p>
      <w:pPr>
        <w:spacing w:after="0" w:line="62" w:lineRule="exact"/>
        <w:rPr>
          <w:rFonts w:ascii="Calibri" w:cs="Calibri" w:eastAsia="Calibri" w:hAnsi="Calibri"/>
          <w:sz w:val="17"/>
          <w:szCs w:val="17"/>
          <w:color w:val="003478"/>
        </w:rPr>
      </w:pPr>
    </w:p>
    <w:p>
      <w:pPr>
        <w:ind w:left="164" w:hanging="164"/>
        <w:spacing w:after="0"/>
        <w:tabs>
          <w:tab w:leader="none" w:pos="164" w:val="left"/>
        </w:tabs>
        <w:numPr>
          <w:ilvl w:val="0"/>
          <w:numId w:val="43"/>
        </w:numPr>
        <w:rPr>
          <w:rFonts w:ascii="Calibri" w:cs="Calibri" w:eastAsia="Calibri" w:hAnsi="Calibri"/>
          <w:sz w:val="17"/>
          <w:szCs w:val="17"/>
          <w:color w:val="003478"/>
        </w:rPr>
      </w:pPr>
      <w:r>
        <w:rPr>
          <w:rFonts w:ascii="Calibri" w:cs="Calibri" w:eastAsia="Calibri" w:hAnsi="Calibri"/>
          <w:sz w:val="17"/>
          <w:szCs w:val="17"/>
          <w:color w:val="auto"/>
        </w:rPr>
        <w:t>Annual meetng of stockholders</w:t>
      </w:r>
    </w:p>
    <w:p>
      <w:pPr>
        <w:spacing w:after="0" w:line="62" w:lineRule="exact"/>
        <w:rPr>
          <w:rFonts w:ascii="Calibri" w:cs="Calibri" w:eastAsia="Calibri" w:hAnsi="Calibri"/>
          <w:sz w:val="17"/>
          <w:szCs w:val="17"/>
          <w:color w:val="003478"/>
        </w:rPr>
      </w:pPr>
    </w:p>
    <w:p>
      <w:pPr>
        <w:ind w:left="164" w:hanging="164"/>
        <w:spacing w:after="0"/>
        <w:tabs>
          <w:tab w:leader="none" w:pos="164" w:val="left"/>
        </w:tabs>
        <w:numPr>
          <w:ilvl w:val="0"/>
          <w:numId w:val="43"/>
        </w:numPr>
        <w:rPr>
          <w:rFonts w:ascii="Calibri" w:cs="Calibri" w:eastAsia="Calibri" w:hAnsi="Calibri"/>
          <w:sz w:val="17"/>
          <w:szCs w:val="17"/>
          <w:color w:val="003478"/>
        </w:rPr>
      </w:pPr>
      <w:r>
        <w:rPr>
          <w:rFonts w:ascii="Calibri" w:cs="Calibri" w:eastAsia="Calibri" w:hAnsi="Calibri"/>
          <w:sz w:val="17"/>
          <w:szCs w:val="17"/>
          <w:color w:val="auto"/>
        </w:rPr>
        <w:t>Investor meetngs and conferences</w:t>
      </w:r>
    </w:p>
    <w:p>
      <w:pPr>
        <w:spacing w:after="0" w:line="75" w:lineRule="exact"/>
        <w:rPr>
          <w:rFonts w:ascii="Calibri" w:cs="Calibri" w:eastAsia="Calibri" w:hAnsi="Calibri"/>
          <w:sz w:val="17"/>
          <w:szCs w:val="17"/>
          <w:color w:val="003478"/>
        </w:rPr>
      </w:pPr>
    </w:p>
    <w:p>
      <w:pPr>
        <w:ind w:left="164" w:hanging="164"/>
        <w:spacing w:after="0"/>
        <w:tabs>
          <w:tab w:leader="none" w:pos="164"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Periodic investor days</w:t>
      </w:r>
    </w:p>
    <w:p>
      <w:pPr>
        <w:spacing w:after="0" w:line="62" w:lineRule="exact"/>
        <w:rPr>
          <w:rFonts w:ascii="Calibri" w:cs="Calibri" w:eastAsia="Calibri" w:hAnsi="Calibri"/>
          <w:sz w:val="17"/>
          <w:szCs w:val="17"/>
          <w:color w:val="auto"/>
        </w:rPr>
      </w:pPr>
    </w:p>
    <w:p>
      <w:pPr>
        <w:ind w:left="164" w:hanging="164"/>
        <w:spacing w:after="0"/>
        <w:tabs>
          <w:tab w:leader="none" w:pos="164" w:val="left"/>
        </w:tabs>
        <w:numPr>
          <w:ilvl w:val="0"/>
          <w:numId w:val="43"/>
        </w:numPr>
        <w:rPr>
          <w:rFonts w:ascii="Calibri" w:cs="Calibri" w:eastAsia="Calibri" w:hAnsi="Calibri"/>
          <w:sz w:val="17"/>
          <w:szCs w:val="17"/>
          <w:color w:val="1F3B90"/>
        </w:rPr>
      </w:pPr>
      <w:r>
        <w:rPr>
          <w:rFonts w:ascii="Calibri" w:cs="Calibri" w:eastAsia="Calibri" w:hAnsi="Calibri"/>
          <w:sz w:val="17"/>
          <w:szCs w:val="17"/>
          <w:color w:val="auto"/>
        </w:rPr>
        <w:t>Quarterly earnings calls</w:t>
      </w:r>
    </w:p>
    <w:p>
      <w:pPr>
        <w:spacing w:after="0" w:line="200" w:lineRule="exact"/>
        <w:rPr>
          <w:sz w:val="20"/>
          <w:szCs w:val="20"/>
          <w:color w:val="auto"/>
        </w:rPr>
      </w:pPr>
    </w:p>
    <w:p>
      <w:pPr>
        <w:sectPr>
          <w:pgSz w:w="11900" w:h="16838" w:orient="portrait"/>
          <w:cols w:equalWidth="0" w:num="3">
            <w:col w:w="3540" w:space="441"/>
            <w:col w:w="3459" w:space="416"/>
            <w:col w:w="3384"/>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Board Policies and Processes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818EB4"/>
        </w:rPr>
        <w:t>Corporate Governance Guidelines</w:t>
      </w:r>
    </w:p>
    <w:p>
      <w:pPr>
        <w:spacing w:after="0" w:line="126" w:lineRule="exact"/>
        <w:rPr>
          <w:sz w:val="20"/>
          <w:szCs w:val="20"/>
          <w:color w:val="auto"/>
        </w:rPr>
      </w:pPr>
    </w:p>
    <w:p>
      <w:pPr>
        <w:ind w:right="600"/>
        <w:spacing w:after="0" w:line="245" w:lineRule="auto"/>
        <w:rPr>
          <w:sz w:val="20"/>
          <w:szCs w:val="20"/>
          <w:color w:val="auto"/>
        </w:rPr>
      </w:pPr>
      <w:r>
        <w:rPr>
          <w:rFonts w:ascii="Calibri" w:cs="Calibri" w:eastAsia="Calibri" w:hAnsi="Calibri"/>
          <w:sz w:val="17"/>
          <w:szCs w:val="17"/>
          <w:color w:val="auto"/>
        </w:rPr>
        <w:t xml:space="preserve">Our Governance Guidelines describe the framework within which the Board and its commitees oversee the governance of the Company. The current Governance Guidelines are available on the Company’s website at </w:t>
      </w:r>
      <w:r>
        <w:rPr>
          <w:rFonts w:ascii="Calibri" w:cs="Calibri" w:eastAsia="Calibri" w:hAnsi="Calibri"/>
          <w:sz w:val="17"/>
          <w:szCs w:val="17"/>
          <w:i w:val="1"/>
          <w:iCs w:val="1"/>
          <w:color w:val="auto"/>
        </w:rPr>
        <w:t>www.lockheedmartn.com/corporate-governance</w:t>
      </w:r>
      <w:r>
        <w:rPr>
          <w:rFonts w:ascii="Calibri" w:cs="Calibri" w:eastAsia="Calibri" w:hAnsi="Calibri"/>
          <w:sz w:val="17"/>
          <w:szCs w:val="17"/>
          <w:color w:val="auto"/>
        </w:rPr>
        <w:t>.</w:t>
      </w:r>
    </w:p>
    <w:p>
      <w:pPr>
        <w:spacing w:after="0" w:line="130" w:lineRule="exact"/>
        <w:rPr>
          <w:sz w:val="20"/>
          <w:szCs w:val="20"/>
          <w:color w:val="auto"/>
        </w:rPr>
      </w:pPr>
    </w:p>
    <w:p>
      <w:pPr>
        <w:ind w:right="520"/>
        <w:spacing w:after="0" w:line="245" w:lineRule="auto"/>
        <w:rPr>
          <w:sz w:val="20"/>
          <w:szCs w:val="20"/>
          <w:color w:val="auto"/>
        </w:rPr>
      </w:pPr>
      <w:r>
        <w:rPr>
          <w:rFonts w:ascii="Calibri" w:cs="Calibri" w:eastAsia="Calibri" w:hAnsi="Calibri"/>
          <w:sz w:val="17"/>
          <w:szCs w:val="17"/>
          <w:color w:val="auto"/>
        </w:rPr>
        <w:t>The Governance Commitee regularly assesses our governance practces, considering emerging external trends, practces and stockholder feedback, to implement best governance practces that it believes enhance the operaton and efectveness of the Board.</w:t>
      </w:r>
    </w:p>
    <w:p>
      <w:pPr>
        <w:spacing w:after="0" w:line="126" w:lineRule="exact"/>
        <w:rPr>
          <w:sz w:val="20"/>
          <w:szCs w:val="20"/>
          <w:color w:val="auto"/>
        </w:rPr>
      </w:pPr>
    </w:p>
    <w:p>
      <w:pPr>
        <w:spacing w:after="0"/>
        <w:rPr>
          <w:sz w:val="20"/>
          <w:szCs w:val="20"/>
          <w:color w:val="auto"/>
        </w:rPr>
      </w:pPr>
      <w:r>
        <w:rPr>
          <w:rFonts w:ascii="Calibri" w:cs="Calibri" w:eastAsia="Calibri" w:hAnsi="Calibri"/>
          <w:sz w:val="17"/>
          <w:szCs w:val="17"/>
          <w:color w:val="auto"/>
        </w:rPr>
        <w:t>Our Governance Guidelines cover a wide range of subjects,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2211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p>
      <w:pPr>
        <w:spacing w:after="0" w:line="278" w:lineRule="exact"/>
        <w:rPr>
          <w:sz w:val="20"/>
          <w:szCs w:val="20"/>
          <w:color w:val="auto"/>
        </w:rPr>
      </w:pPr>
    </w:p>
    <w:p>
      <w:pPr>
        <w:ind w:left="260" w:hanging="153"/>
        <w:spacing w:after="0"/>
        <w:tabs>
          <w:tab w:leader="none" w:pos="260" w:val="left"/>
        </w:tabs>
        <w:numPr>
          <w:ilvl w:val="0"/>
          <w:numId w:val="44"/>
        </w:numPr>
        <w:rPr>
          <w:rFonts w:ascii="Calibri" w:cs="Calibri" w:eastAsia="Calibri" w:hAnsi="Calibri"/>
          <w:sz w:val="17"/>
          <w:szCs w:val="17"/>
          <w:color w:val="003478"/>
        </w:rPr>
      </w:pPr>
      <w:r>
        <w:rPr>
          <w:rFonts w:ascii="Calibri" w:cs="Calibri" w:eastAsia="Calibri" w:hAnsi="Calibri"/>
          <w:sz w:val="17"/>
          <w:szCs w:val="17"/>
          <w:color w:val="auto"/>
        </w:rPr>
        <w:t>The role of the Board and director responsibilites;</w:t>
      </w:r>
    </w:p>
    <w:p>
      <w:pPr>
        <w:spacing w:after="0" w:line="75" w:lineRule="exact"/>
        <w:rPr>
          <w:rFonts w:ascii="Calibri" w:cs="Calibri" w:eastAsia="Calibri" w:hAnsi="Calibri"/>
          <w:sz w:val="17"/>
          <w:szCs w:val="17"/>
          <w:color w:val="003478"/>
        </w:rPr>
      </w:pPr>
    </w:p>
    <w:p>
      <w:pPr>
        <w:ind w:left="260" w:hanging="153"/>
        <w:spacing w:after="0"/>
        <w:tabs>
          <w:tab w:leader="none" w:pos="260" w:val="left"/>
        </w:tabs>
        <w:numPr>
          <w:ilvl w:val="0"/>
          <w:numId w:val="44"/>
        </w:numPr>
        <w:rPr>
          <w:rFonts w:ascii="Calibri" w:cs="Calibri" w:eastAsia="Calibri" w:hAnsi="Calibri"/>
          <w:sz w:val="17"/>
          <w:szCs w:val="17"/>
          <w:color w:val="003478"/>
        </w:rPr>
      </w:pPr>
      <w:r>
        <w:rPr>
          <w:rFonts w:ascii="Calibri" w:cs="Calibri" w:eastAsia="Calibri" w:hAnsi="Calibri"/>
          <w:sz w:val="17"/>
          <w:szCs w:val="17"/>
          <w:color w:val="auto"/>
        </w:rPr>
        <w:t>The role and responsibilites of the independent Lead Director;</w:t>
      </w:r>
    </w:p>
    <w:p>
      <w:pPr>
        <w:spacing w:after="0" w:line="65" w:lineRule="exact"/>
        <w:rPr>
          <w:rFonts w:ascii="Calibri" w:cs="Calibri" w:eastAsia="Calibri" w:hAnsi="Calibri"/>
          <w:sz w:val="17"/>
          <w:szCs w:val="17"/>
          <w:color w:val="003478"/>
        </w:rPr>
      </w:pPr>
    </w:p>
    <w:p>
      <w:pPr>
        <w:ind w:left="260" w:hanging="153"/>
        <w:spacing w:after="0" w:line="261" w:lineRule="auto"/>
        <w:tabs>
          <w:tab w:leader="none" w:pos="253" w:val="left"/>
        </w:tabs>
        <w:numPr>
          <w:ilvl w:val="0"/>
          <w:numId w:val="44"/>
        </w:numPr>
        <w:rPr>
          <w:rFonts w:ascii="Calibri" w:cs="Calibri" w:eastAsia="Calibri" w:hAnsi="Calibri"/>
          <w:sz w:val="17"/>
          <w:szCs w:val="17"/>
          <w:color w:val="003478"/>
        </w:rPr>
      </w:pPr>
      <w:r>
        <w:rPr>
          <w:rFonts w:ascii="Calibri" w:cs="Calibri" w:eastAsia="Calibri" w:hAnsi="Calibri"/>
          <w:sz w:val="17"/>
          <w:szCs w:val="17"/>
          <w:color w:val="auto"/>
        </w:rPr>
        <w:t>Applicaton of our Code of Ethics and Business Conduct (the Code of Conduct) to the Board;</w:t>
      </w:r>
    </w:p>
    <w:p>
      <w:pPr>
        <w:spacing w:after="0" w:line="44" w:lineRule="exact"/>
        <w:rPr>
          <w:rFonts w:ascii="Calibri" w:cs="Calibri" w:eastAsia="Calibri" w:hAnsi="Calibri"/>
          <w:sz w:val="17"/>
          <w:szCs w:val="17"/>
          <w:color w:val="003478"/>
        </w:rPr>
      </w:pPr>
    </w:p>
    <w:p>
      <w:pPr>
        <w:ind w:left="260" w:hanging="153"/>
        <w:spacing w:after="0"/>
        <w:tabs>
          <w:tab w:leader="none" w:pos="260" w:val="left"/>
        </w:tabs>
        <w:numPr>
          <w:ilvl w:val="0"/>
          <w:numId w:val="44"/>
        </w:numPr>
        <w:rPr>
          <w:rFonts w:ascii="Calibri" w:cs="Calibri" w:eastAsia="Calibri" w:hAnsi="Calibri"/>
          <w:sz w:val="17"/>
          <w:szCs w:val="17"/>
          <w:color w:val="003478"/>
        </w:rPr>
      </w:pPr>
      <w:r>
        <w:rPr>
          <w:rFonts w:ascii="Calibri" w:cs="Calibri" w:eastAsia="Calibri" w:hAnsi="Calibri"/>
          <w:sz w:val="17"/>
          <w:szCs w:val="17"/>
          <w:color w:val="auto"/>
        </w:rPr>
        <w:t>Director nominaton procedures and qualifcatons;</w:t>
      </w:r>
    </w:p>
    <w:p>
      <w:pPr>
        <w:spacing w:after="0" w:line="75" w:lineRule="exact"/>
        <w:rPr>
          <w:rFonts w:ascii="Calibri" w:cs="Calibri" w:eastAsia="Calibri" w:hAnsi="Calibri"/>
          <w:sz w:val="17"/>
          <w:szCs w:val="17"/>
          <w:color w:val="003478"/>
        </w:rPr>
      </w:pPr>
    </w:p>
    <w:p>
      <w:pPr>
        <w:ind w:left="260" w:hanging="153"/>
        <w:spacing w:after="0"/>
        <w:tabs>
          <w:tab w:leader="none" w:pos="260" w:val="left"/>
        </w:tabs>
        <w:numPr>
          <w:ilvl w:val="0"/>
          <w:numId w:val="44"/>
        </w:numPr>
        <w:rPr>
          <w:rFonts w:ascii="Calibri" w:cs="Calibri" w:eastAsia="Calibri" w:hAnsi="Calibri"/>
          <w:sz w:val="17"/>
          <w:szCs w:val="17"/>
          <w:color w:val="003478"/>
        </w:rPr>
      </w:pPr>
      <w:r>
        <w:rPr>
          <w:rFonts w:ascii="Calibri" w:cs="Calibri" w:eastAsia="Calibri" w:hAnsi="Calibri"/>
          <w:sz w:val="17"/>
          <w:szCs w:val="17"/>
          <w:color w:val="auto"/>
        </w:rPr>
        <w:t>Director independence standards;</w:t>
      </w:r>
    </w:p>
    <w:p>
      <w:pPr>
        <w:spacing w:after="0" w:line="62" w:lineRule="exact"/>
        <w:rPr>
          <w:rFonts w:ascii="Calibri" w:cs="Calibri" w:eastAsia="Calibri" w:hAnsi="Calibri"/>
          <w:sz w:val="17"/>
          <w:szCs w:val="17"/>
          <w:color w:val="003478"/>
        </w:rPr>
      </w:pPr>
    </w:p>
    <w:p>
      <w:pPr>
        <w:ind w:left="260" w:hanging="153"/>
        <w:spacing w:after="0"/>
        <w:tabs>
          <w:tab w:leader="none" w:pos="260" w:val="left"/>
        </w:tabs>
        <w:numPr>
          <w:ilvl w:val="0"/>
          <w:numId w:val="44"/>
        </w:numPr>
        <w:rPr>
          <w:rFonts w:ascii="Calibri" w:cs="Calibri" w:eastAsia="Calibri" w:hAnsi="Calibri"/>
          <w:sz w:val="17"/>
          <w:szCs w:val="17"/>
          <w:color w:val="003478"/>
        </w:rPr>
      </w:pPr>
      <w:r>
        <w:rPr>
          <w:rFonts w:ascii="Calibri" w:cs="Calibri" w:eastAsia="Calibri" w:hAnsi="Calibri"/>
          <w:sz w:val="17"/>
          <w:szCs w:val="17"/>
          <w:color w:val="auto"/>
        </w:rPr>
        <w:t>Director overboarding guidelines;</w:t>
      </w:r>
    </w:p>
    <w:p>
      <w:pPr>
        <w:spacing w:after="0" w:line="65" w:lineRule="exact"/>
        <w:rPr>
          <w:rFonts w:ascii="Calibri" w:cs="Calibri" w:eastAsia="Calibri" w:hAnsi="Calibri"/>
          <w:sz w:val="17"/>
          <w:szCs w:val="17"/>
          <w:color w:val="003478"/>
        </w:rPr>
      </w:pPr>
    </w:p>
    <w:p>
      <w:pPr>
        <w:ind w:left="260" w:right="200" w:hanging="153"/>
        <w:spacing w:after="0" w:line="261" w:lineRule="auto"/>
        <w:tabs>
          <w:tab w:leader="none" w:pos="253" w:val="left"/>
        </w:tabs>
        <w:numPr>
          <w:ilvl w:val="0"/>
          <w:numId w:val="44"/>
        </w:numPr>
        <w:rPr>
          <w:rFonts w:ascii="Calibri" w:cs="Calibri" w:eastAsia="Calibri" w:hAnsi="Calibri"/>
          <w:sz w:val="17"/>
          <w:szCs w:val="17"/>
          <w:color w:val="003478"/>
        </w:rPr>
      </w:pPr>
      <w:r>
        <w:rPr>
          <w:rFonts w:ascii="Calibri" w:cs="Calibri" w:eastAsia="Calibri" w:hAnsi="Calibri"/>
          <w:sz w:val="17"/>
          <w:szCs w:val="17"/>
          <w:color w:val="auto"/>
        </w:rPr>
        <w:t>Policies for the review, approval and ratfcaton of related person transactons;</w:t>
      </w:r>
    </w:p>
    <w:p>
      <w:pPr>
        <w:spacing w:after="0" w:line="44" w:lineRule="exact"/>
        <w:rPr>
          <w:rFonts w:ascii="Calibri" w:cs="Calibri" w:eastAsia="Calibri" w:hAnsi="Calibri"/>
          <w:sz w:val="17"/>
          <w:szCs w:val="17"/>
          <w:color w:val="003478"/>
        </w:rPr>
      </w:pPr>
    </w:p>
    <w:p>
      <w:pPr>
        <w:ind w:left="260" w:hanging="153"/>
        <w:spacing w:after="0"/>
        <w:tabs>
          <w:tab w:leader="none" w:pos="260" w:val="left"/>
        </w:tabs>
        <w:numPr>
          <w:ilvl w:val="0"/>
          <w:numId w:val="44"/>
        </w:numPr>
        <w:rPr>
          <w:rFonts w:ascii="Calibri" w:cs="Calibri" w:eastAsia="Calibri" w:hAnsi="Calibri"/>
          <w:sz w:val="17"/>
          <w:szCs w:val="17"/>
          <w:color w:val="003478"/>
        </w:rPr>
      </w:pPr>
      <w:r>
        <w:rPr>
          <w:rFonts w:ascii="Calibri" w:cs="Calibri" w:eastAsia="Calibri" w:hAnsi="Calibri"/>
          <w:sz w:val="17"/>
          <w:szCs w:val="17"/>
          <w:color w:val="auto"/>
        </w:rPr>
        <w:t>Director orientaton and contnuing educaton;</w:t>
      </w:r>
    </w:p>
    <w:p>
      <w:pPr>
        <w:spacing w:after="0" w:line="79" w:lineRule="exact"/>
        <w:rPr>
          <w:rFonts w:ascii="Calibri" w:cs="Calibri" w:eastAsia="Calibri" w:hAnsi="Calibri"/>
          <w:sz w:val="17"/>
          <w:szCs w:val="17"/>
          <w:color w:val="003478"/>
        </w:rPr>
      </w:pPr>
    </w:p>
    <w:p>
      <w:pPr>
        <w:ind w:left="260" w:right="640" w:hanging="153"/>
        <w:spacing w:after="0" w:line="245" w:lineRule="auto"/>
        <w:tabs>
          <w:tab w:leader="none" w:pos="253" w:val="left"/>
        </w:tabs>
        <w:numPr>
          <w:ilvl w:val="0"/>
          <w:numId w:val="44"/>
        </w:numPr>
        <w:rPr>
          <w:rFonts w:ascii="Calibri" w:cs="Calibri" w:eastAsia="Calibri" w:hAnsi="Calibri"/>
          <w:sz w:val="17"/>
          <w:szCs w:val="17"/>
          <w:color w:val="003478"/>
        </w:rPr>
      </w:pPr>
      <w:r>
        <w:rPr>
          <w:rFonts w:ascii="Calibri" w:cs="Calibri" w:eastAsia="Calibri" w:hAnsi="Calibri"/>
          <w:sz w:val="17"/>
          <w:szCs w:val="17"/>
          <w:color w:val="auto"/>
        </w:rPr>
        <w:t>Review by the Governance Commitee of any change in job responsibilites of directors;</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158" w:right="600" w:hanging="158"/>
        <w:spacing w:after="0" w:line="261" w:lineRule="auto"/>
        <w:tabs>
          <w:tab w:leader="none" w:pos="151" w:val="left"/>
        </w:tabs>
        <w:numPr>
          <w:ilvl w:val="0"/>
          <w:numId w:val="45"/>
        </w:numPr>
        <w:rPr>
          <w:rFonts w:ascii="Calibri" w:cs="Calibri" w:eastAsia="Calibri" w:hAnsi="Calibri"/>
          <w:sz w:val="17"/>
          <w:szCs w:val="17"/>
          <w:color w:val="003478"/>
        </w:rPr>
      </w:pPr>
      <w:r>
        <w:rPr>
          <w:rFonts w:ascii="Calibri" w:cs="Calibri" w:eastAsia="Calibri" w:hAnsi="Calibri"/>
          <w:sz w:val="17"/>
          <w:szCs w:val="17"/>
          <w:color w:val="auto"/>
        </w:rPr>
        <w:t>Procedures for annual performance evaluatons of the Board and its commitees;</w:t>
      </w:r>
    </w:p>
    <w:p>
      <w:pPr>
        <w:spacing w:after="0" w:line="44" w:lineRule="exact"/>
        <w:rPr>
          <w:rFonts w:ascii="Calibri" w:cs="Calibri" w:eastAsia="Calibri" w:hAnsi="Calibri"/>
          <w:sz w:val="17"/>
          <w:szCs w:val="17"/>
          <w:color w:val="003478"/>
        </w:rPr>
      </w:pPr>
    </w:p>
    <w:p>
      <w:pPr>
        <w:ind w:left="158" w:hanging="158"/>
        <w:spacing w:after="0"/>
        <w:tabs>
          <w:tab w:leader="none" w:pos="158" w:val="left"/>
        </w:tabs>
        <w:numPr>
          <w:ilvl w:val="0"/>
          <w:numId w:val="45"/>
        </w:numPr>
        <w:rPr>
          <w:rFonts w:ascii="Calibri" w:cs="Calibri" w:eastAsia="Calibri" w:hAnsi="Calibri"/>
          <w:sz w:val="17"/>
          <w:szCs w:val="17"/>
          <w:color w:val="003478"/>
        </w:rPr>
      </w:pPr>
      <w:r>
        <w:rPr>
          <w:rFonts w:ascii="Calibri" w:cs="Calibri" w:eastAsia="Calibri" w:hAnsi="Calibri"/>
          <w:sz w:val="17"/>
          <w:szCs w:val="17"/>
          <w:color w:val="auto"/>
        </w:rPr>
        <w:t>Director stock ownership guidelines;</w:t>
      </w:r>
    </w:p>
    <w:p>
      <w:pPr>
        <w:spacing w:after="0" w:line="75" w:lineRule="exact"/>
        <w:rPr>
          <w:rFonts w:ascii="Calibri" w:cs="Calibri" w:eastAsia="Calibri" w:hAnsi="Calibri"/>
          <w:sz w:val="17"/>
          <w:szCs w:val="17"/>
          <w:color w:val="003478"/>
        </w:rPr>
      </w:pPr>
    </w:p>
    <w:p>
      <w:pPr>
        <w:ind w:left="158" w:hanging="158"/>
        <w:spacing w:after="0"/>
        <w:tabs>
          <w:tab w:leader="none" w:pos="158" w:val="left"/>
        </w:tabs>
        <w:numPr>
          <w:ilvl w:val="0"/>
          <w:numId w:val="45"/>
        </w:numPr>
        <w:rPr>
          <w:rFonts w:ascii="Calibri" w:cs="Calibri" w:eastAsia="Calibri" w:hAnsi="Calibri"/>
          <w:sz w:val="17"/>
          <w:szCs w:val="17"/>
          <w:color w:val="003478"/>
        </w:rPr>
      </w:pPr>
      <w:r>
        <w:rPr>
          <w:rFonts w:ascii="Calibri" w:cs="Calibri" w:eastAsia="Calibri" w:hAnsi="Calibri"/>
          <w:sz w:val="17"/>
          <w:szCs w:val="17"/>
          <w:color w:val="auto"/>
        </w:rPr>
        <w:t>Clawback policy for executve incentve compensaton;</w:t>
      </w:r>
    </w:p>
    <w:p>
      <w:pPr>
        <w:spacing w:after="0" w:line="62" w:lineRule="exact"/>
        <w:rPr>
          <w:rFonts w:ascii="Calibri" w:cs="Calibri" w:eastAsia="Calibri" w:hAnsi="Calibri"/>
          <w:sz w:val="17"/>
          <w:szCs w:val="17"/>
          <w:color w:val="003478"/>
        </w:rPr>
      </w:pPr>
    </w:p>
    <w:p>
      <w:pPr>
        <w:ind w:left="158" w:hanging="158"/>
        <w:spacing w:after="0"/>
        <w:tabs>
          <w:tab w:leader="none" w:pos="158" w:val="left"/>
        </w:tabs>
        <w:numPr>
          <w:ilvl w:val="0"/>
          <w:numId w:val="45"/>
        </w:numPr>
        <w:rPr>
          <w:rFonts w:ascii="Calibri" w:cs="Calibri" w:eastAsia="Calibri" w:hAnsi="Calibri"/>
          <w:sz w:val="17"/>
          <w:szCs w:val="17"/>
          <w:color w:val="003478"/>
        </w:rPr>
      </w:pPr>
      <w:r>
        <w:rPr>
          <w:rFonts w:ascii="Calibri" w:cs="Calibri" w:eastAsia="Calibri" w:hAnsi="Calibri"/>
          <w:sz w:val="17"/>
          <w:szCs w:val="17"/>
          <w:color w:val="auto"/>
        </w:rPr>
        <w:t>Policy prohibitng hedging and pledging of Company stock;</w:t>
      </w:r>
    </w:p>
    <w:p>
      <w:pPr>
        <w:spacing w:after="0" w:line="79" w:lineRule="exact"/>
        <w:rPr>
          <w:rFonts w:ascii="Calibri" w:cs="Calibri" w:eastAsia="Calibri" w:hAnsi="Calibri"/>
          <w:sz w:val="17"/>
          <w:szCs w:val="17"/>
          <w:color w:val="003478"/>
        </w:rPr>
      </w:pPr>
    </w:p>
    <w:p>
      <w:pPr>
        <w:ind w:left="158" w:right="120" w:hanging="158"/>
        <w:spacing w:after="0" w:line="245" w:lineRule="auto"/>
        <w:tabs>
          <w:tab w:leader="none" w:pos="151" w:val="left"/>
        </w:tabs>
        <w:numPr>
          <w:ilvl w:val="0"/>
          <w:numId w:val="45"/>
        </w:numPr>
        <w:rPr>
          <w:rFonts w:ascii="Calibri" w:cs="Calibri" w:eastAsia="Calibri" w:hAnsi="Calibri"/>
          <w:sz w:val="17"/>
          <w:szCs w:val="17"/>
          <w:color w:val="003478"/>
        </w:rPr>
      </w:pPr>
      <w:r>
        <w:rPr>
          <w:rFonts w:ascii="Calibri" w:cs="Calibri" w:eastAsia="Calibri" w:hAnsi="Calibri"/>
          <w:sz w:val="17"/>
          <w:szCs w:val="17"/>
          <w:color w:val="auto"/>
        </w:rPr>
        <w:t>Majority votng for the electon of directors and resignaton procedures for directors who fail to receive a majority vote;</w:t>
      </w:r>
    </w:p>
    <w:p>
      <w:pPr>
        <w:spacing w:after="0" w:line="62" w:lineRule="exact"/>
        <w:rPr>
          <w:rFonts w:ascii="Calibri" w:cs="Calibri" w:eastAsia="Calibri" w:hAnsi="Calibri"/>
          <w:sz w:val="17"/>
          <w:szCs w:val="17"/>
          <w:color w:val="003478"/>
        </w:rPr>
      </w:pPr>
    </w:p>
    <w:p>
      <w:pPr>
        <w:ind w:left="158" w:right="280" w:hanging="158"/>
        <w:spacing w:after="0" w:line="261" w:lineRule="auto"/>
        <w:tabs>
          <w:tab w:leader="none" w:pos="151" w:val="left"/>
        </w:tabs>
        <w:numPr>
          <w:ilvl w:val="0"/>
          <w:numId w:val="45"/>
        </w:numPr>
        <w:rPr>
          <w:rFonts w:ascii="Calibri" w:cs="Calibri" w:eastAsia="Calibri" w:hAnsi="Calibri"/>
          <w:sz w:val="17"/>
          <w:szCs w:val="17"/>
          <w:color w:val="003478"/>
        </w:rPr>
      </w:pPr>
      <w:r>
        <w:rPr>
          <w:rFonts w:ascii="Calibri" w:cs="Calibri" w:eastAsia="Calibri" w:hAnsi="Calibri"/>
          <w:sz w:val="17"/>
          <w:szCs w:val="17"/>
          <w:color w:val="auto"/>
        </w:rPr>
        <w:t>Process for director compensaton review, specifcally use of compettve data and input from independent compensaton consultant; and</w:t>
      </w:r>
    </w:p>
    <w:p>
      <w:pPr>
        <w:spacing w:after="0" w:line="44" w:lineRule="exact"/>
        <w:rPr>
          <w:rFonts w:ascii="Calibri" w:cs="Calibri" w:eastAsia="Calibri" w:hAnsi="Calibri"/>
          <w:sz w:val="17"/>
          <w:szCs w:val="17"/>
          <w:color w:val="003478"/>
        </w:rPr>
      </w:pPr>
    </w:p>
    <w:p>
      <w:pPr>
        <w:ind w:left="158" w:hanging="158"/>
        <w:spacing w:after="0"/>
        <w:tabs>
          <w:tab w:leader="none" w:pos="158" w:val="left"/>
        </w:tabs>
        <w:numPr>
          <w:ilvl w:val="0"/>
          <w:numId w:val="45"/>
        </w:numPr>
        <w:rPr>
          <w:rFonts w:ascii="Calibri" w:cs="Calibri" w:eastAsia="Calibri" w:hAnsi="Calibri"/>
          <w:sz w:val="17"/>
          <w:szCs w:val="17"/>
          <w:color w:val="003478"/>
        </w:rPr>
      </w:pPr>
      <w:r>
        <w:rPr>
          <w:rFonts w:ascii="Calibri" w:cs="Calibri" w:eastAsia="Calibri" w:hAnsi="Calibri"/>
          <w:sz w:val="17"/>
          <w:szCs w:val="17"/>
          <w:color w:val="auto"/>
        </w:rPr>
        <w:t>Stockholder engagement program; including that our independent Lead</w:t>
      </w:r>
    </w:p>
    <w:p>
      <w:pPr>
        <w:spacing w:after="0" w:line="25" w:lineRule="exact"/>
        <w:rPr>
          <w:rFonts w:ascii="Calibri" w:cs="Calibri" w:eastAsia="Calibri" w:hAnsi="Calibri"/>
          <w:sz w:val="17"/>
          <w:szCs w:val="17"/>
          <w:color w:val="003478"/>
        </w:rPr>
      </w:pPr>
    </w:p>
    <w:p>
      <w:pPr>
        <w:ind w:left="158" w:right="400"/>
        <w:spacing w:after="0" w:line="255" w:lineRule="auto"/>
        <w:rPr>
          <w:rFonts w:ascii="Calibri" w:cs="Calibri" w:eastAsia="Calibri" w:hAnsi="Calibri"/>
          <w:sz w:val="17"/>
          <w:szCs w:val="17"/>
          <w:color w:val="003478"/>
        </w:rPr>
      </w:pPr>
      <w:r>
        <w:rPr>
          <w:rFonts w:ascii="Calibri" w:cs="Calibri" w:eastAsia="Calibri" w:hAnsi="Calibri"/>
          <w:sz w:val="17"/>
          <w:szCs w:val="17"/>
          <w:color w:val="auto"/>
        </w:rPr>
        <w:t>Director will consider requests to speak to investors and will engage or designate (in consultaton with the Corporate Secretary) a director to engage with the requestng investors, if appropriate.</w:t>
      </w:r>
    </w:p>
    <w:p>
      <w:pPr>
        <w:spacing w:after="0" w:line="200" w:lineRule="exact"/>
        <w:rPr>
          <w:sz w:val="20"/>
          <w:szCs w:val="20"/>
          <w:color w:val="auto"/>
        </w:rPr>
      </w:pPr>
    </w:p>
    <w:p>
      <w:pPr>
        <w:sectPr>
          <w:pgSz w:w="11900" w:h="16838" w:orient="portrait"/>
          <w:cols w:equalWidth="0" w:num="2">
            <w:col w:w="5100" w:space="542"/>
            <w:col w:w="5578"/>
          </w:cols>
          <w:pgMar w:left="320" w:top="230" w:right="35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818EB4"/>
        </w:rPr>
        <w:t>Oversight of Director Commitments</w:t>
      </w:r>
    </w:p>
    <w:p>
      <w:pPr>
        <w:spacing w:after="0" w:line="126" w:lineRule="exact"/>
        <w:rPr>
          <w:sz w:val="20"/>
          <w:szCs w:val="20"/>
          <w:color w:val="auto"/>
        </w:rPr>
      </w:pPr>
    </w:p>
    <w:p>
      <w:pPr>
        <w:ind w:right="220"/>
        <w:spacing w:after="0" w:line="256" w:lineRule="auto"/>
        <w:rPr>
          <w:sz w:val="20"/>
          <w:szCs w:val="20"/>
          <w:color w:val="auto"/>
        </w:rPr>
      </w:pPr>
      <w:r>
        <w:rPr>
          <w:rFonts w:ascii="Calibri" w:cs="Calibri" w:eastAsia="Calibri" w:hAnsi="Calibri"/>
          <w:sz w:val="17"/>
          <w:szCs w:val="17"/>
          <w:color w:val="auto"/>
        </w:rPr>
        <w:t>The Board recognizes that its members beneft from service on the boards of other companies and it encourages such service. The Board also believes, however, that it is critcal that directors are able to dedicate sufcient tme to their service on the Company’s Board. Directors must notfy the CEO, independent Lead Director and Senior Vice President, General Counsel and Corporate Secretary before acceptng an invitaton to serve on the board of any other public company. The Governance Commitee reviews and determines whether or not the positon would afect the director’s ability to serve on the Company’s Board. The Governance Guidelines provide that, without obtaining the approval of the Governance Commitee: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3580" w:type="dxa"/>
            <w:vAlign w:val="bottom"/>
            <w:shd w:val="clear" w:color="auto" w:fill="003478"/>
          </w:tcPr>
          <w:p>
            <w:pPr>
              <w:spacing w:after="0"/>
              <w:rPr>
                <w:sz w:val="9"/>
                <w:szCs w:val="9"/>
                <w:color w:val="auto"/>
              </w:rPr>
            </w:pPr>
          </w:p>
        </w:tc>
        <w:tc>
          <w:tcPr>
            <w:tcW w:w="220" w:type="dxa"/>
            <w:vAlign w:val="bottom"/>
          </w:tcPr>
          <w:p>
            <w:pPr>
              <w:spacing w:after="0"/>
              <w:rPr>
                <w:sz w:val="9"/>
                <w:szCs w:val="9"/>
                <w:color w:val="auto"/>
              </w:rPr>
            </w:pPr>
          </w:p>
        </w:tc>
        <w:tc>
          <w:tcPr>
            <w:tcW w:w="3600" w:type="dxa"/>
            <w:vAlign w:val="bottom"/>
            <w:shd w:val="clear" w:color="auto" w:fill="003478"/>
          </w:tcPr>
          <w:p>
            <w:pPr>
              <w:spacing w:after="0"/>
              <w:rPr>
                <w:sz w:val="9"/>
                <w:szCs w:val="9"/>
                <w:color w:val="auto"/>
              </w:rPr>
            </w:pPr>
          </w:p>
        </w:tc>
        <w:tc>
          <w:tcPr>
            <w:tcW w:w="220" w:type="dxa"/>
            <w:vAlign w:val="bottom"/>
          </w:tcPr>
          <w:p>
            <w:pPr>
              <w:spacing w:after="0"/>
              <w:rPr>
                <w:sz w:val="9"/>
                <w:szCs w:val="9"/>
                <w:color w:val="auto"/>
              </w:rPr>
            </w:pPr>
          </w:p>
        </w:tc>
        <w:tc>
          <w:tcPr>
            <w:tcW w:w="3600" w:type="dxa"/>
            <w:vAlign w:val="bottom"/>
            <w:shd w:val="clear" w:color="auto" w:fill="003478"/>
          </w:tcPr>
          <w:p>
            <w:pPr>
              <w:spacing w:after="0"/>
              <w:rPr>
                <w:sz w:val="9"/>
                <w:szCs w:val="9"/>
                <w:color w:val="auto"/>
              </w:rPr>
            </w:pPr>
          </w:p>
        </w:tc>
      </w:tr>
      <w:tr>
        <w:trPr>
          <w:trHeight w:val="284"/>
        </w:trPr>
        <w:tc>
          <w:tcPr>
            <w:tcW w:w="3580" w:type="dxa"/>
            <w:vAlign w:val="bottom"/>
            <w:shd w:val="clear" w:color="auto" w:fill="E4E6EF"/>
          </w:tcPr>
          <w:p>
            <w:pPr>
              <w:ind w:left="100"/>
              <w:spacing w:after="0"/>
              <w:rPr>
                <w:sz w:val="20"/>
                <w:szCs w:val="20"/>
                <w:color w:val="auto"/>
              </w:rPr>
            </w:pPr>
            <w:r>
              <w:rPr>
                <w:rFonts w:ascii="Arial" w:cs="Arial" w:eastAsia="Arial" w:hAnsi="Arial"/>
                <w:sz w:val="17"/>
                <w:szCs w:val="17"/>
                <w:color w:val="003478"/>
              </w:rPr>
              <w:t>DIRECTORS</w:t>
            </w:r>
          </w:p>
        </w:tc>
        <w:tc>
          <w:tcPr>
            <w:tcW w:w="220" w:type="dxa"/>
            <w:vAlign w:val="bottom"/>
          </w:tcPr>
          <w:p>
            <w:pPr>
              <w:spacing w:after="0"/>
              <w:rPr>
                <w:sz w:val="24"/>
                <w:szCs w:val="24"/>
                <w:color w:val="auto"/>
              </w:rPr>
            </w:pPr>
          </w:p>
        </w:tc>
        <w:tc>
          <w:tcPr>
            <w:tcW w:w="3600" w:type="dxa"/>
            <w:vAlign w:val="bottom"/>
            <w:shd w:val="clear" w:color="auto" w:fill="E4E6EF"/>
          </w:tcPr>
          <w:p>
            <w:pPr>
              <w:ind w:left="100"/>
              <w:spacing w:after="0"/>
              <w:rPr>
                <w:sz w:val="20"/>
                <w:szCs w:val="20"/>
                <w:color w:val="auto"/>
              </w:rPr>
            </w:pPr>
            <w:r>
              <w:rPr>
                <w:rFonts w:ascii="Arial" w:cs="Arial" w:eastAsia="Arial" w:hAnsi="Arial"/>
                <w:sz w:val="17"/>
                <w:szCs w:val="17"/>
                <w:color w:val="003478"/>
              </w:rPr>
              <w:t>PUBLIC COMPANY CEO</w:t>
            </w:r>
          </w:p>
        </w:tc>
        <w:tc>
          <w:tcPr>
            <w:tcW w:w="220" w:type="dxa"/>
            <w:vAlign w:val="bottom"/>
          </w:tcPr>
          <w:p>
            <w:pPr>
              <w:spacing w:after="0"/>
              <w:rPr>
                <w:sz w:val="24"/>
                <w:szCs w:val="24"/>
                <w:color w:val="auto"/>
              </w:rPr>
            </w:pPr>
          </w:p>
        </w:tc>
        <w:tc>
          <w:tcPr>
            <w:tcW w:w="3600" w:type="dxa"/>
            <w:vAlign w:val="bottom"/>
            <w:shd w:val="clear" w:color="auto" w:fill="E4E6EF"/>
          </w:tcPr>
          <w:p>
            <w:pPr>
              <w:ind w:left="100"/>
              <w:spacing w:after="0"/>
              <w:rPr>
                <w:sz w:val="20"/>
                <w:szCs w:val="20"/>
                <w:color w:val="auto"/>
              </w:rPr>
            </w:pPr>
            <w:r>
              <w:rPr>
                <w:rFonts w:ascii="Arial" w:cs="Arial" w:eastAsia="Arial" w:hAnsi="Arial"/>
                <w:sz w:val="17"/>
                <w:szCs w:val="17"/>
                <w:color w:val="003478"/>
              </w:rPr>
              <w:t>AUDIT COMMITTEE</w:t>
            </w:r>
          </w:p>
        </w:tc>
      </w:tr>
      <w:tr>
        <w:trPr>
          <w:trHeight w:val="229"/>
        </w:trPr>
        <w:tc>
          <w:tcPr>
            <w:tcW w:w="3580" w:type="dxa"/>
            <w:vAlign w:val="bottom"/>
            <w:shd w:val="clear" w:color="auto" w:fill="E4E6EF"/>
          </w:tcPr>
          <w:p>
            <w:pPr>
              <w:ind w:left="100"/>
              <w:spacing w:after="0"/>
              <w:rPr>
                <w:sz w:val="20"/>
                <w:szCs w:val="20"/>
                <w:color w:val="auto"/>
              </w:rPr>
            </w:pPr>
            <w:r>
              <w:rPr>
                <w:rFonts w:ascii="Calibri" w:cs="Calibri" w:eastAsia="Calibri" w:hAnsi="Calibri"/>
                <w:sz w:val="17"/>
                <w:szCs w:val="17"/>
                <w:color w:val="auto"/>
              </w:rPr>
              <w:t>A director may not serve on the boards of</w:t>
            </w:r>
          </w:p>
        </w:tc>
        <w:tc>
          <w:tcPr>
            <w:tcW w:w="220" w:type="dxa"/>
            <w:vAlign w:val="bottom"/>
          </w:tcPr>
          <w:p>
            <w:pPr>
              <w:spacing w:after="0"/>
              <w:rPr>
                <w:sz w:val="19"/>
                <w:szCs w:val="19"/>
                <w:color w:val="auto"/>
              </w:rPr>
            </w:pPr>
          </w:p>
        </w:tc>
        <w:tc>
          <w:tcPr>
            <w:tcW w:w="3600" w:type="dxa"/>
            <w:vAlign w:val="bottom"/>
            <w:shd w:val="clear" w:color="auto" w:fill="E4E6EF"/>
          </w:tcPr>
          <w:p>
            <w:pPr>
              <w:ind w:left="100"/>
              <w:spacing w:after="0"/>
              <w:rPr>
                <w:sz w:val="20"/>
                <w:szCs w:val="20"/>
                <w:color w:val="auto"/>
              </w:rPr>
            </w:pPr>
            <w:r>
              <w:rPr>
                <w:rFonts w:ascii="Calibri" w:cs="Calibri" w:eastAsia="Calibri" w:hAnsi="Calibri"/>
                <w:sz w:val="17"/>
                <w:szCs w:val="17"/>
                <w:color w:val="auto"/>
              </w:rPr>
              <w:t>Actve CEOs or equivalent may not serve on the</w:t>
            </w:r>
          </w:p>
        </w:tc>
        <w:tc>
          <w:tcPr>
            <w:tcW w:w="220" w:type="dxa"/>
            <w:vAlign w:val="bottom"/>
          </w:tcPr>
          <w:p>
            <w:pPr>
              <w:spacing w:after="0"/>
              <w:rPr>
                <w:sz w:val="19"/>
                <w:szCs w:val="19"/>
                <w:color w:val="auto"/>
              </w:rPr>
            </w:pPr>
          </w:p>
        </w:tc>
        <w:tc>
          <w:tcPr>
            <w:tcW w:w="3600" w:type="dxa"/>
            <w:vAlign w:val="bottom"/>
            <w:shd w:val="clear" w:color="auto" w:fill="E4E6EF"/>
          </w:tcPr>
          <w:p>
            <w:pPr>
              <w:ind w:left="100"/>
              <w:spacing w:after="0"/>
              <w:rPr>
                <w:sz w:val="20"/>
                <w:szCs w:val="20"/>
                <w:color w:val="auto"/>
              </w:rPr>
            </w:pPr>
            <w:r>
              <w:rPr>
                <w:rFonts w:ascii="Calibri" w:cs="Calibri" w:eastAsia="Calibri" w:hAnsi="Calibri"/>
                <w:sz w:val="17"/>
                <w:szCs w:val="17"/>
                <w:color w:val="auto"/>
              </w:rPr>
              <w:t>Audit Commitee members may not serve on</w:t>
            </w:r>
          </w:p>
        </w:tc>
      </w:tr>
      <w:tr>
        <w:trPr>
          <w:trHeight w:val="391"/>
        </w:trPr>
        <w:tc>
          <w:tcPr>
            <w:tcW w:w="3580" w:type="dxa"/>
            <w:vAlign w:val="bottom"/>
            <w:shd w:val="clear" w:color="auto" w:fill="E4E6EF"/>
          </w:tcPr>
          <w:p>
            <w:pPr>
              <w:ind w:left="100"/>
              <w:spacing w:after="0"/>
              <w:rPr>
                <w:sz w:val="20"/>
                <w:szCs w:val="20"/>
                <w:color w:val="auto"/>
              </w:rPr>
            </w:pPr>
            <w:r>
              <w:rPr>
                <w:rFonts w:ascii="Calibri" w:cs="Calibri" w:eastAsia="Calibri" w:hAnsi="Calibri"/>
                <w:sz w:val="17"/>
                <w:szCs w:val="17"/>
                <w:color w:val="auto"/>
              </w:rPr>
              <w:t xml:space="preserve">more than </w:t>
            </w:r>
            <w:r>
              <w:rPr>
                <w:rFonts w:ascii="Arial" w:cs="Arial" w:eastAsia="Arial" w:hAnsi="Arial"/>
                <w:sz w:val="28"/>
                <w:szCs w:val="28"/>
                <w:b w:val="1"/>
                <w:bCs w:val="1"/>
                <w:color w:val="003478"/>
              </w:rPr>
              <w:t>4</w:t>
            </w:r>
            <w:r>
              <w:rPr>
                <w:rFonts w:ascii="Calibri" w:cs="Calibri" w:eastAsia="Calibri" w:hAnsi="Calibri"/>
                <w:sz w:val="17"/>
                <w:szCs w:val="17"/>
                <w:color w:val="auto"/>
              </w:rPr>
              <w:t xml:space="preserve"> public companies</w:t>
            </w:r>
          </w:p>
        </w:tc>
        <w:tc>
          <w:tcPr>
            <w:tcW w:w="220" w:type="dxa"/>
            <w:vAlign w:val="bottom"/>
          </w:tcPr>
          <w:p>
            <w:pPr>
              <w:spacing w:after="0"/>
              <w:rPr>
                <w:sz w:val="24"/>
                <w:szCs w:val="24"/>
                <w:color w:val="auto"/>
              </w:rPr>
            </w:pPr>
          </w:p>
        </w:tc>
        <w:tc>
          <w:tcPr>
            <w:tcW w:w="3600" w:type="dxa"/>
            <w:vAlign w:val="bottom"/>
            <w:shd w:val="clear" w:color="auto" w:fill="E4E6EF"/>
          </w:tcPr>
          <w:p>
            <w:pPr>
              <w:ind w:left="100"/>
              <w:spacing w:after="0"/>
              <w:rPr>
                <w:sz w:val="20"/>
                <w:szCs w:val="20"/>
                <w:color w:val="auto"/>
              </w:rPr>
            </w:pPr>
            <w:r>
              <w:rPr>
                <w:rFonts w:ascii="Calibri" w:cs="Calibri" w:eastAsia="Calibri" w:hAnsi="Calibri"/>
                <w:sz w:val="17"/>
                <w:szCs w:val="17"/>
                <w:color w:val="auto"/>
              </w:rPr>
              <w:t xml:space="preserve">boards of more than </w:t>
            </w:r>
            <w:r>
              <w:rPr>
                <w:rFonts w:ascii="Arial" w:cs="Arial" w:eastAsia="Arial" w:hAnsi="Arial"/>
                <w:sz w:val="28"/>
                <w:szCs w:val="28"/>
                <w:b w:val="1"/>
                <w:bCs w:val="1"/>
                <w:color w:val="003478"/>
              </w:rPr>
              <w:t>3</w:t>
            </w:r>
          </w:p>
        </w:tc>
        <w:tc>
          <w:tcPr>
            <w:tcW w:w="220" w:type="dxa"/>
            <w:vAlign w:val="bottom"/>
          </w:tcPr>
          <w:p>
            <w:pPr>
              <w:spacing w:after="0"/>
              <w:rPr>
                <w:sz w:val="24"/>
                <w:szCs w:val="24"/>
                <w:color w:val="auto"/>
              </w:rPr>
            </w:pPr>
          </w:p>
        </w:tc>
        <w:tc>
          <w:tcPr>
            <w:tcW w:w="3600" w:type="dxa"/>
            <w:vAlign w:val="bottom"/>
            <w:shd w:val="clear" w:color="auto" w:fill="E4E6EF"/>
          </w:tcPr>
          <w:p>
            <w:pPr>
              <w:ind w:left="100"/>
              <w:spacing w:after="0"/>
              <w:rPr>
                <w:sz w:val="20"/>
                <w:szCs w:val="20"/>
                <w:color w:val="auto"/>
              </w:rPr>
            </w:pPr>
            <w:r>
              <w:rPr>
                <w:rFonts w:ascii="Calibri" w:cs="Calibri" w:eastAsia="Calibri" w:hAnsi="Calibri"/>
                <w:sz w:val="17"/>
                <w:szCs w:val="17"/>
                <w:color w:val="auto"/>
              </w:rPr>
              <w:t xml:space="preserve">more than </w:t>
            </w:r>
            <w:r>
              <w:rPr>
                <w:rFonts w:ascii="Arial" w:cs="Arial" w:eastAsia="Arial" w:hAnsi="Arial"/>
                <w:sz w:val="28"/>
                <w:szCs w:val="28"/>
                <w:b w:val="1"/>
                <w:bCs w:val="1"/>
                <w:color w:val="003478"/>
              </w:rPr>
              <w:t>3</w:t>
            </w:r>
            <w:r>
              <w:rPr>
                <w:rFonts w:ascii="Calibri" w:cs="Calibri" w:eastAsia="Calibri" w:hAnsi="Calibri"/>
                <w:sz w:val="17"/>
                <w:szCs w:val="17"/>
                <w:color w:val="auto"/>
              </w:rPr>
              <w:t xml:space="preserve"> public</w:t>
            </w:r>
          </w:p>
        </w:tc>
      </w:tr>
      <w:tr>
        <w:trPr>
          <w:trHeight w:val="204"/>
        </w:trPr>
        <w:tc>
          <w:tcPr>
            <w:tcW w:w="3580" w:type="dxa"/>
            <w:vAlign w:val="bottom"/>
            <w:shd w:val="clear" w:color="auto" w:fill="E4E6EF"/>
          </w:tcPr>
          <w:p>
            <w:pPr>
              <w:ind w:left="100"/>
              <w:spacing w:after="0" w:line="205" w:lineRule="exact"/>
              <w:rPr>
                <w:sz w:val="20"/>
                <w:szCs w:val="20"/>
                <w:color w:val="auto"/>
              </w:rPr>
            </w:pPr>
            <w:r>
              <w:rPr>
                <w:rFonts w:ascii="Calibri" w:cs="Calibri" w:eastAsia="Calibri" w:hAnsi="Calibri"/>
                <w:sz w:val="17"/>
                <w:szCs w:val="17"/>
                <w:color w:val="auto"/>
              </w:rPr>
              <w:t>(including Lockheed Martn)</w:t>
            </w:r>
          </w:p>
        </w:tc>
        <w:tc>
          <w:tcPr>
            <w:tcW w:w="220" w:type="dxa"/>
            <w:vAlign w:val="bottom"/>
          </w:tcPr>
          <w:p>
            <w:pPr>
              <w:spacing w:after="0"/>
              <w:rPr>
                <w:sz w:val="17"/>
                <w:szCs w:val="17"/>
                <w:color w:val="auto"/>
              </w:rPr>
            </w:pPr>
          </w:p>
        </w:tc>
        <w:tc>
          <w:tcPr>
            <w:tcW w:w="3600" w:type="dxa"/>
            <w:vAlign w:val="bottom"/>
            <w:shd w:val="clear" w:color="auto" w:fill="E4E6EF"/>
          </w:tcPr>
          <w:p>
            <w:pPr>
              <w:ind w:left="100"/>
              <w:spacing w:after="0" w:line="205" w:lineRule="exact"/>
              <w:rPr>
                <w:sz w:val="20"/>
                <w:szCs w:val="20"/>
                <w:color w:val="auto"/>
              </w:rPr>
            </w:pPr>
            <w:r>
              <w:rPr>
                <w:rFonts w:ascii="Calibri" w:cs="Calibri" w:eastAsia="Calibri" w:hAnsi="Calibri"/>
                <w:sz w:val="17"/>
                <w:szCs w:val="17"/>
                <w:color w:val="auto"/>
              </w:rPr>
              <w:t>public companies (including Lockheed</w:t>
            </w:r>
          </w:p>
        </w:tc>
        <w:tc>
          <w:tcPr>
            <w:tcW w:w="220" w:type="dxa"/>
            <w:vAlign w:val="bottom"/>
          </w:tcPr>
          <w:p>
            <w:pPr>
              <w:spacing w:after="0"/>
              <w:rPr>
                <w:sz w:val="17"/>
                <w:szCs w:val="17"/>
                <w:color w:val="auto"/>
              </w:rPr>
            </w:pPr>
          </w:p>
        </w:tc>
        <w:tc>
          <w:tcPr>
            <w:tcW w:w="3600" w:type="dxa"/>
            <w:vAlign w:val="bottom"/>
            <w:shd w:val="clear" w:color="auto" w:fill="E4E6EF"/>
          </w:tcPr>
          <w:p>
            <w:pPr>
              <w:ind w:left="100"/>
              <w:spacing w:after="0" w:line="205" w:lineRule="exact"/>
              <w:rPr>
                <w:sz w:val="20"/>
                <w:szCs w:val="20"/>
                <w:color w:val="auto"/>
              </w:rPr>
            </w:pPr>
            <w:r>
              <w:rPr>
                <w:rFonts w:ascii="Calibri" w:cs="Calibri" w:eastAsia="Calibri" w:hAnsi="Calibri"/>
                <w:sz w:val="17"/>
                <w:szCs w:val="17"/>
                <w:color w:val="auto"/>
              </w:rPr>
              <w:t>company audit commitees (including</w:t>
            </w:r>
          </w:p>
        </w:tc>
      </w:tr>
      <w:tr>
        <w:trPr>
          <w:trHeight w:val="283"/>
        </w:trPr>
        <w:tc>
          <w:tcPr>
            <w:tcW w:w="3580" w:type="dxa"/>
            <w:vAlign w:val="bottom"/>
            <w:shd w:val="clear" w:color="auto" w:fill="E4E6EF"/>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shd w:val="clear" w:color="auto" w:fill="E4E6EF"/>
          </w:tcPr>
          <w:p>
            <w:pPr>
              <w:ind w:left="100"/>
              <w:spacing w:after="0"/>
              <w:rPr>
                <w:sz w:val="20"/>
                <w:szCs w:val="20"/>
                <w:color w:val="auto"/>
              </w:rPr>
            </w:pPr>
            <w:r>
              <w:rPr>
                <w:rFonts w:ascii="Calibri" w:cs="Calibri" w:eastAsia="Calibri" w:hAnsi="Calibri"/>
                <w:sz w:val="17"/>
                <w:szCs w:val="17"/>
                <w:color w:val="auto"/>
              </w:rPr>
              <w:t>Martn)</w:t>
            </w:r>
          </w:p>
        </w:tc>
        <w:tc>
          <w:tcPr>
            <w:tcW w:w="220" w:type="dxa"/>
            <w:vAlign w:val="bottom"/>
          </w:tcPr>
          <w:p>
            <w:pPr>
              <w:spacing w:after="0"/>
              <w:rPr>
                <w:sz w:val="24"/>
                <w:szCs w:val="24"/>
                <w:color w:val="auto"/>
              </w:rPr>
            </w:pPr>
          </w:p>
        </w:tc>
        <w:tc>
          <w:tcPr>
            <w:tcW w:w="3600" w:type="dxa"/>
            <w:vAlign w:val="bottom"/>
            <w:shd w:val="clear" w:color="auto" w:fill="E4E6EF"/>
          </w:tcPr>
          <w:p>
            <w:pPr>
              <w:ind w:left="100"/>
              <w:spacing w:after="0"/>
              <w:rPr>
                <w:sz w:val="20"/>
                <w:szCs w:val="20"/>
                <w:color w:val="auto"/>
              </w:rPr>
            </w:pPr>
            <w:r>
              <w:rPr>
                <w:rFonts w:ascii="Calibri" w:cs="Calibri" w:eastAsia="Calibri" w:hAnsi="Calibri"/>
                <w:sz w:val="17"/>
                <w:szCs w:val="17"/>
                <w:color w:val="auto"/>
              </w:rPr>
              <w:t>Lockheed Martn)</w:t>
            </w:r>
          </w:p>
        </w:tc>
      </w:tr>
      <w:tr>
        <w:trPr>
          <w:trHeight w:val="160"/>
        </w:trPr>
        <w:tc>
          <w:tcPr>
            <w:tcW w:w="3580" w:type="dxa"/>
            <w:vAlign w:val="bottom"/>
            <w:shd w:val="clear" w:color="auto" w:fill="E4E6EF"/>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shd w:val="clear" w:color="auto" w:fill="E4E6EF"/>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shd w:val="clear" w:color="auto" w:fill="E4E6EF"/>
          </w:tcPr>
          <w:p>
            <w:pPr>
              <w:spacing w:after="0"/>
              <w:rPr>
                <w:sz w:val="13"/>
                <w:szCs w:val="13"/>
                <w:color w:val="auto"/>
              </w:rPr>
            </w:pPr>
          </w:p>
        </w:tc>
      </w:tr>
    </w:tbl>
    <w:p>
      <w:pPr>
        <w:spacing w:after="0" w:line="175" w:lineRule="exact"/>
        <w:rPr>
          <w:sz w:val="20"/>
          <w:szCs w:val="20"/>
          <w:color w:val="auto"/>
        </w:rPr>
      </w:pPr>
    </w:p>
    <w:p>
      <w:pPr>
        <w:spacing w:after="0" w:line="256" w:lineRule="auto"/>
        <w:rPr>
          <w:sz w:val="20"/>
          <w:szCs w:val="20"/>
          <w:color w:val="auto"/>
        </w:rPr>
      </w:pPr>
      <w:r>
        <w:rPr>
          <w:rFonts w:ascii="Calibri" w:cs="Calibri" w:eastAsia="Calibri" w:hAnsi="Calibri"/>
          <w:sz w:val="17"/>
          <w:szCs w:val="17"/>
          <w:color w:val="auto"/>
        </w:rPr>
        <w:t>The Governance Commitee also has oversight for reviewing new commitments or changes in responsibility that could potentally interfere with a director’s ability to perform its dutes and responsibilites as a member of the Board, including conficts of interest, independence or related person transactons, regulatory issues and tme commitments. Directors should expect to resign upon any signifcant change in principal employment or responsibilites. The Governance Commitee reviews and determines whether the change afects the director’s ability to contnue on the Board, considering any potental conficts of interest, independence or related person transactons, regulatory issues and tme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334645</wp:posOffset>
            </wp:positionV>
            <wp:extent cx="1071880" cy="1803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818EB4"/>
        </w:rPr>
        <w:t>Board Nomination Process</w:t>
      </w:r>
    </w:p>
    <w:p>
      <w:pPr>
        <w:spacing w:after="0" w:line="126" w:lineRule="exact"/>
        <w:rPr>
          <w:sz w:val="20"/>
          <w:szCs w:val="20"/>
          <w:color w:val="auto"/>
        </w:rPr>
      </w:pPr>
    </w:p>
    <w:p>
      <w:pPr>
        <w:ind w:right="20"/>
        <w:spacing w:after="0" w:line="255" w:lineRule="auto"/>
        <w:rPr>
          <w:sz w:val="20"/>
          <w:szCs w:val="20"/>
          <w:color w:val="auto"/>
        </w:rPr>
      </w:pPr>
      <w:r>
        <w:rPr>
          <w:rFonts w:ascii="Calibri" w:cs="Calibri" w:eastAsia="Calibri" w:hAnsi="Calibri"/>
          <w:sz w:val="17"/>
          <w:szCs w:val="17"/>
          <w:color w:val="auto"/>
        </w:rPr>
        <w:t>The Board regularly considers potental director candidates in antcipaton of retrements, resignatons and changing strategic priorites. Below is a descripton of the comprehensive, year-round process to select highly qualifed candidates to our Board. We have no agreements obligatng the Company to nominate a partcular candidate as a director, and none of our directors represent a special interest or a partcular stockholder or group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445770" cy="60693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45770" cy="6069330"/>
                    </a:xfrm>
                    <a:prstGeom prst="rect">
                      <a:avLst/>
                    </a:prstGeom>
                    <a:noFill/>
                  </pic:spPr>
                </pic:pic>
              </a:graphicData>
            </a:graphic>
          </wp:anchor>
        </w:drawing>
      </w:r>
    </w:p>
    <w:p>
      <w:pPr>
        <w:spacing w:after="0" w:line="255" w:lineRule="exact"/>
        <w:rPr>
          <w:sz w:val="20"/>
          <w:szCs w:val="20"/>
          <w:color w:val="auto"/>
        </w:rPr>
      </w:pPr>
    </w:p>
    <w:p>
      <w:pPr>
        <w:ind w:left="900" w:hanging="596"/>
        <w:spacing w:after="0"/>
        <w:tabs>
          <w:tab w:leader="none" w:pos="900" w:val="left"/>
        </w:tabs>
        <w:numPr>
          <w:ilvl w:val="0"/>
          <w:numId w:val="46"/>
        </w:numPr>
        <w:rPr>
          <w:rFonts w:ascii="Arial" w:cs="Arial" w:eastAsia="Arial" w:hAnsi="Arial"/>
          <w:sz w:val="20"/>
          <w:szCs w:val="20"/>
          <w:color w:val="003478"/>
        </w:rPr>
      </w:pPr>
      <w:r>
        <w:rPr>
          <w:rFonts w:ascii="Arial" w:cs="Arial" w:eastAsia="Arial" w:hAnsi="Arial"/>
          <w:sz w:val="17"/>
          <w:szCs w:val="17"/>
          <w:b w:val="1"/>
          <w:bCs w:val="1"/>
          <w:color w:val="auto"/>
        </w:rPr>
        <w:t>Assess the Board’s needs</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0"/>
        <w:spacing w:after="0"/>
        <w:rPr>
          <w:sz w:val="20"/>
          <w:szCs w:val="20"/>
          <w:color w:val="auto"/>
        </w:rPr>
      </w:pPr>
      <w:r>
        <w:rPr>
          <w:rFonts w:ascii="Arial" w:cs="Arial" w:eastAsia="Arial" w:hAnsi="Arial"/>
          <w:sz w:val="20"/>
          <w:szCs w:val="20"/>
          <w:color w:val="003478"/>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20"/>
          <w:szCs w:val="20"/>
          <w:color w:val="003478"/>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20"/>
          <w:szCs w:val="20"/>
          <w:color w:val="003478"/>
        </w:rPr>
        <w:t>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spacing w:after="0"/>
        <w:rPr>
          <w:sz w:val="20"/>
          <w:szCs w:val="20"/>
          <w:color w:val="auto"/>
        </w:rPr>
      </w:pPr>
      <w:r>
        <w:rPr>
          <w:rFonts w:ascii="Arial" w:cs="Arial" w:eastAsia="Arial" w:hAnsi="Arial"/>
          <w:sz w:val="20"/>
          <w:szCs w:val="20"/>
          <w:color w:val="003478"/>
        </w:rPr>
        <w:t>5</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140"/>
        <w:spacing w:after="0" w:line="255" w:lineRule="auto"/>
        <w:rPr>
          <w:sz w:val="20"/>
          <w:szCs w:val="20"/>
          <w:color w:val="auto"/>
        </w:rPr>
      </w:pPr>
      <w:r>
        <w:rPr>
          <w:rFonts w:ascii="Calibri" w:cs="Calibri" w:eastAsia="Calibri" w:hAnsi="Calibri"/>
          <w:sz w:val="17"/>
          <w:szCs w:val="17"/>
          <w:color w:val="auto"/>
        </w:rPr>
        <w:t>The Governance Commitee considers both the short- and long-term strategies of the Company to determine what current and future skills and experience are required of the Board in exercising its oversight functon and in the context of our strategic priorites. Board succession planning is a topic on every Governance Commitee meetng agenda.</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Identify candidates</w:t>
      </w:r>
    </w:p>
    <w:p>
      <w:pPr>
        <w:spacing w:after="0" w:line="120" w:lineRule="exact"/>
        <w:rPr>
          <w:sz w:val="20"/>
          <w:szCs w:val="20"/>
          <w:color w:val="auto"/>
        </w:rPr>
      </w:pPr>
    </w:p>
    <w:p>
      <w:pPr>
        <w:spacing w:after="0"/>
        <w:rPr>
          <w:sz w:val="20"/>
          <w:szCs w:val="20"/>
          <w:color w:val="auto"/>
        </w:rPr>
      </w:pPr>
      <w:r>
        <w:rPr>
          <w:rFonts w:ascii="Calibri" w:cs="Calibri" w:eastAsia="Calibri" w:hAnsi="Calibri"/>
          <w:sz w:val="17"/>
          <w:szCs w:val="17"/>
          <w:color w:val="auto"/>
        </w:rPr>
        <w:t>When identfying and selectng director nominees, the Governance Commitee screens and recommends candidates for nominaton by the full</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Board. The Governance Commitee identfes potental board candidates through two primary channels:</w:t>
      </w:r>
    </w:p>
    <w:p>
      <w:pPr>
        <w:spacing w:after="0" w:line="130" w:lineRule="exact"/>
        <w:rPr>
          <w:sz w:val="20"/>
          <w:szCs w:val="20"/>
          <w:color w:val="auto"/>
        </w:rPr>
      </w:pPr>
    </w:p>
    <w:p>
      <w:pPr>
        <w:ind w:left="160" w:hanging="157"/>
        <w:spacing w:after="0"/>
        <w:tabs>
          <w:tab w:leader="none" w:pos="160" w:val="left"/>
        </w:tabs>
        <w:numPr>
          <w:ilvl w:val="0"/>
          <w:numId w:val="47"/>
        </w:numPr>
        <w:rPr>
          <w:rFonts w:ascii="Calibri" w:cs="Calibri" w:eastAsia="Calibri" w:hAnsi="Calibri"/>
          <w:sz w:val="17"/>
          <w:szCs w:val="17"/>
          <w:b w:val="1"/>
          <w:bCs w:val="1"/>
          <w:color w:val="003478"/>
        </w:rPr>
      </w:pPr>
      <w:r>
        <w:rPr>
          <w:rFonts w:ascii="Calibri" w:cs="Calibri" w:eastAsia="Calibri" w:hAnsi="Calibri"/>
          <w:sz w:val="17"/>
          <w:szCs w:val="17"/>
          <w:b w:val="1"/>
          <w:bCs w:val="1"/>
          <w:color w:val="auto"/>
        </w:rPr>
        <w:t xml:space="preserve">Internal executve search team: </w:t>
      </w:r>
      <w:r>
        <w:rPr>
          <w:rFonts w:ascii="Calibri" w:cs="Calibri" w:eastAsia="Calibri" w:hAnsi="Calibri"/>
          <w:sz w:val="17"/>
          <w:szCs w:val="17"/>
          <w:color w:val="auto"/>
        </w:rPr>
        <w:t>The Company’s internal executve search team sources and compiles a list of prospectve candidates.</w:t>
      </w:r>
    </w:p>
    <w:p>
      <w:pPr>
        <w:spacing w:after="0" w:line="65" w:lineRule="exact"/>
        <w:rPr>
          <w:rFonts w:ascii="Calibri" w:cs="Calibri" w:eastAsia="Calibri" w:hAnsi="Calibri"/>
          <w:sz w:val="17"/>
          <w:szCs w:val="17"/>
          <w:b w:val="1"/>
          <w:bCs w:val="1"/>
          <w:color w:val="003478"/>
        </w:rPr>
      </w:pPr>
    </w:p>
    <w:p>
      <w:pPr>
        <w:ind w:left="160" w:right="740" w:hanging="157"/>
        <w:spacing w:after="0" w:line="261" w:lineRule="auto"/>
        <w:tabs>
          <w:tab w:leader="none" w:pos="153" w:val="left"/>
        </w:tabs>
        <w:numPr>
          <w:ilvl w:val="0"/>
          <w:numId w:val="47"/>
        </w:numPr>
        <w:rPr>
          <w:rFonts w:ascii="Calibri" w:cs="Calibri" w:eastAsia="Calibri" w:hAnsi="Calibri"/>
          <w:sz w:val="17"/>
          <w:szCs w:val="17"/>
          <w:b w:val="1"/>
          <w:bCs w:val="1"/>
          <w:color w:val="003478"/>
        </w:rPr>
      </w:pPr>
      <w:r>
        <w:rPr>
          <w:rFonts w:ascii="Calibri" w:cs="Calibri" w:eastAsia="Calibri" w:hAnsi="Calibri"/>
          <w:sz w:val="17"/>
          <w:szCs w:val="17"/>
          <w:b w:val="1"/>
          <w:bCs w:val="1"/>
          <w:color w:val="auto"/>
        </w:rPr>
        <w:t xml:space="preserve">Informal networks: </w:t>
      </w:r>
      <w:r>
        <w:rPr>
          <w:rFonts w:ascii="Calibri" w:cs="Calibri" w:eastAsia="Calibri" w:hAnsi="Calibri"/>
          <w:sz w:val="17"/>
          <w:szCs w:val="17"/>
          <w:color w:val="auto"/>
        </w:rPr>
        <w:t>Board members may recommend potental candidates from their own business and professional networks to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Governance Commitee for consideraton.</w:t>
      </w:r>
    </w:p>
    <w:p>
      <w:pPr>
        <w:spacing w:after="0" w:line="102" w:lineRule="exact"/>
        <w:rPr>
          <w:sz w:val="20"/>
          <w:szCs w:val="20"/>
          <w:color w:val="auto"/>
        </w:rPr>
      </w:pPr>
    </w:p>
    <w:p>
      <w:pPr>
        <w:ind w:right="60"/>
        <w:spacing w:after="0" w:line="258" w:lineRule="auto"/>
        <w:rPr>
          <w:sz w:val="20"/>
          <w:szCs w:val="20"/>
          <w:color w:val="auto"/>
        </w:rPr>
      </w:pPr>
      <w:r>
        <w:rPr>
          <w:rFonts w:ascii="Calibri" w:cs="Calibri" w:eastAsia="Calibri" w:hAnsi="Calibri"/>
          <w:sz w:val="17"/>
          <w:szCs w:val="17"/>
          <w:color w:val="auto"/>
        </w:rPr>
        <w:t xml:space="preserve">In identfying candidates, the Governance Commitee actvely seeks out diverse candidates as described under “Commitment to Board Diversity” on page 7. Director candidates also may be identfed by stockholders and will be evaluated under the same criteria applied to other director nominees and considered by the Governance Commitee. Informaton on the process and requirements for stockholder nominees may be found in Sectons 1.10 and 1.11 of our Bylaws (available at </w:t>
      </w:r>
      <w:r>
        <w:rPr>
          <w:rFonts w:ascii="Calibri" w:cs="Calibri" w:eastAsia="Calibri" w:hAnsi="Calibri"/>
          <w:sz w:val="17"/>
          <w:szCs w:val="17"/>
          <w:i w:val="1"/>
          <w:iCs w:val="1"/>
          <w:color w:val="auto"/>
        </w:rPr>
        <w:t>www.lockheedmartn.com/corporate-governance).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and evaluate candidates</w:t>
      </w:r>
    </w:p>
    <w:p>
      <w:pPr>
        <w:spacing w:after="0" w:line="124" w:lineRule="exact"/>
        <w:rPr>
          <w:sz w:val="20"/>
          <w:szCs w:val="20"/>
          <w:color w:val="auto"/>
        </w:rPr>
      </w:pPr>
    </w:p>
    <w:p>
      <w:pPr>
        <w:ind w:right="80"/>
        <w:spacing w:after="0" w:line="261" w:lineRule="auto"/>
        <w:rPr>
          <w:sz w:val="20"/>
          <w:szCs w:val="20"/>
          <w:color w:val="auto"/>
        </w:rPr>
      </w:pPr>
      <w:r>
        <w:rPr>
          <w:rFonts w:ascii="Calibri" w:cs="Calibri" w:eastAsia="Calibri" w:hAnsi="Calibri"/>
          <w:sz w:val="17"/>
          <w:szCs w:val="17"/>
          <w:color w:val="auto"/>
        </w:rPr>
        <w:t xml:space="preserve">Our Governance Guidelines (available at </w:t>
      </w:r>
      <w:r>
        <w:rPr>
          <w:rFonts w:ascii="Calibri" w:cs="Calibri" w:eastAsia="Calibri" w:hAnsi="Calibri"/>
          <w:sz w:val="17"/>
          <w:szCs w:val="17"/>
          <w:i w:val="1"/>
          <w:iCs w:val="1"/>
          <w:color w:val="auto"/>
        </w:rPr>
        <w:t>www.lockheedmartn.com/corporate-governance</w:t>
      </w:r>
      <w:r>
        <w:rPr>
          <w:rFonts w:ascii="Calibri" w:cs="Calibri" w:eastAsia="Calibri" w:hAnsi="Calibri"/>
          <w:sz w:val="17"/>
          <w:szCs w:val="17"/>
          <w:color w:val="auto"/>
        </w:rPr>
        <w:t>) list criteria against which the Governance Commitee evaluates candidates. In additon, the Governance Commitee considers, among other things:</w:t>
      </w:r>
    </w:p>
    <w:p>
      <w:pPr>
        <w:spacing w:after="0" w:line="99" w:lineRule="exact"/>
        <w:rPr>
          <w:sz w:val="20"/>
          <w:szCs w:val="20"/>
          <w:color w:val="auto"/>
        </w:rPr>
      </w:pPr>
    </w:p>
    <w:p>
      <w:pPr>
        <w:ind w:left="160" w:hanging="157"/>
        <w:spacing w:after="0"/>
        <w:tabs>
          <w:tab w:leader="none" w:pos="160" w:val="left"/>
        </w:tabs>
        <w:numPr>
          <w:ilvl w:val="0"/>
          <w:numId w:val="48"/>
        </w:numPr>
        <w:rPr>
          <w:rFonts w:ascii="Calibri" w:cs="Calibri" w:eastAsia="Calibri" w:hAnsi="Calibri"/>
          <w:sz w:val="17"/>
          <w:szCs w:val="17"/>
          <w:b w:val="1"/>
          <w:bCs w:val="1"/>
          <w:color w:val="auto"/>
        </w:rPr>
      </w:pPr>
      <w:r>
        <w:rPr>
          <w:rFonts w:ascii="Calibri" w:cs="Calibri" w:eastAsia="Calibri" w:hAnsi="Calibri"/>
          <w:sz w:val="17"/>
          <w:szCs w:val="17"/>
          <w:color w:val="auto"/>
        </w:rPr>
        <w:t>input from the Board’s self-assessment process to prioritze areas of expertse that were identfed;</w:t>
      </w:r>
    </w:p>
    <w:p>
      <w:pPr>
        <w:spacing w:after="0" w:line="75" w:lineRule="exact"/>
        <w:rPr>
          <w:rFonts w:ascii="Calibri" w:cs="Calibri" w:eastAsia="Calibri" w:hAnsi="Calibri"/>
          <w:sz w:val="17"/>
          <w:szCs w:val="17"/>
          <w:b w:val="1"/>
          <w:bCs w:val="1"/>
          <w:color w:val="auto"/>
        </w:rPr>
      </w:pPr>
    </w:p>
    <w:p>
      <w:pPr>
        <w:ind w:left="160" w:hanging="157"/>
        <w:spacing w:after="0"/>
        <w:tabs>
          <w:tab w:leader="none" w:pos="160" w:val="left"/>
        </w:tabs>
        <w:numPr>
          <w:ilvl w:val="0"/>
          <w:numId w:val="48"/>
        </w:numPr>
        <w:rPr>
          <w:rFonts w:ascii="Calibri" w:cs="Calibri" w:eastAsia="Calibri" w:hAnsi="Calibri"/>
          <w:sz w:val="17"/>
          <w:szCs w:val="17"/>
          <w:b w:val="1"/>
          <w:bCs w:val="1"/>
          <w:color w:val="auto"/>
        </w:rPr>
      </w:pPr>
      <w:r>
        <w:rPr>
          <w:rFonts w:ascii="Calibri" w:cs="Calibri" w:eastAsia="Calibri" w:hAnsi="Calibri"/>
          <w:sz w:val="17"/>
          <w:szCs w:val="17"/>
          <w:color w:val="auto"/>
        </w:rPr>
        <w:t>investor feedback and perceptons;</w:t>
      </w:r>
    </w:p>
    <w:p>
      <w:pPr>
        <w:spacing w:after="0" w:line="62" w:lineRule="exact"/>
        <w:rPr>
          <w:rFonts w:ascii="Calibri" w:cs="Calibri" w:eastAsia="Calibri" w:hAnsi="Calibri"/>
          <w:sz w:val="17"/>
          <w:szCs w:val="17"/>
          <w:b w:val="1"/>
          <w:bCs w:val="1"/>
          <w:color w:val="auto"/>
        </w:rPr>
      </w:pPr>
    </w:p>
    <w:p>
      <w:pPr>
        <w:ind w:left="160" w:hanging="157"/>
        <w:spacing w:after="0"/>
        <w:tabs>
          <w:tab w:leader="none" w:pos="160" w:val="left"/>
        </w:tabs>
        <w:numPr>
          <w:ilvl w:val="0"/>
          <w:numId w:val="48"/>
        </w:numPr>
        <w:rPr>
          <w:rFonts w:ascii="Calibri" w:cs="Calibri" w:eastAsia="Calibri" w:hAnsi="Calibri"/>
          <w:sz w:val="17"/>
          <w:szCs w:val="17"/>
          <w:b w:val="1"/>
          <w:bCs w:val="1"/>
          <w:color w:val="auto"/>
        </w:rPr>
      </w:pPr>
      <w:r>
        <w:rPr>
          <w:rFonts w:ascii="Calibri" w:cs="Calibri" w:eastAsia="Calibri" w:hAnsi="Calibri"/>
          <w:sz w:val="17"/>
          <w:szCs w:val="17"/>
          <w:color w:val="auto"/>
        </w:rPr>
        <w:t>alignment of the candidates’ skills and competencies to the Company’s future strategic challenges and opportunites;</w:t>
      </w:r>
    </w:p>
    <w:p>
      <w:pPr>
        <w:spacing w:after="0" w:line="62" w:lineRule="exact"/>
        <w:rPr>
          <w:rFonts w:ascii="Calibri" w:cs="Calibri" w:eastAsia="Calibri" w:hAnsi="Calibri"/>
          <w:sz w:val="17"/>
          <w:szCs w:val="17"/>
          <w:b w:val="1"/>
          <w:bCs w:val="1"/>
          <w:color w:val="auto"/>
        </w:rPr>
      </w:pPr>
    </w:p>
    <w:p>
      <w:pPr>
        <w:ind w:left="160" w:hanging="157"/>
        <w:spacing w:after="0"/>
        <w:tabs>
          <w:tab w:leader="none" w:pos="160" w:val="left"/>
        </w:tabs>
        <w:numPr>
          <w:ilvl w:val="0"/>
          <w:numId w:val="48"/>
        </w:numPr>
        <w:rPr>
          <w:rFonts w:ascii="Calibri" w:cs="Calibri" w:eastAsia="Calibri" w:hAnsi="Calibri"/>
          <w:sz w:val="17"/>
          <w:szCs w:val="17"/>
          <w:b w:val="1"/>
          <w:bCs w:val="1"/>
          <w:color w:val="auto"/>
        </w:rPr>
      </w:pPr>
      <w:r>
        <w:rPr>
          <w:rFonts w:ascii="Calibri" w:cs="Calibri" w:eastAsia="Calibri" w:hAnsi="Calibri"/>
          <w:sz w:val="17"/>
          <w:szCs w:val="17"/>
          <w:color w:val="auto"/>
        </w:rPr>
        <w:t>the needs of the Board in light of expected Board retrements or resignatons;</w:t>
      </w:r>
    </w:p>
    <w:p>
      <w:pPr>
        <w:spacing w:after="0" w:line="75" w:lineRule="exact"/>
        <w:rPr>
          <w:rFonts w:ascii="Calibri" w:cs="Calibri" w:eastAsia="Calibri" w:hAnsi="Calibri"/>
          <w:sz w:val="17"/>
          <w:szCs w:val="17"/>
          <w:b w:val="1"/>
          <w:bCs w:val="1"/>
          <w:color w:val="auto"/>
        </w:rPr>
      </w:pPr>
    </w:p>
    <w:p>
      <w:pPr>
        <w:ind w:left="160" w:hanging="157"/>
        <w:spacing w:after="0"/>
        <w:tabs>
          <w:tab w:leader="none" w:pos="160" w:val="left"/>
        </w:tabs>
        <w:numPr>
          <w:ilvl w:val="0"/>
          <w:numId w:val="48"/>
        </w:numPr>
        <w:rPr>
          <w:rFonts w:ascii="Calibri" w:cs="Calibri" w:eastAsia="Calibri" w:hAnsi="Calibri"/>
          <w:sz w:val="17"/>
          <w:szCs w:val="17"/>
          <w:b w:val="1"/>
          <w:bCs w:val="1"/>
          <w:color w:val="auto"/>
        </w:rPr>
      </w:pPr>
      <w:r>
        <w:rPr>
          <w:rFonts w:ascii="Calibri" w:cs="Calibri" w:eastAsia="Calibri" w:hAnsi="Calibri"/>
          <w:sz w:val="17"/>
          <w:szCs w:val="17"/>
          <w:color w:val="auto"/>
        </w:rPr>
        <w:t>a balance between public company and government customer-related experience;</w:t>
      </w:r>
    </w:p>
    <w:p>
      <w:pPr>
        <w:spacing w:after="0" w:line="62" w:lineRule="exact"/>
        <w:rPr>
          <w:rFonts w:ascii="Calibri" w:cs="Calibri" w:eastAsia="Calibri" w:hAnsi="Calibri"/>
          <w:sz w:val="17"/>
          <w:szCs w:val="17"/>
          <w:b w:val="1"/>
          <w:bCs w:val="1"/>
          <w:color w:val="auto"/>
        </w:rPr>
      </w:pPr>
    </w:p>
    <w:p>
      <w:pPr>
        <w:ind w:left="160" w:hanging="157"/>
        <w:spacing w:after="0"/>
        <w:tabs>
          <w:tab w:leader="none" w:pos="160" w:val="left"/>
        </w:tabs>
        <w:numPr>
          <w:ilvl w:val="0"/>
          <w:numId w:val="48"/>
        </w:numPr>
        <w:rPr>
          <w:rFonts w:ascii="Calibri" w:cs="Calibri" w:eastAsia="Calibri" w:hAnsi="Calibri"/>
          <w:sz w:val="17"/>
          <w:szCs w:val="17"/>
          <w:b w:val="1"/>
          <w:bCs w:val="1"/>
          <w:color w:val="auto"/>
        </w:rPr>
      </w:pPr>
      <w:r>
        <w:rPr>
          <w:rFonts w:ascii="Calibri" w:cs="Calibri" w:eastAsia="Calibri" w:hAnsi="Calibri"/>
          <w:sz w:val="17"/>
          <w:szCs w:val="17"/>
          <w:color w:val="auto"/>
        </w:rPr>
        <w:t>candidates’ gender and race/ethnicity; and</w:t>
      </w:r>
    </w:p>
    <w:p>
      <w:pPr>
        <w:spacing w:after="0" w:line="79" w:lineRule="exact"/>
        <w:rPr>
          <w:rFonts w:ascii="Calibri" w:cs="Calibri" w:eastAsia="Calibri" w:hAnsi="Calibri"/>
          <w:sz w:val="17"/>
          <w:szCs w:val="17"/>
          <w:b w:val="1"/>
          <w:bCs w:val="1"/>
          <w:color w:val="auto"/>
        </w:rPr>
      </w:pPr>
    </w:p>
    <w:p>
      <w:pPr>
        <w:ind w:left="160" w:right="220" w:hanging="157"/>
        <w:spacing w:after="0" w:line="245" w:lineRule="auto"/>
        <w:tabs>
          <w:tab w:leader="none" w:pos="153" w:val="left"/>
        </w:tabs>
        <w:numPr>
          <w:ilvl w:val="0"/>
          <w:numId w:val="48"/>
        </w:numPr>
        <w:rPr>
          <w:rFonts w:ascii="Calibri" w:cs="Calibri" w:eastAsia="Calibri" w:hAnsi="Calibri"/>
          <w:sz w:val="17"/>
          <w:szCs w:val="17"/>
          <w:b w:val="1"/>
          <w:bCs w:val="1"/>
          <w:color w:val="auto"/>
        </w:rPr>
      </w:pPr>
      <w:r>
        <w:rPr>
          <w:rFonts w:ascii="Calibri" w:cs="Calibri" w:eastAsia="Calibri" w:hAnsi="Calibri"/>
          <w:sz w:val="17"/>
          <w:szCs w:val="17"/>
          <w:color w:val="auto"/>
        </w:rPr>
        <w:t>for incumbent directors, atendance, past performance on the Board, the director’s other tme commitments and contributons to the Board and their respectve commitees.</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Interview candidates</w:t>
      </w:r>
    </w:p>
    <w:p>
      <w:pPr>
        <w:spacing w:after="0" w:line="110" w:lineRule="exact"/>
        <w:rPr>
          <w:sz w:val="20"/>
          <w:szCs w:val="20"/>
          <w:color w:val="auto"/>
        </w:rPr>
      </w:pPr>
    </w:p>
    <w:p>
      <w:pPr>
        <w:ind w:right="520"/>
        <w:spacing w:after="0" w:line="261" w:lineRule="auto"/>
        <w:rPr>
          <w:sz w:val="20"/>
          <w:szCs w:val="20"/>
          <w:color w:val="auto"/>
        </w:rPr>
      </w:pPr>
      <w:r>
        <w:rPr>
          <w:rFonts w:ascii="Calibri" w:cs="Calibri" w:eastAsia="Calibri" w:hAnsi="Calibri"/>
          <w:sz w:val="17"/>
          <w:szCs w:val="17"/>
          <w:color w:val="auto"/>
        </w:rPr>
        <w:t>The Chairman and independent Lead Director interview candidates that the Governance Commitee has determined satsfy the evaluaton criteria and would add value to the Board.</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Recommend candidate to the Board</w:t>
      </w:r>
    </w:p>
    <w:p>
      <w:pPr>
        <w:spacing w:after="0" w:line="110" w:lineRule="exact"/>
        <w:rPr>
          <w:sz w:val="20"/>
          <w:szCs w:val="20"/>
          <w:color w:val="auto"/>
        </w:rPr>
      </w:pPr>
    </w:p>
    <w:p>
      <w:pPr>
        <w:ind w:right="520"/>
        <w:spacing w:after="0" w:line="261" w:lineRule="auto"/>
        <w:rPr>
          <w:sz w:val="20"/>
          <w:szCs w:val="20"/>
          <w:color w:val="auto"/>
        </w:rPr>
      </w:pPr>
      <w:r>
        <w:rPr>
          <w:rFonts w:ascii="Calibri" w:cs="Calibri" w:eastAsia="Calibri" w:hAnsi="Calibri"/>
          <w:sz w:val="17"/>
          <w:szCs w:val="17"/>
          <w:color w:val="auto"/>
        </w:rPr>
        <w:t>The Governance Commitee recommends to the Board the candidate that best fts the needs of the Board at that tme. Prior to any formal acton, other independent members of the Board are ofered the opportunity to interview the prospectve candidate.</w:t>
      </w:r>
    </w:p>
    <w:p>
      <w:pPr>
        <w:spacing w:after="0" w:line="200" w:lineRule="exact"/>
        <w:rPr>
          <w:sz w:val="20"/>
          <w:szCs w:val="20"/>
          <w:color w:val="auto"/>
        </w:rPr>
      </w:pPr>
    </w:p>
    <w:p>
      <w:pPr>
        <w:sectPr>
          <w:pgSz w:w="11900" w:h="16838" w:orient="portrait"/>
          <w:cols w:equalWidth="0" w:num="2">
            <w:col w:w="420" w:space="480"/>
            <w:col w:w="103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818EB4"/>
        </w:rPr>
        <w:t>Onboarding and Continuing Education</w:t>
      </w:r>
    </w:p>
    <w:p>
      <w:pPr>
        <w:spacing w:after="0" w:line="45" w:lineRule="exact"/>
        <w:rPr>
          <w:sz w:val="20"/>
          <w:szCs w:val="20"/>
          <w:color w:val="auto"/>
        </w:rPr>
      </w:pPr>
    </w:p>
    <w:p>
      <w:pPr>
        <w:spacing w:after="0" w:line="246" w:lineRule="auto"/>
        <w:rPr>
          <w:sz w:val="20"/>
          <w:szCs w:val="20"/>
          <w:color w:val="auto"/>
        </w:rPr>
      </w:pPr>
      <w:r>
        <w:rPr>
          <w:rFonts w:ascii="Calibri" w:cs="Calibri" w:eastAsia="Calibri" w:hAnsi="Calibri"/>
          <w:sz w:val="17"/>
          <w:szCs w:val="17"/>
          <w:color w:val="auto"/>
        </w:rPr>
        <w:t>New directors are provided a comprehensive orientaton about the Company, including our business operatons, strategy and governance. New directors have one-on-one sessions with the CEO, other directors and other members of senior management. New Audit Commitee members also have one-on-one sessions with the Company’s independent auditors. Members of our senior management regularly review with the Board the operatng plan of each of our business segments and the Company as a whole. The Board also conducts periodic site visits to our facilites as part of its regularly scheduled Board meetngs and directors are encouraged to visit sites on an ad hoc basis and meet one-on-one with members of senior management and other employees. Directors are encouraged to atend outside director contnuing educaton programs sponsored by educatonal and other insttutons to assist them in staying abreast of developments in corporate governance and critcal issues relatng to the operaton of public company boards.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color w:val="818EB4"/>
        </w:rPr>
        <w:t>Annual Performance Assessment</w:t>
      </w:r>
    </w:p>
    <w:p>
      <w:pPr>
        <w:spacing w:after="0" w:line="45" w:lineRule="exact"/>
        <w:rPr>
          <w:sz w:val="20"/>
          <w:szCs w:val="20"/>
          <w:color w:val="auto"/>
        </w:rPr>
      </w:pPr>
    </w:p>
    <w:p>
      <w:pPr>
        <w:ind w:right="60"/>
        <w:spacing w:after="0" w:line="247" w:lineRule="auto"/>
        <w:rPr>
          <w:sz w:val="20"/>
          <w:szCs w:val="20"/>
          <w:color w:val="auto"/>
        </w:rPr>
      </w:pPr>
      <w:r>
        <w:rPr>
          <w:rFonts w:ascii="Calibri" w:cs="Calibri" w:eastAsia="Calibri" w:hAnsi="Calibri"/>
          <w:sz w:val="17"/>
          <w:szCs w:val="17"/>
          <w:color w:val="auto"/>
        </w:rPr>
        <w:t>The Board conducts a self-assessment of Board and commitee performance and efectveness on an annual basis. The self-assessment helps the Governance Commitee to track progress in certain areas targeted for improvement from year-to-year and to identfy ways to enhance the Board’s and its commitees’ efectveness. The evaluaton process includes the following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99060</wp:posOffset>
            </wp:positionV>
            <wp:extent cx="6000750" cy="3943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00750" cy="39433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80" w:right="240"/>
        <w:spacing w:after="0" w:line="247" w:lineRule="auto"/>
        <w:rPr>
          <w:sz w:val="20"/>
          <w:szCs w:val="20"/>
          <w:color w:val="auto"/>
        </w:rPr>
      </w:pPr>
      <w:r>
        <w:rPr>
          <w:rFonts w:ascii="Calibri" w:cs="Calibri" w:eastAsia="Calibri" w:hAnsi="Calibri"/>
          <w:sz w:val="17"/>
          <w:szCs w:val="17"/>
          <w:color w:val="auto"/>
        </w:rPr>
        <w:t>Open-ended questons to solicit candid feedback. Topics covered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-474980</wp:posOffset>
            </wp:positionV>
            <wp:extent cx="1423035" cy="30257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23035" cy="3025775"/>
                    </a:xfrm>
                    <a:prstGeom prst="rect">
                      <a:avLst/>
                    </a:prstGeom>
                    <a:noFill/>
                  </pic:spPr>
                </pic:pic>
              </a:graphicData>
            </a:graphic>
          </wp:anchor>
        </w:drawing>
      </w:r>
    </w:p>
    <w:p>
      <w:pPr>
        <w:spacing w:after="0" w:line="95" w:lineRule="exact"/>
        <w:rPr>
          <w:sz w:val="20"/>
          <w:szCs w:val="20"/>
          <w:color w:val="auto"/>
        </w:rPr>
      </w:pPr>
    </w:p>
    <w:p>
      <w:pPr>
        <w:ind w:left="1140" w:right="200" w:hanging="162"/>
        <w:spacing w:after="0" w:line="245" w:lineRule="auto"/>
        <w:tabs>
          <w:tab w:leader="none" w:pos="1133" w:val="left"/>
        </w:tabs>
        <w:numPr>
          <w:ilvl w:val="0"/>
          <w:numId w:val="49"/>
        </w:numPr>
        <w:rPr>
          <w:rFonts w:ascii="Calibri" w:cs="Calibri" w:eastAsia="Calibri" w:hAnsi="Calibri"/>
          <w:sz w:val="17"/>
          <w:szCs w:val="17"/>
          <w:color w:val="003478"/>
        </w:rPr>
      </w:pPr>
      <w:r>
        <w:rPr>
          <w:rFonts w:ascii="Calibri" w:cs="Calibri" w:eastAsia="Calibri" w:hAnsi="Calibri"/>
          <w:sz w:val="17"/>
          <w:szCs w:val="17"/>
          <w:color w:val="auto"/>
        </w:rPr>
        <w:t>Board meetng content, conduct, format</w:t>
      </w:r>
    </w:p>
    <w:p>
      <w:pPr>
        <w:spacing w:after="0" w:line="4" w:lineRule="exact"/>
        <w:rPr>
          <w:rFonts w:ascii="Calibri" w:cs="Calibri" w:eastAsia="Calibri" w:hAnsi="Calibri"/>
          <w:sz w:val="17"/>
          <w:szCs w:val="17"/>
          <w:color w:val="003478"/>
        </w:rPr>
      </w:pPr>
    </w:p>
    <w:p>
      <w:pPr>
        <w:ind w:left="1140"/>
        <w:spacing w:after="0"/>
        <w:rPr>
          <w:rFonts w:ascii="Calibri" w:cs="Calibri" w:eastAsia="Calibri" w:hAnsi="Calibri"/>
          <w:sz w:val="17"/>
          <w:szCs w:val="17"/>
          <w:color w:val="003478"/>
        </w:rPr>
      </w:pPr>
      <w:r>
        <w:rPr>
          <w:rFonts w:ascii="Calibri" w:cs="Calibri" w:eastAsia="Calibri" w:hAnsi="Calibri"/>
          <w:sz w:val="17"/>
          <w:szCs w:val="17"/>
          <w:color w:val="auto"/>
        </w:rPr>
        <w:t>and schedule</w:t>
      </w:r>
    </w:p>
    <w:p>
      <w:pPr>
        <w:spacing w:after="0" w:line="48" w:lineRule="exact"/>
        <w:rPr>
          <w:rFonts w:ascii="Calibri" w:cs="Calibri" w:eastAsia="Calibri" w:hAnsi="Calibri"/>
          <w:sz w:val="17"/>
          <w:szCs w:val="17"/>
          <w:color w:val="003478"/>
        </w:rPr>
      </w:pPr>
    </w:p>
    <w:p>
      <w:pPr>
        <w:ind w:left="1140" w:hanging="162"/>
        <w:spacing w:after="0"/>
        <w:tabs>
          <w:tab w:leader="none" w:pos="1140" w:val="left"/>
        </w:tabs>
        <w:numPr>
          <w:ilvl w:val="0"/>
          <w:numId w:val="49"/>
        </w:numPr>
        <w:rPr>
          <w:rFonts w:ascii="Calibri" w:cs="Calibri" w:eastAsia="Calibri" w:hAnsi="Calibri"/>
          <w:sz w:val="17"/>
          <w:szCs w:val="17"/>
          <w:color w:val="003478"/>
        </w:rPr>
      </w:pPr>
      <w:r>
        <w:rPr>
          <w:rFonts w:ascii="Calibri" w:cs="Calibri" w:eastAsia="Calibri" w:hAnsi="Calibri"/>
          <w:sz w:val="17"/>
          <w:szCs w:val="17"/>
          <w:color w:val="auto"/>
        </w:rPr>
        <w:t>Board culture</w:t>
      </w:r>
    </w:p>
    <w:p>
      <w:pPr>
        <w:spacing w:after="0" w:line="62" w:lineRule="exact"/>
        <w:rPr>
          <w:rFonts w:ascii="Calibri" w:cs="Calibri" w:eastAsia="Calibri" w:hAnsi="Calibri"/>
          <w:sz w:val="17"/>
          <w:szCs w:val="17"/>
          <w:color w:val="003478"/>
        </w:rPr>
      </w:pPr>
    </w:p>
    <w:p>
      <w:pPr>
        <w:ind w:left="1140" w:hanging="162"/>
        <w:spacing w:after="0"/>
        <w:tabs>
          <w:tab w:leader="none" w:pos="1140" w:val="left"/>
        </w:tabs>
        <w:numPr>
          <w:ilvl w:val="0"/>
          <w:numId w:val="49"/>
        </w:numPr>
        <w:rPr>
          <w:rFonts w:ascii="Calibri" w:cs="Calibri" w:eastAsia="Calibri" w:hAnsi="Calibri"/>
          <w:sz w:val="17"/>
          <w:szCs w:val="17"/>
          <w:color w:val="003478"/>
        </w:rPr>
      </w:pPr>
      <w:r>
        <w:rPr>
          <w:rFonts w:ascii="Calibri" w:cs="Calibri" w:eastAsia="Calibri" w:hAnsi="Calibri"/>
          <w:sz w:val="17"/>
          <w:szCs w:val="17"/>
          <w:color w:val="auto"/>
        </w:rPr>
        <w:t>Board leadership structure</w:t>
      </w:r>
    </w:p>
    <w:p>
      <w:pPr>
        <w:spacing w:after="0" w:line="65" w:lineRule="exact"/>
        <w:rPr>
          <w:rFonts w:ascii="Calibri" w:cs="Calibri" w:eastAsia="Calibri" w:hAnsi="Calibri"/>
          <w:sz w:val="17"/>
          <w:szCs w:val="17"/>
          <w:color w:val="003478"/>
        </w:rPr>
      </w:pPr>
    </w:p>
    <w:p>
      <w:pPr>
        <w:ind w:left="1140" w:right="540" w:hanging="162"/>
        <w:spacing w:after="0" w:line="245" w:lineRule="auto"/>
        <w:tabs>
          <w:tab w:leader="none" w:pos="1133" w:val="left"/>
        </w:tabs>
        <w:numPr>
          <w:ilvl w:val="0"/>
          <w:numId w:val="49"/>
        </w:numPr>
        <w:rPr>
          <w:rFonts w:ascii="Calibri" w:cs="Calibri" w:eastAsia="Calibri" w:hAnsi="Calibri"/>
          <w:sz w:val="17"/>
          <w:szCs w:val="17"/>
          <w:color w:val="003478"/>
        </w:rPr>
      </w:pPr>
      <w:r>
        <w:rPr>
          <w:rFonts w:ascii="Calibri" w:cs="Calibri" w:eastAsia="Calibri" w:hAnsi="Calibri"/>
          <w:sz w:val="17"/>
          <w:szCs w:val="17"/>
          <w:color w:val="auto"/>
        </w:rPr>
        <w:t>Board compositon and diversity</w:t>
      </w:r>
    </w:p>
    <w:p>
      <w:pPr>
        <w:spacing w:after="0" w:line="62" w:lineRule="exact"/>
        <w:rPr>
          <w:rFonts w:ascii="Calibri" w:cs="Calibri" w:eastAsia="Calibri" w:hAnsi="Calibri"/>
          <w:sz w:val="17"/>
          <w:szCs w:val="17"/>
          <w:color w:val="003478"/>
        </w:rPr>
      </w:pPr>
    </w:p>
    <w:p>
      <w:pPr>
        <w:ind w:left="1140" w:right="580" w:hanging="162"/>
        <w:spacing w:after="0" w:line="235" w:lineRule="auto"/>
        <w:tabs>
          <w:tab w:leader="none" w:pos="1133" w:val="left"/>
        </w:tabs>
        <w:numPr>
          <w:ilvl w:val="0"/>
          <w:numId w:val="49"/>
        </w:numPr>
        <w:rPr>
          <w:rFonts w:ascii="Calibri" w:cs="Calibri" w:eastAsia="Calibri" w:hAnsi="Calibri"/>
          <w:sz w:val="17"/>
          <w:szCs w:val="17"/>
          <w:color w:val="003478"/>
        </w:rPr>
      </w:pPr>
      <w:r>
        <w:rPr>
          <w:rFonts w:ascii="Calibri" w:cs="Calibri" w:eastAsia="Calibri" w:hAnsi="Calibri"/>
          <w:sz w:val="17"/>
          <w:szCs w:val="17"/>
          <w:color w:val="auto"/>
        </w:rPr>
        <w:t>Board accessibility to management</w:t>
      </w:r>
    </w:p>
    <w:p>
      <w:pPr>
        <w:spacing w:after="0" w:line="66" w:lineRule="exact"/>
        <w:rPr>
          <w:rFonts w:ascii="Calibri" w:cs="Calibri" w:eastAsia="Calibri" w:hAnsi="Calibri"/>
          <w:sz w:val="17"/>
          <w:szCs w:val="17"/>
          <w:color w:val="003478"/>
        </w:rPr>
      </w:pPr>
    </w:p>
    <w:p>
      <w:pPr>
        <w:ind w:left="1140" w:right="520" w:hanging="162"/>
        <w:spacing w:after="0" w:line="247" w:lineRule="auto"/>
        <w:tabs>
          <w:tab w:leader="none" w:pos="1133" w:val="left"/>
        </w:tabs>
        <w:numPr>
          <w:ilvl w:val="0"/>
          <w:numId w:val="49"/>
        </w:numPr>
        <w:rPr>
          <w:rFonts w:ascii="Calibri" w:cs="Calibri" w:eastAsia="Calibri" w:hAnsi="Calibri"/>
          <w:sz w:val="17"/>
          <w:szCs w:val="17"/>
          <w:color w:val="003478"/>
        </w:rPr>
      </w:pPr>
      <w:r>
        <w:rPr>
          <w:rFonts w:ascii="Calibri" w:cs="Calibri" w:eastAsia="Calibri" w:hAnsi="Calibri"/>
          <w:sz w:val="17"/>
          <w:szCs w:val="17"/>
          <w:color w:val="auto"/>
        </w:rPr>
        <w:t>Potental skills gaps for identfying board candidates</w:t>
      </w:r>
    </w:p>
    <w:p>
      <w:pPr>
        <w:spacing w:after="0" w:line="57" w:lineRule="exact"/>
        <w:rPr>
          <w:rFonts w:ascii="Calibri" w:cs="Calibri" w:eastAsia="Calibri" w:hAnsi="Calibri"/>
          <w:sz w:val="17"/>
          <w:szCs w:val="17"/>
          <w:color w:val="003478"/>
        </w:rPr>
      </w:pPr>
    </w:p>
    <w:p>
      <w:pPr>
        <w:ind w:left="1140" w:hanging="162"/>
        <w:spacing w:after="0"/>
        <w:tabs>
          <w:tab w:leader="none" w:pos="1140" w:val="left"/>
        </w:tabs>
        <w:numPr>
          <w:ilvl w:val="0"/>
          <w:numId w:val="49"/>
        </w:numPr>
        <w:rPr>
          <w:rFonts w:ascii="Calibri" w:cs="Calibri" w:eastAsia="Calibri" w:hAnsi="Calibri"/>
          <w:sz w:val="17"/>
          <w:szCs w:val="17"/>
          <w:color w:val="003478"/>
        </w:rPr>
      </w:pPr>
      <w:r>
        <w:rPr>
          <w:rFonts w:ascii="Calibri" w:cs="Calibri" w:eastAsia="Calibri" w:hAnsi="Calibri"/>
          <w:sz w:val="17"/>
          <w:szCs w:val="17"/>
          <w:color w:val="auto"/>
        </w:rPr>
        <w:t>Commitee efectveness</w:t>
      </w:r>
    </w:p>
    <w:p>
      <w:pPr>
        <w:spacing w:after="0" w:line="65" w:lineRule="exact"/>
        <w:rPr>
          <w:rFonts w:ascii="Calibri" w:cs="Calibri" w:eastAsia="Calibri" w:hAnsi="Calibri"/>
          <w:sz w:val="17"/>
          <w:szCs w:val="17"/>
          <w:color w:val="003478"/>
        </w:rPr>
      </w:pPr>
    </w:p>
    <w:p>
      <w:pPr>
        <w:ind w:left="1140" w:right="140" w:hanging="162"/>
        <w:spacing w:after="0"/>
        <w:tabs>
          <w:tab w:leader="none" w:pos="1133" w:val="left"/>
        </w:tabs>
        <w:numPr>
          <w:ilvl w:val="0"/>
          <w:numId w:val="49"/>
        </w:numPr>
        <w:rPr>
          <w:rFonts w:ascii="Calibri" w:cs="Calibri" w:eastAsia="Calibri" w:hAnsi="Calibri"/>
          <w:sz w:val="17"/>
          <w:szCs w:val="17"/>
          <w:color w:val="003478"/>
        </w:rPr>
      </w:pPr>
      <w:r>
        <w:rPr>
          <w:rFonts w:ascii="Calibri" w:cs="Calibri" w:eastAsia="Calibri" w:hAnsi="Calibri"/>
          <w:sz w:val="17"/>
          <w:szCs w:val="17"/>
          <w:color w:val="auto"/>
        </w:rPr>
        <w:t>Peer assessment to elicit feedback on individual director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49" w:lineRule="auto"/>
        <w:rPr>
          <w:sz w:val="20"/>
          <w:szCs w:val="20"/>
          <w:color w:val="auto"/>
        </w:rPr>
      </w:pPr>
      <w:r>
        <w:rPr>
          <w:rFonts w:ascii="Calibri" w:cs="Calibri" w:eastAsia="Calibri" w:hAnsi="Calibri"/>
          <w:sz w:val="17"/>
          <w:szCs w:val="17"/>
          <w:color w:val="auto"/>
        </w:rPr>
        <w:t>The independent Lead Director conducts separate, one-on-one discussions with each director to discuss any additonal feedback or perspectves.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-819785</wp:posOffset>
            </wp:positionV>
            <wp:extent cx="1354455" cy="30257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54455" cy="3025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47" w:lineRule="auto"/>
        <w:rPr>
          <w:sz w:val="20"/>
          <w:szCs w:val="20"/>
          <w:color w:val="auto"/>
        </w:rPr>
      </w:pPr>
      <w:r>
        <w:rPr>
          <w:rFonts w:ascii="Calibri" w:cs="Calibri" w:eastAsia="Calibri" w:hAnsi="Calibri"/>
          <w:sz w:val="17"/>
          <w:szCs w:val="17"/>
          <w:color w:val="auto"/>
        </w:rPr>
        <w:t>The Governance Commitee and each other commitee and the full Board review the results of the evaluatons in private session. The Board discussion is led by the independent Lead Director. The individual commitee discussions are led by the individual commitee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-1424305</wp:posOffset>
            </wp:positionV>
            <wp:extent cx="1431925" cy="30257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31925" cy="3025775"/>
                    </a:xfrm>
                    <a:prstGeom prst="rect">
                      <a:avLst/>
                    </a:prstGeom>
                    <a:noFill/>
                  </pic:spPr>
                </pic:pic>
              </a:graphicData>
            </a:graphic>
          </wp:anchor>
        </w:drawing>
      </w:r>
    </w:p>
    <w:p>
      <w:pPr>
        <w:spacing w:after="0" w:line="99" w:lineRule="exact"/>
        <w:rPr>
          <w:sz w:val="20"/>
          <w:szCs w:val="20"/>
          <w:color w:val="auto"/>
        </w:rPr>
      </w:pPr>
    </w:p>
    <w:p>
      <w:pPr>
        <w:spacing w:after="0" w:line="244" w:lineRule="auto"/>
        <w:rPr>
          <w:sz w:val="20"/>
          <w:szCs w:val="20"/>
          <w:color w:val="auto"/>
        </w:rPr>
      </w:pPr>
      <w:r>
        <w:rPr>
          <w:rFonts w:ascii="Calibri" w:cs="Calibri" w:eastAsia="Calibri" w:hAnsi="Calibri"/>
          <w:sz w:val="17"/>
          <w:szCs w:val="17"/>
          <w:color w:val="auto"/>
        </w:rPr>
        <w:t>Apart from the annual discussion, an executve session is scheduled at each meetng and any feedback from the independent directors is communicated to the Chairman by the independent Lead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Feedback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-128905</wp:posOffset>
            </wp:positionV>
            <wp:extent cx="1465580" cy="30257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65580" cy="3025775"/>
                    </a:xfrm>
                    <a:prstGeom prst="rect">
                      <a:avLst/>
                    </a:prstGeom>
                    <a:noFill/>
                  </pic:spPr>
                </pic:pic>
              </a:graphicData>
            </a:graphic>
          </wp:anchor>
        </w:drawing>
      </w:r>
    </w:p>
    <w:p>
      <w:pPr>
        <w:ind w:left="400"/>
        <w:spacing w:after="0"/>
        <w:rPr>
          <w:sz w:val="20"/>
          <w:szCs w:val="20"/>
          <w:color w:val="auto"/>
        </w:rPr>
      </w:pPr>
      <w:r>
        <w:rPr>
          <w:rFonts w:ascii="Calibri" w:cs="Calibri" w:eastAsia="Calibri" w:hAnsi="Calibri"/>
          <w:sz w:val="17"/>
          <w:szCs w:val="17"/>
          <w:color w:val="auto"/>
        </w:rPr>
        <w:t>in 2022:</w:t>
      </w:r>
    </w:p>
    <w:p>
      <w:pPr>
        <w:spacing w:after="0" w:line="120" w:lineRule="exact"/>
        <w:rPr>
          <w:sz w:val="20"/>
          <w:szCs w:val="20"/>
          <w:color w:val="auto"/>
        </w:rPr>
      </w:pPr>
    </w:p>
    <w:p>
      <w:pPr>
        <w:ind w:left="160" w:right="1000" w:hanging="160"/>
        <w:spacing w:after="0" w:line="248" w:lineRule="auto"/>
        <w:tabs>
          <w:tab w:leader="none" w:pos="153" w:val="left"/>
        </w:tabs>
        <w:numPr>
          <w:ilvl w:val="0"/>
          <w:numId w:val="50"/>
        </w:numPr>
        <w:rPr>
          <w:rFonts w:ascii="Calibri" w:cs="Calibri" w:eastAsia="Calibri" w:hAnsi="Calibri"/>
          <w:sz w:val="17"/>
          <w:szCs w:val="17"/>
          <w:color w:val="003478"/>
        </w:rPr>
      </w:pPr>
      <w:r>
        <w:rPr>
          <w:rFonts w:ascii="Calibri" w:cs="Calibri" w:eastAsia="Calibri" w:hAnsi="Calibri"/>
          <w:sz w:val="17"/>
          <w:szCs w:val="17"/>
          <w:color w:val="auto"/>
        </w:rPr>
        <w:t>Prioritzaton of Board discussion tme with contnued use of executve sessions</w:t>
      </w:r>
    </w:p>
    <w:p>
      <w:pPr>
        <w:spacing w:after="0" w:line="46" w:lineRule="exact"/>
        <w:rPr>
          <w:rFonts w:ascii="Calibri" w:cs="Calibri" w:eastAsia="Calibri" w:hAnsi="Calibri"/>
          <w:sz w:val="17"/>
          <w:szCs w:val="17"/>
          <w:color w:val="003478"/>
        </w:rPr>
      </w:pPr>
    </w:p>
    <w:p>
      <w:pPr>
        <w:ind w:left="160" w:right="1320" w:hanging="160"/>
        <w:spacing w:after="0" w:line="248" w:lineRule="auto"/>
        <w:tabs>
          <w:tab w:leader="none" w:pos="153" w:val="left"/>
        </w:tabs>
        <w:numPr>
          <w:ilvl w:val="0"/>
          <w:numId w:val="50"/>
        </w:numPr>
        <w:rPr>
          <w:rFonts w:ascii="Calibri" w:cs="Calibri" w:eastAsia="Calibri" w:hAnsi="Calibri"/>
          <w:sz w:val="17"/>
          <w:szCs w:val="17"/>
          <w:color w:val="003478"/>
        </w:rPr>
      </w:pPr>
      <w:r>
        <w:rPr>
          <w:rFonts w:ascii="Calibri" w:cs="Calibri" w:eastAsia="Calibri" w:hAnsi="Calibri"/>
          <w:sz w:val="17"/>
          <w:szCs w:val="17"/>
          <w:color w:val="auto"/>
        </w:rPr>
        <w:t>Contnuaton of mix of virtual and in person meetngs in the Board schedule</w:t>
      </w:r>
    </w:p>
    <w:p>
      <w:pPr>
        <w:spacing w:after="0" w:line="60" w:lineRule="exact"/>
        <w:rPr>
          <w:rFonts w:ascii="Calibri" w:cs="Calibri" w:eastAsia="Calibri" w:hAnsi="Calibri"/>
          <w:sz w:val="17"/>
          <w:szCs w:val="17"/>
          <w:color w:val="003478"/>
        </w:rPr>
      </w:pPr>
    </w:p>
    <w:p>
      <w:pPr>
        <w:ind w:left="160" w:right="1020" w:hanging="160"/>
        <w:spacing w:after="0" w:line="243" w:lineRule="auto"/>
        <w:tabs>
          <w:tab w:leader="none" w:pos="153" w:val="left"/>
        </w:tabs>
        <w:numPr>
          <w:ilvl w:val="0"/>
          <w:numId w:val="50"/>
        </w:numPr>
        <w:rPr>
          <w:rFonts w:ascii="Calibri" w:cs="Calibri" w:eastAsia="Calibri" w:hAnsi="Calibri"/>
          <w:sz w:val="17"/>
          <w:szCs w:val="17"/>
          <w:color w:val="003478"/>
        </w:rPr>
      </w:pPr>
      <w:r>
        <w:rPr>
          <w:rFonts w:ascii="Calibri" w:cs="Calibri" w:eastAsia="Calibri" w:hAnsi="Calibri"/>
          <w:sz w:val="17"/>
          <w:szCs w:val="17"/>
          <w:color w:val="auto"/>
        </w:rPr>
        <w:t>Additon of meetng topics on artfcial intelligence, cybersecurity, technology, digital transformaton and</w:t>
      </w:r>
    </w:p>
    <w:p>
      <w:pPr>
        <w:spacing w:after="0" w:line="6" w:lineRule="exact"/>
        <w:rPr>
          <w:rFonts w:ascii="Calibri" w:cs="Calibri" w:eastAsia="Calibri" w:hAnsi="Calibri"/>
          <w:sz w:val="17"/>
          <w:szCs w:val="17"/>
          <w:color w:val="003478"/>
        </w:rPr>
      </w:pPr>
    </w:p>
    <w:p>
      <w:pPr>
        <w:ind w:left="160"/>
        <w:spacing w:after="0"/>
        <w:rPr>
          <w:rFonts w:ascii="Calibri" w:cs="Calibri" w:eastAsia="Calibri" w:hAnsi="Calibri"/>
          <w:sz w:val="17"/>
          <w:szCs w:val="17"/>
          <w:color w:val="003478"/>
        </w:rPr>
      </w:pPr>
      <w:r>
        <w:rPr>
          <w:rFonts w:ascii="Calibri" w:cs="Calibri" w:eastAsia="Calibri" w:hAnsi="Calibri"/>
          <w:sz w:val="17"/>
          <w:szCs w:val="17"/>
          <w:color w:val="auto"/>
        </w:rPr>
        <w:t>ESG</w:t>
      </w:r>
    </w:p>
    <w:p>
      <w:pPr>
        <w:spacing w:after="0" w:line="65" w:lineRule="exact"/>
        <w:rPr>
          <w:rFonts w:ascii="Calibri" w:cs="Calibri" w:eastAsia="Calibri" w:hAnsi="Calibri"/>
          <w:sz w:val="17"/>
          <w:szCs w:val="17"/>
          <w:color w:val="003478"/>
        </w:rPr>
      </w:pPr>
    </w:p>
    <w:p>
      <w:pPr>
        <w:ind w:left="160" w:right="960" w:hanging="160"/>
        <w:spacing w:after="0" w:line="245" w:lineRule="auto"/>
        <w:tabs>
          <w:tab w:leader="none" w:pos="153" w:val="left"/>
        </w:tabs>
        <w:numPr>
          <w:ilvl w:val="0"/>
          <w:numId w:val="50"/>
        </w:numPr>
        <w:rPr>
          <w:rFonts w:ascii="Calibri" w:cs="Calibri" w:eastAsia="Calibri" w:hAnsi="Calibri"/>
          <w:sz w:val="17"/>
          <w:szCs w:val="17"/>
          <w:color w:val="003478"/>
        </w:rPr>
      </w:pPr>
      <w:r>
        <w:rPr>
          <w:rFonts w:ascii="Calibri" w:cs="Calibri" w:eastAsia="Calibri" w:hAnsi="Calibri"/>
          <w:sz w:val="17"/>
          <w:szCs w:val="17"/>
          <w:color w:val="auto"/>
        </w:rPr>
        <w:t>Commitment to diversity in Board searches</w:t>
      </w:r>
    </w:p>
    <w:p>
      <w:pPr>
        <w:spacing w:after="0" w:line="938" w:lineRule="exact"/>
        <w:rPr>
          <w:sz w:val="20"/>
          <w:szCs w:val="20"/>
          <w:color w:val="auto"/>
        </w:rPr>
      </w:pPr>
    </w:p>
    <w:p>
      <w:pPr>
        <w:sectPr>
          <w:pgSz w:w="11900" w:h="16838" w:orient="portrait"/>
          <w:cols w:equalWidth="0" w:num="4">
            <w:col w:w="3020" w:space="380"/>
            <w:col w:w="1960" w:space="340"/>
            <w:col w:w="2060" w:space="400"/>
            <w:col w:w="3060"/>
          </w:cols>
          <w:pgMar w:left="320" w:top="230" w:right="35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Arial" w:cs="Arial" w:eastAsia="Arial" w:hAnsi="Arial"/>
          <w:sz w:val="25"/>
          <w:szCs w:val="25"/>
          <w:color w:val="818EB4"/>
        </w:rPr>
        <w:t>Consideration of Director Tenure</w:t>
      </w:r>
    </w:p>
    <w:p>
      <w:pPr>
        <w:spacing w:after="0" w:line="45" w:lineRule="exact"/>
        <w:rPr>
          <w:sz w:val="20"/>
          <w:szCs w:val="20"/>
          <w:color w:val="auto"/>
        </w:rPr>
      </w:pPr>
    </w:p>
    <w:p>
      <w:pPr>
        <w:spacing w:after="0" w:line="239" w:lineRule="auto"/>
        <w:rPr>
          <w:sz w:val="20"/>
          <w:szCs w:val="20"/>
          <w:color w:val="auto"/>
        </w:rPr>
      </w:pPr>
      <w:r>
        <w:rPr>
          <w:rFonts w:ascii="Calibri" w:cs="Calibri" w:eastAsia="Calibri" w:hAnsi="Calibri"/>
          <w:sz w:val="17"/>
          <w:szCs w:val="17"/>
          <w:color w:val="auto"/>
        </w:rPr>
        <w:t>Board refreshment over tme is critcal to ensuring that the Board as a whole maintains an appropriate balance of tenure, diversity, skills and experience. The Board believes it is desirable to maintain a mix of longer-tenured, experienced directors that have developed increased knowledge and insight into the Company’s operatons, and newer directors with fresh perspectves and new ideas. The Board’s Bylaws and Governance Guidelines provide that a director will retre at the annual meetng following their 75</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birthday unless an exempton is granted by acton of the Board. In considering whether to grant such an exempton, the Board will consider the expertse, experience, background and perspectves of the director and their ongoing contributons to the Board. We do not have term limits for directors as they may sometmes result in losing the contributon of experienced directors who have over tme developed a deep understanding of the Company and its operatons. Each director’s contnued tenure will be re-considered annually as part of the annual Board self-evaluaton and nominaton process. The Board has undergone signifcant refreshment over the past several years and, for the frst tme in early 2023, the Board granted an exempton for Mr. James O. Ellis, Jr., who is 75, to be nominated for re-electon at the 2023 Annual Meetng of stockholders in light of his signifcant expertse, experience, background, perspectves and ongoing contributons to the Board, partcularly regarding our primary customer and our classifed programs, taking into account the current needs of the Board in view of Mr. Stewart’s resignaton on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283845</wp:posOffset>
            </wp:positionV>
            <wp:extent cx="1071880" cy="1803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Director Independence</w:t>
      </w:r>
    </w:p>
    <w:p>
      <w:pPr>
        <w:spacing w:after="0" w:line="306" w:lineRule="exact"/>
        <w:rPr>
          <w:sz w:val="20"/>
          <w:szCs w:val="20"/>
          <w:color w:val="auto"/>
        </w:rPr>
      </w:pPr>
    </w:p>
    <w:p>
      <w:pPr>
        <w:ind w:left="20"/>
        <w:spacing w:after="0" w:line="252" w:lineRule="auto"/>
        <w:rPr>
          <w:sz w:val="20"/>
          <w:szCs w:val="20"/>
          <w:color w:val="auto"/>
        </w:rPr>
      </w:pPr>
      <w:r>
        <w:rPr>
          <w:rFonts w:ascii="Calibri" w:cs="Calibri" w:eastAsia="Calibri" w:hAnsi="Calibri"/>
          <w:sz w:val="17"/>
          <w:szCs w:val="17"/>
          <w:color w:val="auto"/>
        </w:rPr>
        <w:t>The Board has determined that all of our directors are independent under applicable NYSE listng standards, except Mr. Taiclet, our President and CEO. Under the NYSE listng standards and our Governance Guidelines, a director is not independent if the director has a direct or indirect material relatonship with the Company. The Governance Commitee annually reviews the independence of all directors and reports its fndings to the full Board.</w:t>
      </w:r>
    </w:p>
    <w:p>
      <w:pPr>
        <w:spacing w:after="0" w:line="126" w:lineRule="exact"/>
        <w:rPr>
          <w:sz w:val="20"/>
          <w:szCs w:val="20"/>
          <w:color w:val="auto"/>
        </w:rPr>
      </w:pPr>
    </w:p>
    <w:p>
      <w:pPr>
        <w:ind w:left="20" w:right="40"/>
        <w:spacing w:after="0" w:line="256" w:lineRule="auto"/>
        <w:rPr>
          <w:sz w:val="20"/>
          <w:szCs w:val="20"/>
          <w:color w:val="auto"/>
        </w:rPr>
      </w:pPr>
      <w:r>
        <w:rPr>
          <w:rFonts w:ascii="Calibri" w:cs="Calibri" w:eastAsia="Calibri" w:hAnsi="Calibri"/>
          <w:sz w:val="17"/>
          <w:szCs w:val="17"/>
          <w:color w:val="auto"/>
        </w:rPr>
        <w:t xml:space="preserve">The Board has adopted director independence guidelines that are included in our Governance Guidelines, which are available on the Company’s website at </w:t>
      </w:r>
      <w:r>
        <w:rPr>
          <w:rFonts w:ascii="Calibri" w:cs="Calibri" w:eastAsia="Calibri" w:hAnsi="Calibri"/>
          <w:sz w:val="17"/>
          <w:szCs w:val="17"/>
          <w:i w:val="1"/>
          <w:iCs w:val="1"/>
          <w:color w:val="auto"/>
        </w:rPr>
        <w:t>www.lockheedmartn.com/corporate-governance</w:t>
      </w:r>
      <w:r>
        <w:rPr>
          <w:rFonts w:ascii="Calibri" w:cs="Calibri" w:eastAsia="Calibri" w:hAnsi="Calibri"/>
          <w:sz w:val="17"/>
          <w:szCs w:val="17"/>
          <w:color w:val="auto"/>
        </w:rPr>
        <w:t>. These guidelines set forth certain relatonships between the Company and directors</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and their immediate family members or afliated enttes, which the Board, in its judgment, has deemed to be material or immaterial for purposes of assessing a director’s independence. If a director has a relatonship with the Company that is not addressed in the independence guidelines, then the independent members of the Board would determine whether or not the relatonship is material.</w:t>
      </w:r>
    </w:p>
    <w:p>
      <w:pPr>
        <w:spacing w:after="0" w:line="327" w:lineRule="exact"/>
        <w:rPr>
          <w:sz w:val="20"/>
          <w:szCs w:val="20"/>
          <w:color w:val="auto"/>
        </w:rPr>
      </w:pPr>
    </w:p>
    <w:p>
      <w:pPr>
        <w:ind w:left="20" w:right="120"/>
        <w:spacing w:after="0" w:line="258" w:lineRule="auto"/>
        <w:rPr>
          <w:sz w:val="20"/>
          <w:szCs w:val="20"/>
          <w:color w:val="auto"/>
        </w:rPr>
      </w:pPr>
      <w:r>
        <w:rPr>
          <w:rFonts w:ascii="Calibri" w:cs="Calibri" w:eastAsia="Calibri" w:hAnsi="Calibri"/>
          <w:sz w:val="17"/>
          <w:szCs w:val="17"/>
          <w:b w:val="1"/>
          <w:bCs w:val="1"/>
          <w:color w:val="auto"/>
        </w:rPr>
        <w:t xml:space="preserve">2022 Independence: </w:t>
      </w:r>
      <w:r>
        <w:rPr>
          <w:rFonts w:ascii="Calibri" w:cs="Calibri" w:eastAsia="Calibri" w:hAnsi="Calibri"/>
          <w:sz w:val="17"/>
          <w:szCs w:val="17"/>
          <w:color w:val="auto"/>
        </w:rPr>
        <w:t>In determining that each of the non-management directors is independent,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Board considered the relatonships described under “Certain Relatonships and Related Person Transactons of Directors, Executve Ofcers and 5 Percent Stockholders” on the following page, each of which were determined to be immaterial to each individual’s independence.</w:t>
      </w:r>
    </w:p>
    <w:p>
      <w:pPr>
        <w:spacing w:after="0" w:line="107" w:lineRule="exact"/>
        <w:rPr>
          <w:sz w:val="20"/>
          <w:szCs w:val="20"/>
          <w:color w:val="auto"/>
        </w:rPr>
      </w:pPr>
    </w:p>
    <w:p>
      <w:pPr>
        <w:ind w:left="20"/>
        <w:spacing w:after="0" w:line="256" w:lineRule="auto"/>
        <w:rPr>
          <w:sz w:val="20"/>
          <w:szCs w:val="20"/>
          <w:color w:val="auto"/>
        </w:rPr>
      </w:pPr>
      <w:r>
        <w:rPr>
          <w:rFonts w:ascii="Calibri" w:cs="Calibri" w:eastAsia="Calibri" w:hAnsi="Calibri"/>
          <w:sz w:val="17"/>
          <w:szCs w:val="17"/>
          <w:color w:val="auto"/>
        </w:rPr>
        <w:t>The Governance Commitee and Board considered that the Company, in the ordinary course of business, purchases products and services from, or sells products and services to, companies or subsidiaries or parents of companies at which some of our directors (or their immediate family members) are or have been directors, ofcers or other employees and to other insttutons with which some of these individuals have or have had relatonships. These relatonships included: Mr. Burrit (Natonal Associaton of Manufacturers); Mr. Carlson (The Utah State University Space Dynamics Laboratory); Mr. Donovan (AT&amp;T Inc. (family member’s employer)); Mr. Dunford (K&amp;L Gates LLP (family member’s employer) and The Atlantc Council); Mr. Ellis (Blue Origin, LLC (family member’s employer), Dominion Energy Inc., the Economist Group (family member’s employer) and Stanford University (family member’s employer)); Mr. Falk (FIS Global (family member’s employer)); Ms. Gordon (Internatonal Flavors and Fragrances, Inc. and Internatonal Paper Company); Mr. Johnson (Center for a New American Security and MetLife, Inc.); Ms. Reed-Klages (The Boeing Company (family member’s employer) and Caterpillar Inc.); and Mr. Stewart (Goldman Sachs Bank USA and KBR). In determining that these relatonships did not afect the independence of those directors, the Board considered that none of the directors had any direct or indirect material interest in, or received any special compensaton in connecton with, the Company’s business relatonships with those enttes. In additon to their consideraton of these ordinary course of business transactons, the Governance Commitee and the Board relied upon the director independence guidelines included in our Governance Guidelines to conclude that contributons to a tax-exempt organizaton by the Company did not create any direct or indirect material interest for the purpose of assessing director independence.</w:t>
      </w:r>
    </w:p>
    <w:p>
      <w:pPr>
        <w:spacing w:after="0" w:line="131" w:lineRule="exact"/>
        <w:rPr>
          <w:sz w:val="20"/>
          <w:szCs w:val="20"/>
          <w:color w:val="auto"/>
        </w:rPr>
      </w:pPr>
    </w:p>
    <w:p>
      <w:pPr>
        <w:ind w:left="20" w:right="180"/>
        <w:spacing w:after="0" w:line="253" w:lineRule="auto"/>
        <w:rPr>
          <w:sz w:val="20"/>
          <w:szCs w:val="20"/>
          <w:color w:val="auto"/>
        </w:rPr>
      </w:pPr>
      <w:r>
        <w:rPr>
          <w:rFonts w:ascii="Calibri" w:cs="Calibri" w:eastAsia="Calibri" w:hAnsi="Calibri"/>
          <w:sz w:val="17"/>
          <w:szCs w:val="17"/>
          <w:color w:val="auto"/>
        </w:rPr>
        <w:t>The Governance Commitee also concluded that all members of each of the Audit, Compensaton and Governance Commitees are independent within the meaning of our Governance Guidelines and NYSE listng standards, including the additonal independence requirements applicable to members of the Audit Commitee and Compensaton Commitee.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
        <w:spacing w:after="0"/>
        <w:rPr>
          <w:sz w:val="20"/>
          <w:szCs w:val="20"/>
          <w:color w:val="auto"/>
        </w:rPr>
      </w:pPr>
      <w:r>
        <w:rPr>
          <w:rFonts w:ascii="Arial" w:cs="Arial" w:eastAsia="Arial" w:hAnsi="Arial"/>
          <w:sz w:val="16"/>
          <w:szCs w:val="16"/>
          <w:color w:val="003478"/>
        </w:rPr>
        <w:t>DIRECTOR NOMINEE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-227330</wp:posOffset>
            </wp:positionV>
            <wp:extent cx="2451735" cy="14147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451735" cy="1414780"/>
                    </a:xfrm>
                    <a:prstGeom prst="rect">
                      <a:avLst/>
                    </a:prstGeom>
                    <a:noFill/>
                  </pic:spPr>
                </pic:pic>
              </a:graphicData>
            </a:graphic>
          </wp:anchor>
        </w:drawing>
      </w:r>
    </w:p>
    <w:p>
      <w:pPr>
        <w:spacing w:after="0" w:line="234" w:lineRule="exact"/>
        <w:rPr>
          <w:sz w:val="20"/>
          <w:szCs w:val="20"/>
          <w:color w:val="auto"/>
        </w:rPr>
      </w:pPr>
    </w:p>
    <w:p>
      <w:pPr>
        <w:ind w:left="5"/>
        <w:spacing w:after="0"/>
        <w:rPr>
          <w:sz w:val="20"/>
          <w:szCs w:val="20"/>
          <w:color w:val="auto"/>
        </w:rPr>
      </w:pPr>
      <w:r>
        <w:rPr>
          <w:rFonts w:ascii="Arial" w:cs="Arial" w:eastAsia="Arial" w:hAnsi="Arial"/>
          <w:sz w:val="72"/>
          <w:szCs w:val="72"/>
          <w:color w:val="003478"/>
        </w:rPr>
        <w:t>92%</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7"/>
          <w:szCs w:val="17"/>
          <w:color w:val="00347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275590</wp:posOffset>
            </wp:positionV>
            <wp:extent cx="2451735" cy="32575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51735" cy="32575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003478"/>
        </w:rPr>
        <w:t>Independent Directors*</w:t>
      </w:r>
    </w:p>
    <w:p>
      <w:pPr>
        <w:spacing w:after="0" w:line="53"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Daniel F. Akerson</w:t>
      </w:r>
    </w:p>
    <w:p>
      <w:pPr>
        <w:spacing w:after="0" w:line="49"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David B. Burrit</w:t>
      </w:r>
    </w:p>
    <w:p>
      <w:pPr>
        <w:spacing w:after="0" w:line="62"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Bruce A. Carlson</w:t>
      </w:r>
    </w:p>
    <w:p>
      <w:pPr>
        <w:spacing w:after="0" w:line="49"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John M. Donovan</w:t>
      </w:r>
    </w:p>
    <w:p>
      <w:pPr>
        <w:spacing w:after="0" w:line="49"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Joseph F. Dunford, Jr.</w:t>
      </w:r>
    </w:p>
    <w:p>
      <w:pPr>
        <w:spacing w:after="0" w:line="49"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James O. Ellis, Jr.</w:t>
      </w:r>
    </w:p>
    <w:p>
      <w:pPr>
        <w:spacing w:after="0" w:line="49"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Thomas J. Falk</w:t>
      </w:r>
    </w:p>
    <w:p>
      <w:pPr>
        <w:spacing w:after="0" w:line="49"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Ilene S. Gordon</w:t>
      </w:r>
    </w:p>
    <w:p>
      <w:pPr>
        <w:spacing w:after="0" w:line="49"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Vicki A. Hollub</w:t>
      </w:r>
    </w:p>
    <w:p>
      <w:pPr>
        <w:spacing w:after="0" w:line="49"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Jeh C. Johnson</w:t>
      </w:r>
    </w:p>
    <w:p>
      <w:pPr>
        <w:spacing w:after="0" w:line="49"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Debra L. Reed-Klages</w:t>
      </w:r>
    </w:p>
    <w:p>
      <w:pPr>
        <w:spacing w:after="0" w:line="62"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Patricia E. Yarrington</w:t>
      </w:r>
    </w:p>
    <w:p>
      <w:pPr>
        <w:spacing w:after="0" w:line="32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003478"/>
        </w:rPr>
        <w:t>Non-Independent Director</w:t>
      </w:r>
    </w:p>
    <w:p>
      <w:pPr>
        <w:spacing w:after="0" w:line="53" w:lineRule="exact"/>
        <w:rPr>
          <w:sz w:val="20"/>
          <w:szCs w:val="20"/>
          <w:color w:val="auto"/>
        </w:rPr>
      </w:pPr>
    </w:p>
    <w:p>
      <w:pPr>
        <w:ind w:left="5"/>
        <w:spacing w:after="0"/>
        <w:rPr>
          <w:sz w:val="20"/>
          <w:szCs w:val="20"/>
          <w:color w:val="auto"/>
        </w:rPr>
      </w:pPr>
      <w:r>
        <w:rPr>
          <w:rFonts w:ascii="Calibri" w:cs="Calibri" w:eastAsia="Calibri" w:hAnsi="Calibri"/>
          <w:sz w:val="17"/>
          <w:szCs w:val="17"/>
          <w:color w:val="auto"/>
        </w:rPr>
        <w:t>James D. Taiclet</w:t>
      </w:r>
    </w:p>
    <w:p>
      <w:pPr>
        <w:spacing w:after="0" w:line="362" w:lineRule="exact"/>
        <w:rPr>
          <w:sz w:val="20"/>
          <w:szCs w:val="20"/>
          <w:color w:val="auto"/>
        </w:rPr>
      </w:pPr>
    </w:p>
    <w:p>
      <w:pPr>
        <w:ind w:left="265" w:right="160" w:hanging="265"/>
        <w:spacing w:after="0" w:line="245" w:lineRule="auto"/>
        <w:tabs>
          <w:tab w:leader="none" w:pos="240" w:val="left"/>
        </w:tabs>
        <w:numPr>
          <w:ilvl w:val="0"/>
          <w:numId w:val="51"/>
        </w:numPr>
        <w:rPr>
          <w:rFonts w:ascii="Calibri" w:cs="Calibri" w:eastAsia="Calibri" w:hAnsi="Calibri"/>
          <w:sz w:val="14"/>
          <w:szCs w:val="14"/>
          <w:color w:val="auto"/>
        </w:rPr>
      </w:pPr>
      <w:r>
        <w:rPr>
          <w:rFonts w:ascii="Calibri" w:cs="Calibri" w:eastAsia="Calibri" w:hAnsi="Calibri"/>
          <w:sz w:val="14"/>
          <w:szCs w:val="14"/>
          <w:color w:val="auto"/>
        </w:rPr>
        <w:t>Vincent R. Stewart served from July 2022 through January 1, 2023 and was independent.</w:t>
      </w:r>
    </w:p>
    <w:p>
      <w:pPr>
        <w:spacing w:after="0" w:line="2994" w:lineRule="exact"/>
        <w:rPr>
          <w:sz w:val="20"/>
          <w:szCs w:val="20"/>
          <w:color w:val="auto"/>
        </w:rPr>
      </w:pPr>
    </w:p>
    <w:p>
      <w:pPr>
        <w:sectPr>
          <w:pgSz w:w="11900" w:h="16838" w:orient="portrait"/>
          <w:cols w:equalWidth="0" w:num="2">
            <w:col w:w="7120" w:space="355"/>
            <w:col w:w="3765"/>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818EB4"/>
        </w:rPr>
        <w:t>Related Person Transaction Policy</w:t>
      </w:r>
    </w:p>
    <w:p>
      <w:pPr>
        <w:spacing w:after="0" w:line="126" w:lineRule="exact"/>
        <w:rPr>
          <w:sz w:val="20"/>
          <w:szCs w:val="20"/>
          <w:color w:val="auto"/>
        </w:rPr>
      </w:pPr>
    </w:p>
    <w:p>
      <w:pPr>
        <w:ind w:right="20"/>
        <w:spacing w:after="0" w:line="257" w:lineRule="auto"/>
        <w:rPr>
          <w:sz w:val="20"/>
          <w:szCs w:val="20"/>
          <w:color w:val="auto"/>
        </w:rPr>
      </w:pPr>
      <w:r>
        <w:rPr>
          <w:rFonts w:ascii="Calibri" w:cs="Calibri" w:eastAsia="Calibri" w:hAnsi="Calibri"/>
          <w:sz w:val="17"/>
          <w:szCs w:val="17"/>
          <w:color w:val="auto"/>
        </w:rPr>
        <w:t xml:space="preserve">The Board has approved a writen policy and procedures for the review, approval and ratfcaton, if necessary, of transactons among the Company and its directors, executve ofcers and their related interests. A copy of the policy is available on the Company’s website at </w:t>
      </w:r>
      <w:r>
        <w:rPr>
          <w:rFonts w:ascii="Calibri" w:cs="Calibri" w:eastAsia="Calibri" w:hAnsi="Calibri"/>
          <w:sz w:val="17"/>
          <w:szCs w:val="17"/>
          <w:i w:val="1"/>
          <w:iCs w:val="1"/>
          <w:color w:val="auto"/>
        </w:rPr>
        <w:t>www.lockheedmartn.com/corporate-governance</w:t>
      </w:r>
      <w:r>
        <w:rPr>
          <w:rFonts w:ascii="Calibri" w:cs="Calibri" w:eastAsia="Calibri" w:hAnsi="Calibri"/>
          <w:sz w:val="17"/>
          <w:szCs w:val="17"/>
          <w:color w:val="auto"/>
        </w:rPr>
        <w:t>. Under the policy, the Governance Commitee shall conduct a reasonable prior review and oversight of all related person transactons (as defned</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in the policy). The Governance Commitee may approve related person transactons at its discreton, if deemed fair and reasonable to the Company and not inconsistent with the interest of the Company and its stockholders. This may include situatons where the Company provides products or services to related persons on an arm’s length basis on terms comparable to those provided to unrelated third partes. Any director who partcipates in or is the subject of an existng or potental related person transacton may not partcipate in the decision-making process of the Governance Commitee with respect to that transacton, except if approved by unanimous writen consent. The Governance Commitee will prohibit any related person transacton that it determines to be inconsistent with the interests of the Company and its stockholders.</w:t>
      </w:r>
    </w:p>
    <w:p>
      <w:pPr>
        <w:spacing w:after="0" w:line="106" w:lineRule="exact"/>
        <w:rPr>
          <w:sz w:val="20"/>
          <w:szCs w:val="20"/>
          <w:color w:val="auto"/>
        </w:rPr>
      </w:pPr>
    </w:p>
    <w:p>
      <w:pPr>
        <w:ind w:right="180"/>
        <w:spacing w:after="0" w:line="257" w:lineRule="auto"/>
        <w:rPr>
          <w:sz w:val="20"/>
          <w:szCs w:val="20"/>
          <w:color w:val="auto"/>
        </w:rPr>
      </w:pPr>
      <w:r>
        <w:rPr>
          <w:rFonts w:ascii="Calibri" w:cs="Calibri" w:eastAsia="Calibri" w:hAnsi="Calibri"/>
          <w:sz w:val="17"/>
          <w:szCs w:val="17"/>
          <w:color w:val="auto"/>
        </w:rPr>
        <w:t>Under the policy, and consistent with applicable SEC regulatons and NYSE listng standards, a related person transacton is any transacton in which the Company was, is or will be a partcipant, where the amount involved exceeds $120,000, and in which a related person had, has, or will have a direct or indirect material interest. A related person includes any director or director nominee, any executve ofcer of the Company, any person who is known to be the benefcial owner of more than fve percent of any class of the Company’s votng securites, or an immediate family member of any person described above.</w:t>
      </w:r>
    </w:p>
    <w:p>
      <w:pPr>
        <w:spacing w:after="0" w:line="340" w:lineRule="exact"/>
        <w:rPr>
          <w:sz w:val="20"/>
          <w:szCs w:val="20"/>
          <w:color w:val="auto"/>
        </w:rPr>
      </w:pPr>
    </w:p>
    <w:p>
      <w:pPr>
        <w:jc w:val="both"/>
        <w:ind w:right="60"/>
        <w:spacing w:after="0" w:line="255" w:lineRule="auto"/>
        <w:rPr>
          <w:sz w:val="20"/>
          <w:szCs w:val="20"/>
          <w:color w:val="auto"/>
        </w:rPr>
      </w:pPr>
      <w:r>
        <w:rPr>
          <w:rFonts w:ascii="Calibri" w:cs="Calibri" w:eastAsia="Calibri" w:hAnsi="Calibri"/>
          <w:sz w:val="17"/>
          <w:szCs w:val="17"/>
          <w:color w:val="auto"/>
        </w:rPr>
        <w:t>Our policy requires each director and executve ofcer to complete an annual questonnaire to identfy his or her related interests and persons, and to notfy the Company of changes in that informaton. Based on that informaton, the Company maintains a master list of related persons for purposes of tracking and reportng related person transactons.</w:t>
      </w:r>
    </w:p>
    <w:p>
      <w:pPr>
        <w:spacing w:after="0" w:line="108" w:lineRule="exact"/>
        <w:rPr>
          <w:sz w:val="20"/>
          <w:szCs w:val="20"/>
          <w:color w:val="auto"/>
        </w:rPr>
      </w:pPr>
    </w:p>
    <w:p>
      <w:pPr>
        <w:spacing w:after="0" w:line="256" w:lineRule="auto"/>
        <w:rPr>
          <w:sz w:val="20"/>
          <w:szCs w:val="20"/>
          <w:color w:val="auto"/>
        </w:rPr>
      </w:pPr>
      <w:r>
        <w:rPr>
          <w:rFonts w:ascii="Calibri" w:cs="Calibri" w:eastAsia="Calibri" w:hAnsi="Calibri"/>
          <w:sz w:val="17"/>
          <w:szCs w:val="17"/>
          <w:color w:val="auto"/>
        </w:rPr>
        <w:t>Although it is the policy that all related person transactons be pre-approved, the Governance Commitee has the authority to ratfy a transacton if identfed afer it has occurred or commenced using the same standards of review. The Governance Commitee has also pre-approved certain categories of transactons or relatonships as set forth in the policy. If the Governance Commitee declines to approve or ratfy a transacton, the related person transacton is referred to management to make a recommendaton to the Governance Commitee concerning whether the transacton should be terminated or amended in a manner that is acceptable to the Governance Commitee.</w:t>
      </w:r>
    </w:p>
    <w:p>
      <w:pPr>
        <w:spacing w:after="0" w:line="99" w:lineRule="exact"/>
        <w:rPr>
          <w:sz w:val="20"/>
          <w:szCs w:val="20"/>
          <w:color w:val="auto"/>
        </w:rPr>
      </w:pPr>
    </w:p>
    <w:p>
      <w:pPr>
        <w:ind w:right="780"/>
        <w:spacing w:after="0" w:line="296" w:lineRule="auto"/>
        <w:rPr>
          <w:sz w:val="20"/>
          <w:szCs w:val="20"/>
          <w:color w:val="auto"/>
        </w:rPr>
      </w:pPr>
      <w:r>
        <w:rPr>
          <w:rFonts w:ascii="Arial" w:cs="Arial" w:eastAsia="Arial" w:hAnsi="Arial"/>
          <w:sz w:val="25"/>
          <w:szCs w:val="25"/>
          <w:color w:val="818EB4"/>
        </w:rPr>
        <w:t>Certain Relationships and Related Person Transactions of Directors, Executive Officers and 5 Percent Stockholders</w:t>
      </w:r>
    </w:p>
    <w:p>
      <w:pPr>
        <w:spacing w:after="0" w:line="15" w:lineRule="exact"/>
        <w:rPr>
          <w:sz w:val="20"/>
          <w:szCs w:val="20"/>
          <w:color w:val="auto"/>
        </w:rPr>
      </w:pPr>
    </w:p>
    <w:p>
      <w:pPr>
        <w:ind w:right="80"/>
        <w:spacing w:after="0" w:line="257" w:lineRule="auto"/>
        <w:rPr>
          <w:sz w:val="20"/>
          <w:szCs w:val="20"/>
          <w:color w:val="auto"/>
        </w:rPr>
      </w:pPr>
      <w:r>
        <w:rPr>
          <w:rFonts w:ascii="Calibri" w:cs="Calibri" w:eastAsia="Calibri" w:hAnsi="Calibri"/>
          <w:sz w:val="17"/>
          <w:szCs w:val="17"/>
          <w:color w:val="auto"/>
        </w:rPr>
        <w:t>The following transactons or relatonships are considered to be “related person” transactons under our corporate policy and applicable SEC regulatons and NYSE listng standards. We currently employ approximately 116,000 employees and have an actve recruitment program for solicitng job applicatons from qualifed candidates. We seek to hire the most qualifed candidates and consequently do not preclude the employment of family members of current directors or executve ofcers. The following non-executve Lockheed Martn employees are related to directors, executve ofcers or former executve ofcers: (i) Scot A. Cahill, the son of Timothy S. Cahill, Executve Vice President, Missiles and Fire Control, is employed as a sofware engineer (2022 salary of $127,807 and annual cash incentve award of $6,187; 2023 base salary of $135,978); (ii) William J. Drennen, III, the brother-in-law of our former chief accountng ofcer, is employed as a senior staf systems engineer (2022 salary of $185,013 and annual cash incentve award of $13,731; 2023 base salary of $187,899); and (iii) Dr. Scot Carlson, the son of Bruce Carlson, is employed as a senior staf aeronautcal engineer (2022 salary of $170,645 and annual cash incentve award of $19,554; 2023 base salary of $169,647). They each may be eligible to earn an incentve award for 2023 applicable to employees at their level and may partcipate in other employee beneft plans and arrangements that generally are made available to other employees at the same level (including health, welfare, vacaton and retrement plans). Their respectve compensaton was established in accordance with the Company’s employment and compensaton practces applicable to employees with equivalent qualifcatons, experience, and responsibilites and the Board and executve ofcers of the Company did not have any direct involvement in setng their individual compensaton.</w:t>
      </w:r>
    </w:p>
    <w:p>
      <w:pPr>
        <w:spacing w:after="0" w:line="108" w:lineRule="exact"/>
        <w:rPr>
          <w:sz w:val="20"/>
          <w:szCs w:val="20"/>
          <w:color w:val="auto"/>
        </w:rPr>
      </w:pPr>
    </w:p>
    <w:p>
      <w:pPr>
        <w:ind w:right="20"/>
        <w:spacing w:after="0" w:line="255" w:lineRule="auto"/>
        <w:rPr>
          <w:sz w:val="20"/>
          <w:szCs w:val="20"/>
          <w:color w:val="auto"/>
        </w:rPr>
      </w:pPr>
      <w:r>
        <w:rPr>
          <w:rFonts w:ascii="Calibri" w:cs="Calibri" w:eastAsia="Calibri" w:hAnsi="Calibri"/>
          <w:sz w:val="17"/>
          <w:szCs w:val="17"/>
          <w:color w:val="auto"/>
        </w:rPr>
        <w:t>From tme to tme, the Company has purchased services in the ordinary course of business from fnancial insttutons that benefcially own fve percent or more of our common stock. In 2022, the Company paid approximately $4,553,407 to State Street Company and its afliates (including State Street Bank and Trust Company) (collectvely, State Street) for investment management, custodial, beneft plan administraton and credit facility fees; approximately $443,466 to The Vanguard Group, Inc. for investment management fees; and approximately $216,173 to BlackRock, Inc. and its afliates for investment management fees. A porton of the fees included in the amounts paid to State Street, The Vanguard Group and BlackRock, Inc. are estmated based on a percentage of net asset value under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334645</wp:posOffset>
            </wp:positionV>
            <wp:extent cx="1071880" cy="1797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36" w:name="page37"/>
    <w:bookmarkEnd w:id="36"/>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Accountability to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818EB4"/>
        </w:rPr>
        <w:t>Director Stock Ownership Guidelines</w:t>
      </w:r>
    </w:p>
    <w:p>
      <w:pPr>
        <w:spacing w:after="0" w:line="126" w:lineRule="exact"/>
        <w:rPr>
          <w:sz w:val="20"/>
          <w:szCs w:val="20"/>
          <w:color w:val="auto"/>
        </w:rPr>
      </w:pPr>
    </w:p>
    <w:p>
      <w:pPr>
        <w:ind w:right="20"/>
        <w:spacing w:after="0" w:line="253" w:lineRule="auto"/>
        <w:rPr>
          <w:sz w:val="20"/>
          <w:szCs w:val="20"/>
          <w:color w:val="auto"/>
        </w:rPr>
      </w:pPr>
      <w:r>
        <w:rPr>
          <w:rFonts w:ascii="Calibri" w:cs="Calibri" w:eastAsia="Calibri" w:hAnsi="Calibri"/>
          <w:sz w:val="17"/>
          <w:szCs w:val="17"/>
          <w:color w:val="auto"/>
        </w:rPr>
        <w:t>To align their interests with the long-term interests of our stockholders, non-employee directors have fve years from the tme they join the Board to achieve stock ownership levels (common stock or stock units) equivalent to fve tmes the annual cash retainer. As of December 31, 2022, each non-employee director met the stock ownership guidelines or is on track to tmely satsfy them. Mr. Taiclet, as CEO, is subject to the stock ownership requirements described in “Stock Ownership Requirements for Key Employees” on page 55.</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color w:val="818EB4"/>
        </w:rPr>
        <w:t>Majority Voting Policy for Director Elections</w:t>
      </w:r>
    </w:p>
    <w:p>
      <w:pPr>
        <w:spacing w:after="0" w:line="126" w:lineRule="exact"/>
        <w:rPr>
          <w:sz w:val="20"/>
          <w:szCs w:val="20"/>
          <w:color w:val="auto"/>
        </w:rPr>
      </w:pPr>
    </w:p>
    <w:p>
      <w:pPr>
        <w:ind w:right="160"/>
        <w:spacing w:after="0" w:line="261" w:lineRule="auto"/>
        <w:rPr>
          <w:sz w:val="20"/>
          <w:szCs w:val="20"/>
          <w:color w:val="auto"/>
        </w:rPr>
      </w:pPr>
      <w:r>
        <w:rPr>
          <w:rFonts w:ascii="Calibri" w:cs="Calibri" w:eastAsia="Calibri" w:hAnsi="Calibri"/>
          <w:sz w:val="17"/>
          <w:szCs w:val="17"/>
          <w:color w:val="auto"/>
        </w:rPr>
        <w:t>The Company’s Charter and Bylaws provide for simple majority votng. Pursuant to the Governance Guidelines, in any uncontested electon of directors, any incumbent director who receives more votes “AGAINST” than votes “FOR” is required to ofer his or her resignaton for Board consideraton.</w:t>
      </w:r>
    </w:p>
    <w:p>
      <w:pPr>
        <w:spacing w:after="0" w:line="102" w:lineRule="exact"/>
        <w:rPr>
          <w:sz w:val="20"/>
          <w:szCs w:val="20"/>
          <w:color w:val="auto"/>
        </w:rPr>
      </w:pPr>
    </w:p>
    <w:p>
      <w:pPr>
        <w:jc w:val="both"/>
        <w:ind w:right="140"/>
        <w:spacing w:after="0" w:line="255" w:lineRule="auto"/>
        <w:rPr>
          <w:sz w:val="20"/>
          <w:szCs w:val="20"/>
          <w:color w:val="auto"/>
        </w:rPr>
      </w:pPr>
      <w:r>
        <w:rPr>
          <w:rFonts w:ascii="Calibri" w:cs="Calibri" w:eastAsia="Calibri" w:hAnsi="Calibri"/>
          <w:sz w:val="17"/>
          <w:szCs w:val="17"/>
          <w:color w:val="auto"/>
        </w:rPr>
        <w:t>The Board will act on a tendered resignaton within 90 days following certfcaton of the stockholder vote for the annual meetng and will promptly disclose its decision and ratonale as to whether to accept the resignaton (or the reasons for rejectng the resignaton, if applicable) in a press release, in a fling with the SEC, or by other public announcement, including a postng on the Company’s website.</w:t>
      </w:r>
    </w:p>
    <w:p>
      <w:pPr>
        <w:spacing w:after="0" w:line="108" w:lineRule="exact"/>
        <w:rPr>
          <w:sz w:val="20"/>
          <w:szCs w:val="20"/>
          <w:color w:val="auto"/>
        </w:rPr>
      </w:pPr>
    </w:p>
    <w:p>
      <w:pPr>
        <w:ind w:right="40"/>
        <w:spacing w:after="0" w:line="255" w:lineRule="auto"/>
        <w:rPr>
          <w:sz w:val="20"/>
          <w:szCs w:val="20"/>
          <w:color w:val="auto"/>
        </w:rPr>
      </w:pPr>
      <w:r>
        <w:rPr>
          <w:rFonts w:ascii="Calibri" w:cs="Calibri" w:eastAsia="Calibri" w:hAnsi="Calibri"/>
          <w:sz w:val="17"/>
          <w:szCs w:val="17"/>
          <w:color w:val="auto"/>
        </w:rPr>
        <w:t>If a director’s resignaton is accepted by the Board, or if a nominee for director who is not an incumbent director is not elected, the Board may fll the resultng vacancy or may decrease the size of the Board pursuant to the Company’s Bylaws. The Board may not fll any vacancy so created with a director who was nominated but not elected at the annual meetng by the vote required under the Company’s Bylaws.</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818EB4"/>
        </w:rPr>
        <w:t>Stockholder Right to Amend Bylaws</w:t>
      </w:r>
    </w:p>
    <w:p>
      <w:pPr>
        <w:spacing w:after="0" w:line="126" w:lineRule="exact"/>
        <w:rPr>
          <w:sz w:val="20"/>
          <w:szCs w:val="20"/>
          <w:color w:val="auto"/>
        </w:rPr>
      </w:pPr>
    </w:p>
    <w:p>
      <w:pPr>
        <w:jc w:val="both"/>
        <w:ind w:right="120"/>
        <w:spacing w:after="0" w:line="255" w:lineRule="auto"/>
        <w:rPr>
          <w:sz w:val="20"/>
          <w:szCs w:val="20"/>
          <w:color w:val="auto"/>
        </w:rPr>
      </w:pPr>
      <w:r>
        <w:rPr>
          <w:rFonts w:ascii="Calibri" w:cs="Calibri" w:eastAsia="Calibri" w:hAnsi="Calibri"/>
          <w:sz w:val="17"/>
          <w:szCs w:val="17"/>
          <w:color w:val="auto"/>
        </w:rPr>
        <w:t xml:space="preserve">Our Bylaws provide the Company’s stockholders the right to amend the Bylaws by the vote of a majority of the votes enttled to be cast. The authority of the stockholders and the Board to amend the Bylaws is subject to the provisions of the Company’s Charter and applicable statutes. Our Bylaws can be found on the Company’s website at </w:t>
      </w:r>
      <w:r>
        <w:rPr>
          <w:rFonts w:ascii="Calibri" w:cs="Calibri" w:eastAsia="Calibri" w:hAnsi="Calibri"/>
          <w:sz w:val="17"/>
          <w:szCs w:val="17"/>
          <w:i w:val="1"/>
          <w:iCs w:val="1"/>
          <w:color w:val="auto"/>
        </w:rPr>
        <w:t>www.lockheedmartn.com/corporate-governance</w:t>
      </w:r>
      <w:r>
        <w:rPr>
          <w:rFonts w:ascii="Calibri" w:cs="Calibri" w:eastAsia="Calibri" w:hAnsi="Calibri"/>
          <w:sz w:val="17"/>
          <w:szCs w:val="17"/>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818EB4"/>
        </w:rPr>
        <w:t>Proxy Access</w:t>
      </w:r>
    </w:p>
    <w:p>
      <w:pPr>
        <w:spacing w:after="0" w:line="126" w:lineRule="exact"/>
        <w:rPr>
          <w:sz w:val="20"/>
          <w:szCs w:val="20"/>
          <w:color w:val="auto"/>
        </w:rPr>
      </w:pPr>
    </w:p>
    <w:p>
      <w:pPr>
        <w:ind w:right="60"/>
        <w:spacing w:after="0" w:line="255" w:lineRule="auto"/>
        <w:rPr>
          <w:sz w:val="20"/>
          <w:szCs w:val="20"/>
          <w:color w:val="auto"/>
        </w:rPr>
      </w:pPr>
      <w:r>
        <w:rPr>
          <w:rFonts w:ascii="Calibri" w:cs="Calibri" w:eastAsia="Calibri" w:hAnsi="Calibri"/>
          <w:sz w:val="17"/>
          <w:szCs w:val="17"/>
          <w:color w:val="auto"/>
        </w:rPr>
        <w:t>Our Bylaws permit a stockholder or a group of up to 20 stockholders who together have owned at least three percent of the Company’s outstanding common stock contnuously for three years to nominate for electon by the Company’s stockholders and include in the Company’s proxy solicitaton materials for its annual meetng up to the greater of two directors or 20 percent of the number of directors in ofce at the tme of the proxy access deadline described on page 96.</w:t>
      </w: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color w:val="818EB4"/>
        </w:rPr>
        <w:t>Stockholder Right to Call Special Meeting</w:t>
      </w:r>
    </w:p>
    <w:p>
      <w:pPr>
        <w:spacing w:after="0" w:line="126" w:lineRule="exact"/>
        <w:rPr>
          <w:sz w:val="20"/>
          <w:szCs w:val="20"/>
          <w:color w:val="auto"/>
        </w:rPr>
      </w:pPr>
    </w:p>
    <w:p>
      <w:pPr>
        <w:jc w:val="both"/>
        <w:ind w:right="40"/>
        <w:spacing w:after="0" w:line="256" w:lineRule="auto"/>
        <w:rPr>
          <w:sz w:val="20"/>
          <w:szCs w:val="20"/>
          <w:color w:val="auto"/>
        </w:rPr>
      </w:pPr>
      <w:r>
        <w:rPr>
          <w:rFonts w:ascii="Calibri" w:cs="Calibri" w:eastAsia="Calibri" w:hAnsi="Calibri"/>
          <w:sz w:val="17"/>
          <w:szCs w:val="17"/>
          <w:color w:val="auto"/>
        </w:rPr>
        <w:t>Any stockholder who individually owns 10 percent, or stockholders who in the aggregate own 25 percent, of the outstanding common stock may demand the calling of a special meetng to consider any business properly brought before the stockholders. Our Bylaws do not restrict the tming of a request for a special meetng. The only subject mater restricton is that the Company is not required to call a special meetng to consider a mater that is substantally the same as a mater voted on at a special meetng within the preceding 12 months unless requested by stockholders enttled to cast a majority of the votes at the special meetng.</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18EB4"/>
        </w:rPr>
        <w:t>No Poison Pill</w:t>
      </w:r>
    </w:p>
    <w:p>
      <w:pPr>
        <w:spacing w:after="0" w:line="140" w:lineRule="exact"/>
        <w:rPr>
          <w:sz w:val="20"/>
          <w:szCs w:val="20"/>
          <w:color w:val="auto"/>
        </w:rPr>
      </w:pPr>
    </w:p>
    <w:p>
      <w:pPr>
        <w:ind w:right="60"/>
        <w:spacing w:after="0" w:line="255" w:lineRule="auto"/>
        <w:rPr>
          <w:sz w:val="20"/>
          <w:szCs w:val="20"/>
          <w:color w:val="auto"/>
        </w:rPr>
      </w:pPr>
      <w:r>
        <w:rPr>
          <w:rFonts w:ascii="Calibri" w:cs="Calibri" w:eastAsia="Calibri" w:hAnsi="Calibri"/>
          <w:sz w:val="17"/>
          <w:szCs w:val="17"/>
          <w:color w:val="auto"/>
        </w:rPr>
        <w:t>The Company does not have a stockholder rights plan, otherwise known as a “poison pill.” Through our Governance Guidelines, the Board has communicated that it has no intenton of adoptng one at this tme and, if it were to consider adopton of a full or limited stockholder rights plan, the Board would seek stockholder ratfcaton within 12 months of the date of adopton.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3"/>
          <w:szCs w:val="43"/>
          <w:color w:val="003478"/>
        </w:rPr>
        <w:t>Environmental, Social and Governance (ESG)</w:t>
      </w:r>
    </w:p>
    <w:p>
      <w:pPr>
        <w:spacing w:after="0" w:line="249" w:lineRule="exact"/>
        <w:rPr>
          <w:sz w:val="20"/>
          <w:szCs w:val="20"/>
          <w:color w:val="auto"/>
        </w:rPr>
      </w:pPr>
    </w:p>
    <w:p>
      <w:pPr>
        <w:ind w:right="100"/>
        <w:spacing w:after="0" w:line="258" w:lineRule="auto"/>
        <w:rPr>
          <w:sz w:val="20"/>
          <w:szCs w:val="20"/>
          <w:color w:val="auto"/>
        </w:rPr>
      </w:pPr>
      <w:r>
        <w:rPr>
          <w:rFonts w:ascii="Calibri" w:cs="Calibri" w:eastAsia="Calibri" w:hAnsi="Calibri"/>
          <w:sz w:val="17"/>
          <w:szCs w:val="17"/>
          <w:color w:val="auto"/>
        </w:rPr>
        <w:t>Lockheed Martn has a longstanding commitment to good corporate citzenship, which is embodied in our Code of Conduct and our core values—</w:t>
      </w:r>
      <w:r>
        <w:rPr>
          <w:rFonts w:ascii="Calibri" w:cs="Calibri" w:eastAsia="Calibri" w:hAnsi="Calibri"/>
          <w:sz w:val="17"/>
          <w:szCs w:val="17"/>
          <w:i w:val="1"/>
          <w:iCs w:val="1"/>
          <w:color w:val="auto"/>
        </w:rPr>
        <w:t>Do What’s</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Right, Respect Others, and Perform with Excellence</w:t>
      </w:r>
      <w:r>
        <w:rPr>
          <w:rFonts w:ascii="Calibri" w:cs="Calibri" w:eastAsia="Calibri" w:hAnsi="Calibri"/>
          <w:sz w:val="17"/>
          <w:szCs w:val="17"/>
          <w:color w:val="auto"/>
        </w:rPr>
        <w:t>. The Board recognizes the importance of ESG topics to some of our stockholders and contnues to seek</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stockholder input on a range of ESG issues and practces in furtherance of enhancing long-term stockholder value. See “Our Stockholder Engagement Program” on page 24 for more informaton. This secton summarizes Lockheed Martn’s approach to key topics that are of importance to our Company and that we understand from outreach are important to some of our stockholders. For further informaton on Lockheed Martn’s approach to governance, see “Corporate Governance” startng on page 17.</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color w:val="003478"/>
        </w:rPr>
        <w:t>Sustainability Program</w:t>
      </w:r>
    </w:p>
    <w:p>
      <w:pPr>
        <w:spacing w:after="0" w:line="144" w:lineRule="exact"/>
        <w:rPr>
          <w:sz w:val="20"/>
          <w:szCs w:val="20"/>
          <w:color w:val="auto"/>
        </w:rPr>
      </w:pPr>
    </w:p>
    <w:p>
      <w:pPr>
        <w:ind w:right="100"/>
        <w:spacing w:after="0" w:line="253" w:lineRule="auto"/>
        <w:rPr>
          <w:sz w:val="20"/>
          <w:szCs w:val="20"/>
          <w:color w:val="auto"/>
        </w:rPr>
      </w:pPr>
      <w:r>
        <w:rPr>
          <w:rFonts w:ascii="Calibri" w:cs="Calibri" w:eastAsia="Calibri" w:hAnsi="Calibri"/>
          <w:sz w:val="17"/>
          <w:szCs w:val="17"/>
          <w:color w:val="auto"/>
        </w:rPr>
        <w:t>Lockheed Martn’s sustainability program is built around fostering innovaton, integrity and security across our platorms and services. We strengthen communites, steward the environment and grow responsibly. We integrate sustainability throughout our business strategy, including in operatons and product and service innovatons. Our 2025 Sustainability Management Plan (SMP) provides the framework for this integraton, and our eforts are guided by our corporate sustainability policy with strong oversight by our Board.</w:t>
      </w:r>
    </w:p>
    <w:p>
      <w:pPr>
        <w:spacing w:after="0" w:line="115" w:lineRule="exact"/>
        <w:rPr>
          <w:sz w:val="20"/>
          <w:szCs w:val="20"/>
          <w:color w:val="auto"/>
        </w:rPr>
      </w:pPr>
    </w:p>
    <w:p>
      <w:pPr>
        <w:spacing w:after="0"/>
        <w:rPr>
          <w:sz w:val="20"/>
          <w:szCs w:val="20"/>
          <w:color w:val="auto"/>
        </w:rPr>
      </w:pPr>
      <w:r>
        <w:rPr>
          <w:rFonts w:ascii="Arial" w:cs="Arial" w:eastAsia="Arial" w:hAnsi="Arial"/>
          <w:sz w:val="25"/>
          <w:szCs w:val="25"/>
          <w:color w:val="818EB4"/>
        </w:rPr>
        <w:t>Sustainability Governance Structure</w:t>
      </w:r>
    </w:p>
    <w:p>
      <w:pPr>
        <w:spacing w:after="0" w:line="126" w:lineRule="exact"/>
        <w:rPr>
          <w:sz w:val="20"/>
          <w:szCs w:val="20"/>
          <w:color w:val="auto"/>
        </w:rPr>
      </w:pPr>
    </w:p>
    <w:p>
      <w:pPr>
        <w:ind w:right="280"/>
        <w:spacing w:after="0" w:line="255" w:lineRule="auto"/>
        <w:rPr>
          <w:sz w:val="20"/>
          <w:szCs w:val="20"/>
          <w:color w:val="auto"/>
        </w:rPr>
      </w:pPr>
      <w:r>
        <w:rPr>
          <w:rFonts w:ascii="Calibri" w:cs="Calibri" w:eastAsia="Calibri" w:hAnsi="Calibri"/>
          <w:sz w:val="17"/>
          <w:szCs w:val="17"/>
          <w:color w:val="auto"/>
        </w:rPr>
        <w:t>We take an integrated approach to managing corporate culture, ethics and business integrity, governance, and sustainability issues through a risk management lens. Our formal sustainability governance structure is depicted below and its elements are collectvely responsible for guiding and implementng our SMP. In 2022, we formally designated the Risk and Compliance Commitee (RCC) as the vice president level commitee with specifc responsibilites for oversight of elements of our sustainability initatves, further enhancing the integraton of our sustainability and risk management programs. See “Enterprise Risk Management” on page 23 for more informaton on the RCC and enterprise risk management generally. The Governance Commitee is responsible for ultmate oversight of our sustainability program, including regular reviews of performance against the SMP. The Governance Commitee also approves the Company’s Code of Conduct and reviews our annual sustainability reportng and our topical reportng such as the 2021 and 2022 Human Rights Reports and the Climate Lobbying Report, which are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25114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2511425"/>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003478"/>
        </w:rPr>
        <w:t>Board of Directors</w:t>
      </w:r>
    </w:p>
    <w:p>
      <w:pPr>
        <w:spacing w:after="0" w:line="341" w:lineRule="exact"/>
        <w:rPr>
          <w:sz w:val="20"/>
          <w:szCs w:val="20"/>
          <w:color w:val="auto"/>
        </w:rPr>
      </w:pPr>
    </w:p>
    <w:p>
      <w:pPr>
        <w:ind w:left="100"/>
        <w:spacing w:after="0"/>
        <w:rPr>
          <w:sz w:val="20"/>
          <w:szCs w:val="20"/>
          <w:color w:val="auto"/>
        </w:rPr>
      </w:pPr>
      <w:r>
        <w:rPr>
          <w:rFonts w:ascii="Calibri" w:cs="Calibri" w:eastAsia="Calibri" w:hAnsi="Calibri"/>
          <w:sz w:val="14"/>
          <w:szCs w:val="14"/>
          <w:color w:val="00497F"/>
        </w:rPr>
        <w:t>Chairman, President and CEO</w:t>
      </w:r>
    </w:p>
    <w:p>
      <w:pPr>
        <w:spacing w:after="0" w:line="114" w:lineRule="exact"/>
        <w:rPr>
          <w:sz w:val="20"/>
          <w:szCs w:val="20"/>
          <w:color w:val="auto"/>
        </w:rPr>
      </w:pPr>
    </w:p>
    <w:p>
      <w:pPr>
        <w:ind w:left="100" w:right="240"/>
        <w:spacing w:after="0" w:line="245" w:lineRule="auto"/>
        <w:rPr>
          <w:sz w:val="20"/>
          <w:szCs w:val="20"/>
          <w:color w:val="auto"/>
        </w:rPr>
      </w:pPr>
      <w:r>
        <w:rPr>
          <w:rFonts w:ascii="Calibri" w:cs="Calibri" w:eastAsia="Calibri" w:hAnsi="Calibri"/>
          <w:sz w:val="14"/>
          <w:szCs w:val="14"/>
          <w:color w:val="auto"/>
        </w:rPr>
        <w:t>Nominatng and Corporate Governance Commitee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line="242" w:lineRule="auto"/>
        <w:rPr>
          <w:sz w:val="20"/>
          <w:szCs w:val="20"/>
          <w:color w:val="auto"/>
        </w:rPr>
      </w:pPr>
      <w:r>
        <w:rPr>
          <w:rFonts w:ascii="Calibri" w:cs="Calibri" w:eastAsia="Calibri" w:hAnsi="Calibri"/>
          <w:sz w:val="14"/>
          <w:szCs w:val="14"/>
          <w:color w:val="003478"/>
        </w:rPr>
        <w:t>Monitors the Company’s adherence to our Code of Ethics and Business Conduct and oversees performance in corporate sustainability, employee safety and health, ethical business practces and diversity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389890</wp:posOffset>
            </wp:positionV>
            <wp:extent cx="1071880"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860"/>
        <w:spacing w:after="0" w:line="296" w:lineRule="auto"/>
        <w:rPr>
          <w:sz w:val="20"/>
          <w:szCs w:val="20"/>
          <w:color w:val="auto"/>
        </w:rPr>
      </w:pPr>
      <w:r>
        <w:rPr>
          <w:rFonts w:ascii="Arial" w:cs="Arial" w:eastAsia="Arial" w:hAnsi="Arial"/>
          <w:sz w:val="21"/>
          <w:szCs w:val="21"/>
          <w:color w:val="003478"/>
        </w:rPr>
        <w:t>Executive Leadership Team</w:t>
      </w:r>
    </w:p>
    <w:p>
      <w:pPr>
        <w:spacing w:after="0" w:line="9" w:lineRule="exact"/>
        <w:rPr>
          <w:sz w:val="20"/>
          <w:szCs w:val="20"/>
          <w:color w:val="auto"/>
        </w:rPr>
      </w:pPr>
    </w:p>
    <w:p>
      <w:pPr>
        <w:spacing w:after="0"/>
        <w:rPr>
          <w:sz w:val="20"/>
          <w:szCs w:val="20"/>
          <w:color w:val="auto"/>
        </w:rPr>
      </w:pPr>
      <w:r>
        <w:rPr>
          <w:rFonts w:ascii="Calibri" w:cs="Calibri" w:eastAsia="Calibri" w:hAnsi="Calibri"/>
          <w:sz w:val="14"/>
          <w:szCs w:val="14"/>
          <w:color w:val="00497F"/>
        </w:rPr>
        <w:t>Chairman, President and CEO</w:t>
      </w:r>
    </w:p>
    <w:p>
      <w:pPr>
        <w:spacing w:after="0" w:line="248" w:lineRule="exact"/>
        <w:rPr>
          <w:sz w:val="20"/>
          <w:szCs w:val="20"/>
          <w:color w:val="auto"/>
        </w:rPr>
      </w:pPr>
    </w:p>
    <w:p>
      <w:pPr>
        <w:spacing w:after="0"/>
        <w:rPr>
          <w:sz w:val="20"/>
          <w:szCs w:val="20"/>
          <w:color w:val="auto"/>
        </w:rPr>
      </w:pPr>
      <w:r>
        <w:rPr>
          <w:rFonts w:ascii="Calibri" w:cs="Calibri" w:eastAsia="Calibri" w:hAnsi="Calibri"/>
          <w:sz w:val="14"/>
          <w:szCs w:val="14"/>
          <w:color w:val="auto"/>
        </w:rPr>
        <w:t>Chief Operatng Ofcer</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Chief Financial Ofcer</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SVP Business Functons</w:t>
      </w:r>
    </w:p>
    <w:p>
      <w:pPr>
        <w:spacing w:after="0" w:line="227" w:lineRule="auto"/>
        <w:rPr>
          <w:sz w:val="20"/>
          <w:szCs w:val="20"/>
          <w:color w:val="auto"/>
        </w:rPr>
      </w:pPr>
      <w:r>
        <w:rPr>
          <w:rFonts w:ascii="Calibri" w:cs="Calibri" w:eastAsia="Calibri" w:hAnsi="Calibri"/>
          <w:sz w:val="14"/>
          <w:szCs w:val="14"/>
          <w:color w:val="auto"/>
        </w:rPr>
        <w:t>Executve VPs Business Segments</w:t>
      </w:r>
    </w:p>
    <w:p>
      <w:pPr>
        <w:spacing w:after="0" w:line="222" w:lineRule="exact"/>
        <w:rPr>
          <w:sz w:val="20"/>
          <w:szCs w:val="20"/>
          <w:color w:val="auto"/>
        </w:rPr>
      </w:pPr>
    </w:p>
    <w:p>
      <w:pPr>
        <w:spacing w:after="0" w:line="241" w:lineRule="auto"/>
        <w:rPr>
          <w:sz w:val="20"/>
          <w:szCs w:val="20"/>
          <w:color w:val="auto"/>
        </w:rPr>
      </w:pPr>
      <w:r>
        <w:rPr>
          <w:rFonts w:ascii="Calibri" w:cs="Calibri" w:eastAsia="Calibri" w:hAnsi="Calibri"/>
          <w:sz w:val="14"/>
          <w:szCs w:val="14"/>
          <w:color w:val="003478"/>
        </w:rPr>
        <w:t>Oversees the sustainability program and enables business segment and functons to pursue and implement opportunites and practces that support the sustainability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80"/>
        <w:spacing w:after="0" w:line="302" w:lineRule="auto"/>
        <w:rPr>
          <w:sz w:val="20"/>
          <w:szCs w:val="20"/>
          <w:color w:val="auto"/>
        </w:rPr>
      </w:pPr>
      <w:r>
        <w:rPr>
          <w:rFonts w:ascii="Arial" w:cs="Arial" w:eastAsia="Arial" w:hAnsi="Arial"/>
          <w:sz w:val="21"/>
          <w:szCs w:val="21"/>
          <w:b w:val="1"/>
          <w:bCs w:val="1"/>
          <w:color w:val="003478"/>
        </w:rPr>
        <w:t>Risk and Compliance Committee</w:t>
      </w:r>
    </w:p>
    <w:p>
      <w:pPr>
        <w:ind w:right="180"/>
        <w:spacing w:after="0" w:line="245" w:lineRule="auto"/>
        <w:rPr>
          <w:sz w:val="20"/>
          <w:szCs w:val="20"/>
          <w:color w:val="auto"/>
        </w:rPr>
      </w:pPr>
      <w:r>
        <w:rPr>
          <w:rFonts w:ascii="Calibri" w:cs="Calibri" w:eastAsia="Calibri" w:hAnsi="Calibri"/>
          <w:sz w:val="14"/>
          <w:szCs w:val="14"/>
          <w:color w:val="003478"/>
        </w:rPr>
        <w:t>Chair: Senior Vice President, Ethics and Enterprise Assurance</w:t>
      </w:r>
    </w:p>
    <w:p>
      <w:pPr>
        <w:spacing w:after="0" w:line="245" w:lineRule="exact"/>
        <w:rPr>
          <w:sz w:val="20"/>
          <w:szCs w:val="20"/>
          <w:color w:val="auto"/>
        </w:rPr>
      </w:pPr>
    </w:p>
    <w:p>
      <w:pPr>
        <w:ind w:right="100"/>
        <w:spacing w:after="0" w:line="245" w:lineRule="auto"/>
        <w:rPr>
          <w:sz w:val="20"/>
          <w:szCs w:val="20"/>
          <w:color w:val="auto"/>
        </w:rPr>
      </w:pPr>
      <w:r>
        <w:rPr>
          <w:rFonts w:ascii="Calibri" w:cs="Calibri" w:eastAsia="Calibri" w:hAnsi="Calibri"/>
          <w:sz w:val="14"/>
          <w:szCs w:val="14"/>
          <w:color w:val="auto"/>
        </w:rPr>
        <w:t>Vice Presidents of business segment and corporate functons</w:t>
      </w:r>
    </w:p>
    <w:p>
      <w:pPr>
        <w:spacing w:after="0" w:line="380" w:lineRule="exact"/>
        <w:rPr>
          <w:sz w:val="20"/>
          <w:szCs w:val="20"/>
          <w:color w:val="auto"/>
        </w:rPr>
      </w:pPr>
    </w:p>
    <w:p>
      <w:pPr>
        <w:spacing w:after="0" w:line="242" w:lineRule="auto"/>
        <w:rPr>
          <w:sz w:val="20"/>
          <w:szCs w:val="20"/>
          <w:color w:val="auto"/>
        </w:rPr>
      </w:pPr>
      <w:r>
        <w:rPr>
          <w:rFonts w:ascii="Calibri" w:cs="Calibri" w:eastAsia="Calibri" w:hAnsi="Calibri"/>
          <w:sz w:val="14"/>
          <w:szCs w:val="14"/>
          <w:color w:val="003478"/>
        </w:rPr>
        <w:t>Oversees enterprise risk management to inform Executve Leadership Team and the Board on risk management eforts and provides a forum to review and guide enterprise sustainability initatves and provide input on SMP executon.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80"/>
        <w:spacing w:after="0" w:line="302" w:lineRule="auto"/>
        <w:rPr>
          <w:sz w:val="20"/>
          <w:szCs w:val="20"/>
          <w:color w:val="auto"/>
        </w:rPr>
      </w:pPr>
      <w:r>
        <w:rPr>
          <w:rFonts w:ascii="Arial" w:cs="Arial" w:eastAsia="Arial" w:hAnsi="Arial"/>
          <w:sz w:val="21"/>
          <w:szCs w:val="21"/>
          <w:b w:val="1"/>
          <w:bCs w:val="1"/>
          <w:color w:val="003478"/>
        </w:rPr>
        <w:t>Sustainability Management Team</w:t>
      </w:r>
    </w:p>
    <w:p>
      <w:pPr>
        <w:spacing w:after="0"/>
        <w:rPr>
          <w:sz w:val="20"/>
          <w:szCs w:val="20"/>
          <w:color w:val="auto"/>
        </w:rPr>
      </w:pPr>
      <w:r>
        <w:rPr>
          <w:rFonts w:ascii="Calibri" w:cs="Calibri" w:eastAsia="Calibri" w:hAnsi="Calibri"/>
          <w:sz w:val="14"/>
          <w:szCs w:val="14"/>
          <w:color w:val="003478"/>
        </w:rPr>
        <w:t>Chair: Director of Sustainability</w:t>
      </w:r>
    </w:p>
    <w:p>
      <w:pPr>
        <w:spacing w:after="0" w:line="248" w:lineRule="exact"/>
        <w:rPr>
          <w:sz w:val="20"/>
          <w:szCs w:val="20"/>
          <w:color w:val="auto"/>
        </w:rPr>
      </w:pPr>
    </w:p>
    <w:p>
      <w:pPr>
        <w:spacing w:after="0" w:line="245" w:lineRule="auto"/>
        <w:rPr>
          <w:sz w:val="20"/>
          <w:szCs w:val="20"/>
          <w:color w:val="auto"/>
        </w:rPr>
      </w:pPr>
      <w:r>
        <w:rPr>
          <w:rFonts w:ascii="Calibri" w:cs="Calibri" w:eastAsia="Calibri" w:hAnsi="Calibri"/>
          <w:sz w:val="14"/>
          <w:szCs w:val="14"/>
          <w:color w:val="auto"/>
        </w:rPr>
        <w:t>Directors and Senior Managers responsible for functons related to specifc sustainability management plan goals</w:t>
      </w:r>
    </w:p>
    <w:p>
      <w:pPr>
        <w:spacing w:after="0" w:line="381" w:lineRule="exact"/>
        <w:rPr>
          <w:sz w:val="20"/>
          <w:szCs w:val="20"/>
          <w:color w:val="auto"/>
        </w:rPr>
      </w:pPr>
    </w:p>
    <w:p>
      <w:pPr>
        <w:ind w:right="40"/>
        <w:spacing w:after="0" w:line="245" w:lineRule="auto"/>
        <w:rPr>
          <w:sz w:val="20"/>
          <w:szCs w:val="20"/>
          <w:color w:val="auto"/>
        </w:rPr>
      </w:pPr>
      <w:r>
        <w:rPr>
          <w:rFonts w:ascii="Calibri" w:cs="Calibri" w:eastAsia="Calibri" w:hAnsi="Calibri"/>
          <w:sz w:val="14"/>
          <w:szCs w:val="14"/>
          <w:color w:val="003478"/>
        </w:rPr>
        <w:t>Reviews SMP progress and opportunites for program enhancement and shares internal and external insights and best practces.</w:t>
      </w:r>
    </w:p>
    <w:p>
      <w:pPr>
        <w:spacing w:after="0" w:line="710" w:lineRule="exact"/>
        <w:rPr>
          <w:sz w:val="20"/>
          <w:szCs w:val="20"/>
          <w:color w:val="auto"/>
        </w:rPr>
      </w:pPr>
    </w:p>
    <w:p>
      <w:pPr>
        <w:sectPr>
          <w:pgSz w:w="11900" w:h="16838" w:orient="portrait"/>
          <w:cols w:equalWidth="0" w:num="4">
            <w:col w:w="2640" w:space="320"/>
            <w:col w:w="2500" w:space="300"/>
            <w:col w:w="2460" w:space="340"/>
            <w:col w:w="2620"/>
          </w:cols>
          <w:pgMar w:left="320" w:top="230" w:right="39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Environmental, Social and Governance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818EB4"/>
        </w:rPr>
        <w:t>ESG Reporting</w:t>
      </w:r>
    </w:p>
    <w:p>
      <w:pPr>
        <w:spacing w:after="0" w:line="153" w:lineRule="exact"/>
        <w:rPr>
          <w:sz w:val="20"/>
          <w:szCs w:val="20"/>
          <w:color w:val="auto"/>
        </w:rPr>
      </w:pPr>
    </w:p>
    <w:p>
      <w:pPr>
        <w:ind w:left="20" w:right="2820"/>
        <w:spacing w:after="0" w:line="254" w:lineRule="auto"/>
        <w:rPr>
          <w:sz w:val="20"/>
          <w:szCs w:val="20"/>
          <w:color w:val="auto"/>
        </w:rPr>
      </w:pPr>
      <w:r>
        <w:rPr>
          <w:rFonts w:ascii="Calibri" w:cs="Calibri" w:eastAsia="Calibri" w:hAnsi="Calibri"/>
          <w:sz w:val="17"/>
          <w:szCs w:val="17"/>
          <w:color w:val="auto"/>
        </w:rPr>
        <w:t>Lockheed Martn has been recognized globally for our sustainability eforts and disclosures. We publish annual sustainability reportng which is prepared in accordance with the Global Reportng Initatve (GRI) Standards and undergoes third-party assurance. We also maintain a dedicated sustainability website and an ESG portal that serves as an online repository for our ESG-related disclosures, guidelines, policies and webpage links, including select GRI and Sustainability Accountng Standards Board (SASB) indicators. In 2020, we published our frst Climate-Related Risk and Opportunity Assessment report, aligned with the Task Force on Climate-Related Financial Disclosure (TCFD) recommendatons, and expect to publish an update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-898525</wp:posOffset>
            </wp:positionV>
            <wp:extent cx="1217295" cy="7886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17295" cy="78867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818EB4"/>
        </w:rPr>
        <w:t>Sustainability Management Plan</w:t>
      </w:r>
    </w:p>
    <w:p>
      <w:pPr>
        <w:spacing w:after="0" w:line="140" w:lineRule="exact"/>
        <w:rPr>
          <w:sz w:val="20"/>
          <w:szCs w:val="20"/>
          <w:color w:val="auto"/>
        </w:rPr>
      </w:pPr>
    </w:p>
    <w:p>
      <w:pPr>
        <w:spacing w:after="0" w:line="255" w:lineRule="auto"/>
        <w:rPr>
          <w:sz w:val="20"/>
          <w:szCs w:val="20"/>
          <w:color w:val="auto"/>
        </w:rPr>
      </w:pPr>
      <w:r>
        <w:rPr>
          <w:rFonts w:ascii="Calibri" w:cs="Calibri" w:eastAsia="Calibri" w:hAnsi="Calibri"/>
          <w:sz w:val="17"/>
          <w:szCs w:val="17"/>
          <w:color w:val="auto"/>
        </w:rPr>
        <w:t>Our 2025 SMP, developed through an extensive core issues assessment using stakeholder input and industry trends and released in 2020, defnes our sustainability goals and drives our progress toward them. As depicted below, the SMP is centered around four strategic priorites, each of which has subsidiary core issues. The 2025 SMP includes goals and key performance indicators (KPIs) established for each core issue that refect stakeholder feedback, internal and external trends, and the contnued evoluton of our business to create value well into the future. These metrics help focus our eforts in the areas that provide value to our stakeholders and our business. We comprehensively report our progress on the SMP goals in our annual sustainability report, which will be published in April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217170</wp:posOffset>
            </wp:positionV>
            <wp:extent cx="3351530" cy="3343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5153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818EB4"/>
        </w:rPr>
        <w:t>Climate &amp; Environmental Stewardship</w:t>
      </w:r>
    </w:p>
    <w:p>
      <w:pPr>
        <w:spacing w:after="0" w:line="111" w:lineRule="exact"/>
        <w:rPr>
          <w:sz w:val="20"/>
          <w:szCs w:val="20"/>
          <w:color w:val="auto"/>
        </w:rPr>
      </w:pPr>
    </w:p>
    <w:p>
      <w:pPr>
        <w:ind w:right="220"/>
        <w:spacing w:after="0" w:line="258" w:lineRule="auto"/>
        <w:rPr>
          <w:sz w:val="20"/>
          <w:szCs w:val="20"/>
          <w:color w:val="auto"/>
        </w:rPr>
      </w:pPr>
      <w:r>
        <w:rPr>
          <w:rFonts w:ascii="Calibri" w:cs="Calibri" w:eastAsia="Calibri" w:hAnsi="Calibri"/>
          <w:sz w:val="17"/>
          <w:szCs w:val="17"/>
          <w:color w:val="auto"/>
        </w:rPr>
        <w:t>At Lockheed Martn, climate risks and opportunites impact our long-term resiliency as a leader in global security and aerospace. The Board recognizes that companies have a role in meetng the challenge of mitgatng and adaptng to climate change risks. We seek to understand and address climate risks while leveraging opportunites to foster a strong business model for the future. The upcoming update to our TCFD-aligned Climate-Related Risk and Opportunity Assessment report will include further refnement and quanttatve scenario analysis. In additon, as described below, in 2022 we updated and accelerated our carbon reducton strategy to further align with emerging best practces. See our Board’s response to Proposal 7 for additonal details on our climate stewardship actvites.</w:t>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39" w:name="page40"/>
    <w:bookmarkEnd w:id="39"/>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Environmental, Social and Governance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818EB4"/>
        </w:rPr>
        <w:t>Accelerating Our Carbon Reduction Strategy</w:t>
      </w:r>
    </w:p>
    <w:p>
      <w:pPr>
        <w:spacing w:after="0" w:line="111" w:lineRule="exact"/>
        <w:rPr>
          <w:sz w:val="20"/>
          <w:szCs w:val="20"/>
          <w:color w:val="auto"/>
        </w:rPr>
      </w:pPr>
    </w:p>
    <w:p>
      <w:pPr>
        <w:ind w:right="20"/>
        <w:spacing w:after="0" w:line="256" w:lineRule="auto"/>
        <w:rPr>
          <w:sz w:val="20"/>
          <w:szCs w:val="20"/>
          <w:color w:val="auto"/>
        </w:rPr>
      </w:pPr>
      <w:r>
        <w:rPr>
          <w:rFonts w:ascii="Calibri" w:cs="Calibri" w:eastAsia="Calibri" w:hAnsi="Calibri"/>
          <w:sz w:val="17"/>
          <w:szCs w:val="17"/>
          <w:color w:val="auto"/>
        </w:rPr>
        <w:t>In 2021, at the request of our Board, we began exploring opportunites to take more aggressive acton to reduce our carbon emissions and increase our commitment to renewable energy sources. We conducted an analysis of our operatonal footprint, technical opportunites and investment requirements, with the support of subject mater experts across all responsible functons including sustainability, facilites and fnance as well as energy subject mater experts, and with the engagement of each business segment. This analysis concluded in 2022 and resulted in leadership approval and Board concurrence with two updated carbon-related goals which will accelerate our carbon reducton and renewable energy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163195</wp:posOffset>
            </wp:positionV>
            <wp:extent cx="5340350" cy="9861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40350" cy="98615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2180"/>
        <w:spacing w:after="0"/>
        <w:rPr>
          <w:sz w:val="20"/>
          <w:szCs w:val="20"/>
          <w:color w:val="auto"/>
        </w:rPr>
      </w:pPr>
      <w:r>
        <w:rPr>
          <w:rFonts w:ascii="Arial" w:cs="Arial" w:eastAsia="Arial" w:hAnsi="Arial"/>
          <w:sz w:val="16"/>
          <w:szCs w:val="16"/>
          <w:color w:val="003478"/>
        </w:rPr>
        <w:t>Carbon Reduction</w:t>
      </w:r>
    </w:p>
    <w:p>
      <w:pPr>
        <w:spacing w:after="0" w:line="200" w:lineRule="exact"/>
        <w:rPr>
          <w:sz w:val="20"/>
          <w:szCs w:val="20"/>
          <w:color w:val="auto"/>
        </w:rPr>
      </w:pPr>
    </w:p>
    <w:p>
      <w:pPr>
        <w:spacing w:after="0" w:line="232" w:lineRule="exact"/>
        <w:rPr>
          <w:sz w:val="20"/>
          <w:szCs w:val="20"/>
          <w:color w:val="auto"/>
        </w:rPr>
      </w:pPr>
    </w:p>
    <w:p>
      <w:pPr>
        <w:ind w:left="1400" w:right="40"/>
        <w:spacing w:after="0" w:line="309" w:lineRule="auto"/>
        <w:rPr>
          <w:sz w:val="20"/>
          <w:szCs w:val="20"/>
          <w:color w:val="auto"/>
        </w:rPr>
      </w:pPr>
      <w:r>
        <w:rPr>
          <w:rFonts w:ascii="Arial" w:cs="Arial" w:eastAsia="Arial" w:hAnsi="Arial"/>
          <w:sz w:val="17"/>
          <w:szCs w:val="17"/>
          <w:color w:val="003478"/>
        </w:rPr>
        <w:t xml:space="preserve">By </w:t>
      </w:r>
      <w:r>
        <w:rPr>
          <w:rFonts w:ascii="Arial" w:cs="Arial" w:eastAsia="Arial" w:hAnsi="Arial"/>
          <w:sz w:val="17"/>
          <w:szCs w:val="17"/>
          <w:b w:val="1"/>
          <w:bCs w:val="1"/>
          <w:color w:val="003478"/>
        </w:rPr>
        <w:t>2030</w:t>
      </w:r>
      <w:r>
        <w:rPr>
          <w:rFonts w:ascii="Arial" w:cs="Arial" w:eastAsia="Arial" w:hAnsi="Arial"/>
          <w:sz w:val="17"/>
          <w:szCs w:val="17"/>
          <w:color w:val="003478"/>
        </w:rPr>
        <w:t xml:space="preserve">, reduce Scope 1 and 2 absolute carbon emissions by </w:t>
      </w:r>
      <w:r>
        <w:rPr>
          <w:rFonts w:ascii="Arial" w:cs="Arial" w:eastAsia="Arial" w:hAnsi="Arial"/>
          <w:sz w:val="28"/>
          <w:szCs w:val="28"/>
          <w:b w:val="1"/>
          <w:bCs w:val="1"/>
          <w:color w:val="003478"/>
        </w:rPr>
        <w:t>36%</w:t>
      </w:r>
      <w:r>
        <w:rPr>
          <w:rFonts w:ascii="Arial" w:cs="Arial" w:eastAsia="Arial" w:hAnsi="Arial"/>
          <w:sz w:val="17"/>
          <w:szCs w:val="17"/>
          <w:color w:val="003478"/>
        </w:rPr>
        <w:t xml:space="preserve"> from a </w:t>
      </w:r>
      <w:r>
        <w:rPr>
          <w:rFonts w:ascii="Arial" w:cs="Arial" w:eastAsia="Arial" w:hAnsi="Arial"/>
          <w:sz w:val="17"/>
          <w:szCs w:val="17"/>
          <w:b w:val="1"/>
          <w:bCs w:val="1"/>
          <w:color w:val="003478"/>
        </w:rPr>
        <w:t>2020</w:t>
      </w:r>
      <w:r>
        <w:rPr>
          <w:rFonts w:ascii="Arial" w:cs="Arial" w:eastAsia="Arial" w:hAnsi="Arial"/>
          <w:sz w:val="17"/>
          <w:szCs w:val="17"/>
          <w:color w:val="003478"/>
        </w:rPr>
        <w:t xml:space="preserve"> baseline.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left="760"/>
        <w:spacing w:after="0"/>
        <w:rPr>
          <w:sz w:val="20"/>
          <w:szCs w:val="20"/>
          <w:color w:val="auto"/>
        </w:rPr>
      </w:pPr>
      <w:r>
        <w:rPr>
          <w:rFonts w:ascii="Arial" w:cs="Arial" w:eastAsia="Arial" w:hAnsi="Arial"/>
          <w:sz w:val="16"/>
          <w:szCs w:val="16"/>
          <w:color w:val="003478"/>
        </w:rPr>
        <w:t>Renewable Energy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003478"/>
        </w:rPr>
        <w:t xml:space="preserve">By </w:t>
      </w:r>
      <w:r>
        <w:rPr>
          <w:rFonts w:ascii="Arial" w:cs="Arial" w:eastAsia="Arial" w:hAnsi="Arial"/>
          <w:sz w:val="17"/>
          <w:szCs w:val="17"/>
          <w:b w:val="1"/>
          <w:bCs w:val="1"/>
          <w:color w:val="003478"/>
        </w:rPr>
        <w:t>2030</w:t>
      </w:r>
      <w:r>
        <w:rPr>
          <w:rFonts w:ascii="Arial" w:cs="Arial" w:eastAsia="Arial" w:hAnsi="Arial"/>
          <w:sz w:val="17"/>
          <w:szCs w:val="17"/>
          <w:color w:val="003478"/>
        </w:rPr>
        <w:t xml:space="preserve">, match </w:t>
      </w:r>
      <w:r>
        <w:rPr>
          <w:rFonts w:ascii="Arial" w:cs="Arial" w:eastAsia="Arial" w:hAnsi="Arial"/>
          <w:sz w:val="28"/>
          <w:szCs w:val="28"/>
          <w:b w:val="1"/>
          <w:bCs w:val="1"/>
          <w:color w:val="003478"/>
        </w:rPr>
        <w:t>40%</w:t>
      </w:r>
      <w:r>
        <w:rPr>
          <w:rFonts w:ascii="Arial" w:cs="Arial" w:eastAsia="Arial" w:hAnsi="Arial"/>
          <w:sz w:val="17"/>
          <w:szCs w:val="17"/>
          <w:color w:val="003478"/>
        </w:rPr>
        <w:t xml:space="preserve"> of electricity used across</w:t>
      </w:r>
    </w:p>
    <w:p>
      <w:pPr>
        <w:spacing w:after="0" w:line="57" w:lineRule="exact"/>
        <w:rPr>
          <w:sz w:val="20"/>
          <w:szCs w:val="20"/>
          <w:color w:val="auto"/>
        </w:rPr>
      </w:pPr>
    </w:p>
    <w:p>
      <w:pPr>
        <w:ind w:right="1680"/>
        <w:spacing w:after="0" w:line="264" w:lineRule="auto"/>
        <w:rPr>
          <w:sz w:val="20"/>
          <w:szCs w:val="20"/>
          <w:color w:val="auto"/>
        </w:rPr>
      </w:pPr>
      <w:r>
        <w:rPr>
          <w:rFonts w:ascii="Arial" w:cs="Arial" w:eastAsia="Arial" w:hAnsi="Arial"/>
          <w:sz w:val="17"/>
          <w:szCs w:val="17"/>
          <w:color w:val="003478"/>
        </w:rPr>
        <w:t>Lockheed Martin global operations with electricity produced from renewable sources.</w:t>
      </w:r>
    </w:p>
    <w:p>
      <w:pPr>
        <w:spacing w:after="0" w:line="200" w:lineRule="exact"/>
        <w:rPr>
          <w:sz w:val="20"/>
          <w:szCs w:val="20"/>
          <w:color w:val="auto"/>
        </w:rPr>
      </w:pPr>
    </w:p>
    <w:p>
      <w:pPr>
        <w:sectPr>
          <w:pgSz w:w="11900" w:h="16838" w:orient="portrait"/>
          <w:cols w:equalWidth="0" w:num="2">
            <w:col w:w="5120" w:space="720"/>
            <w:col w:w="5400"/>
          </w:cols>
          <w:pgMar w:left="320" w:top="231" w:right="339" w:bottom="1440" w:gutter="0" w:footer="0" w:header="0"/>
          <w:type w:val="continuous"/>
        </w:sectPr>
      </w:pPr>
    </w:p>
    <w:p>
      <w:pPr>
        <w:spacing w:after="0" w:line="132" w:lineRule="exact"/>
        <w:rPr>
          <w:sz w:val="20"/>
          <w:szCs w:val="20"/>
          <w:color w:val="auto"/>
        </w:rPr>
      </w:pPr>
    </w:p>
    <w:p>
      <w:pPr>
        <w:ind w:right="80"/>
        <w:spacing w:after="0" w:line="258" w:lineRule="auto"/>
        <w:rPr>
          <w:sz w:val="20"/>
          <w:szCs w:val="20"/>
          <w:color w:val="auto"/>
        </w:rPr>
      </w:pPr>
      <w:r>
        <w:rPr>
          <w:rFonts w:ascii="Calibri" w:cs="Calibri" w:eastAsia="Calibri" w:hAnsi="Calibri"/>
          <w:sz w:val="17"/>
          <w:szCs w:val="17"/>
          <w:color w:val="auto"/>
        </w:rPr>
        <w:t>Our new 2030 goals demonstrate our ongoing commitment to improve our carbon strategy and accelerate our carbon reducton eforts. Our new carbon reducton goal represents a shif from intensity-based emissions models to a commitment in absolute terms and from an updated baseline year. We benchmarked industry-leading absolute contracton models in developing our new goal. Our new carbon emissions reducton goal represents an acceleraton of our carbon reducton eforts compared to our previous commitment and aligns with globally recognized absolute contracton models. Our updated renewable energy goal also refects an increased level of investment from our previous commitment. Beginning in 2023, we will update our associated Go Green operatonal goals to refect these updated commitments.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818EB4"/>
        </w:rPr>
        <w:t>Supplier Engagement</w:t>
      </w:r>
    </w:p>
    <w:p>
      <w:pPr>
        <w:spacing w:after="0" w:line="111" w:lineRule="exact"/>
        <w:rPr>
          <w:sz w:val="20"/>
          <w:szCs w:val="20"/>
          <w:color w:val="auto"/>
        </w:rPr>
      </w:pPr>
    </w:p>
    <w:p>
      <w:pPr>
        <w:ind w:right="100"/>
        <w:spacing w:after="0" w:line="261" w:lineRule="auto"/>
        <w:rPr>
          <w:sz w:val="20"/>
          <w:szCs w:val="20"/>
          <w:color w:val="auto"/>
        </w:rPr>
      </w:pPr>
      <w:r>
        <w:rPr>
          <w:rFonts w:ascii="Calibri" w:cs="Calibri" w:eastAsia="Calibri" w:hAnsi="Calibri"/>
          <w:sz w:val="17"/>
          <w:szCs w:val="17"/>
          <w:color w:val="auto"/>
        </w:rPr>
        <w:t>Lockheed Martn works closely with suppliers to strengthen our communites and foster responsible growth. Lockheed Martn’s eforts and accomplishments in these areas during the year-long measuring period ended September 30, 2022 included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100" w:type="dxa"/>
            <w:vAlign w:val="bottom"/>
            <w:shd w:val="clear" w:color="auto" w:fill="E5E7EF"/>
          </w:tcPr>
          <w:p>
            <w:pPr>
              <w:spacing w:after="0"/>
              <w:rPr>
                <w:sz w:val="8"/>
                <w:szCs w:val="8"/>
                <w:color w:val="auto"/>
              </w:rPr>
            </w:pPr>
          </w:p>
        </w:tc>
        <w:tc>
          <w:tcPr>
            <w:tcW w:w="800" w:type="dxa"/>
            <w:vAlign w:val="bottom"/>
            <w:tcBorders>
              <w:right w:val="single" w:sz="8" w:color="E5E7EF"/>
            </w:tcBorders>
            <w:shd w:val="clear" w:color="auto" w:fill="E5E7EF"/>
          </w:tcPr>
          <w:p>
            <w:pPr>
              <w:spacing w:after="0"/>
              <w:rPr>
                <w:sz w:val="8"/>
                <w:szCs w:val="8"/>
                <w:color w:val="auto"/>
              </w:rPr>
            </w:pPr>
          </w:p>
        </w:tc>
        <w:tc>
          <w:tcPr>
            <w:tcW w:w="760" w:type="dxa"/>
            <w:vAlign w:val="bottom"/>
            <w:shd w:val="clear" w:color="auto" w:fill="E5E7EF"/>
          </w:tcPr>
          <w:p>
            <w:pPr>
              <w:spacing w:after="0"/>
              <w:rPr>
                <w:sz w:val="8"/>
                <w:szCs w:val="8"/>
                <w:color w:val="auto"/>
              </w:rPr>
            </w:pPr>
          </w:p>
        </w:tc>
        <w:tc>
          <w:tcPr>
            <w:tcW w:w="160" w:type="dxa"/>
            <w:vAlign w:val="bottom"/>
            <w:shd w:val="clear" w:color="auto" w:fill="E5E7EF"/>
          </w:tcPr>
          <w:p>
            <w:pPr>
              <w:spacing w:after="0"/>
              <w:rPr>
                <w:sz w:val="8"/>
                <w:szCs w:val="8"/>
                <w:color w:val="auto"/>
              </w:rPr>
            </w:pPr>
          </w:p>
        </w:tc>
        <w:tc>
          <w:tcPr>
            <w:tcW w:w="860" w:type="dxa"/>
            <w:vAlign w:val="bottom"/>
            <w:tcBorders>
              <w:right w:val="single" w:sz="8" w:color="E5E7EF"/>
            </w:tcBorders>
            <w:shd w:val="clear" w:color="auto" w:fill="E5E7EF"/>
          </w:tcPr>
          <w:p>
            <w:pPr>
              <w:spacing w:after="0"/>
              <w:rPr>
                <w:sz w:val="8"/>
                <w:szCs w:val="8"/>
                <w:color w:val="auto"/>
              </w:rPr>
            </w:pPr>
          </w:p>
        </w:tc>
        <w:tc>
          <w:tcPr>
            <w:tcW w:w="820" w:type="dxa"/>
            <w:vAlign w:val="bottom"/>
            <w:shd w:val="clear" w:color="auto" w:fill="E5E7EF"/>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920" w:type="dxa"/>
            <w:vAlign w:val="bottom"/>
            <w:tcBorders>
              <w:right w:val="single" w:sz="8" w:color="E5E7EF"/>
            </w:tcBorders>
            <w:shd w:val="clear" w:color="auto" w:fill="E5E7EF"/>
          </w:tcPr>
          <w:p>
            <w:pPr>
              <w:spacing w:after="0"/>
              <w:rPr>
                <w:sz w:val="8"/>
                <w:szCs w:val="8"/>
                <w:color w:val="auto"/>
              </w:rPr>
            </w:pPr>
          </w:p>
        </w:tc>
        <w:tc>
          <w:tcPr>
            <w:tcW w:w="760" w:type="dxa"/>
            <w:vAlign w:val="bottom"/>
            <w:shd w:val="clear" w:color="auto" w:fill="E5E7EF"/>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980" w:type="dxa"/>
            <w:vAlign w:val="bottom"/>
            <w:tcBorders>
              <w:right w:val="single" w:sz="8" w:color="E5E7EF"/>
            </w:tcBorders>
            <w:shd w:val="clear" w:color="auto" w:fill="E5E7EF"/>
          </w:tcPr>
          <w:p>
            <w:pPr>
              <w:spacing w:after="0"/>
              <w:rPr>
                <w:sz w:val="8"/>
                <w:szCs w:val="8"/>
                <w:color w:val="auto"/>
              </w:rPr>
            </w:pPr>
          </w:p>
        </w:tc>
        <w:tc>
          <w:tcPr>
            <w:tcW w:w="940" w:type="dxa"/>
            <w:vAlign w:val="bottom"/>
            <w:shd w:val="clear" w:color="auto" w:fill="E5E7EF"/>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2240" w:type="dxa"/>
            <w:vAlign w:val="bottom"/>
            <w:shd w:val="clear" w:color="auto" w:fill="E5E7EF"/>
          </w:tcPr>
          <w:p>
            <w:pPr>
              <w:spacing w:after="0"/>
              <w:rPr>
                <w:sz w:val="8"/>
                <w:szCs w:val="8"/>
                <w:color w:val="auto"/>
              </w:rPr>
            </w:pPr>
          </w:p>
        </w:tc>
        <w:tc>
          <w:tcPr>
            <w:tcW w:w="1480" w:type="dxa"/>
            <w:vAlign w:val="bottom"/>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E5E7EF"/>
          </w:tcPr>
          <w:p>
            <w:pPr>
              <w:spacing w:after="0"/>
              <w:rPr>
                <w:sz w:val="12"/>
                <w:szCs w:val="12"/>
                <w:color w:val="auto"/>
              </w:rPr>
            </w:pPr>
          </w:p>
        </w:tc>
        <w:tc>
          <w:tcPr>
            <w:tcW w:w="7280" w:type="dxa"/>
            <w:vAlign w:val="bottom"/>
            <w:gridSpan w:val="11"/>
            <w:vMerge w:val="restart"/>
          </w:tcPr>
          <w:p>
            <w:pPr>
              <w:ind w:left="100"/>
              <w:spacing w:after="0"/>
              <w:rPr>
                <w:sz w:val="20"/>
                <w:szCs w:val="20"/>
                <w:color w:val="auto"/>
              </w:rPr>
            </w:pPr>
            <w:r>
              <w:rPr>
                <w:rFonts w:ascii="Calibri" w:cs="Calibri" w:eastAsia="Calibri" w:hAnsi="Calibri"/>
                <w:sz w:val="17"/>
                <w:szCs w:val="17"/>
                <w:b w:val="1"/>
                <w:bCs w:val="1"/>
                <w:color w:val="auto"/>
              </w:rPr>
              <w:t xml:space="preserve">25.3 percent </w:t>
            </w:r>
            <w:r>
              <w:rPr>
                <w:rFonts w:ascii="Calibri" w:cs="Calibri" w:eastAsia="Calibri" w:hAnsi="Calibri"/>
                <w:sz w:val="17"/>
                <w:szCs w:val="17"/>
                <w:color w:val="auto"/>
              </w:rPr>
              <w:t>or</w:t>
            </w:r>
            <w:r>
              <w:rPr>
                <w:rFonts w:ascii="Calibri" w:cs="Calibri" w:eastAsia="Calibri" w:hAnsi="Calibri"/>
                <w:sz w:val="17"/>
                <w:szCs w:val="17"/>
                <w:b w:val="1"/>
                <w:bCs w:val="1"/>
                <w:color w:val="auto"/>
              </w:rPr>
              <w:t xml:space="preserve"> $6.1 billion </w:t>
            </w:r>
            <w:r>
              <w:rPr>
                <w:rFonts w:ascii="Calibri" w:cs="Calibri" w:eastAsia="Calibri" w:hAnsi="Calibri"/>
                <w:sz w:val="17"/>
                <w:szCs w:val="17"/>
                <w:color w:val="auto"/>
              </w:rPr>
              <w:t>of supplier spend was awarded to 7,588 small businesses including:</w:t>
            </w:r>
          </w:p>
        </w:tc>
        <w:tc>
          <w:tcPr>
            <w:tcW w:w="140" w:type="dxa"/>
            <w:vAlign w:val="bottom"/>
            <w:shd w:val="clear" w:color="auto" w:fill="E5E7EF"/>
          </w:tcPr>
          <w:p>
            <w:pPr>
              <w:spacing w:after="0"/>
              <w:rPr>
                <w:sz w:val="12"/>
                <w:szCs w:val="12"/>
                <w:color w:val="auto"/>
              </w:rPr>
            </w:pPr>
          </w:p>
        </w:tc>
        <w:tc>
          <w:tcPr>
            <w:tcW w:w="2240" w:type="dxa"/>
            <w:vAlign w:val="bottom"/>
          </w:tcPr>
          <w:p>
            <w:pPr>
              <w:ind w:left="20"/>
              <w:spacing w:after="0" w:line="148" w:lineRule="exact"/>
              <w:rPr>
                <w:sz w:val="20"/>
                <w:szCs w:val="20"/>
                <w:color w:val="auto"/>
              </w:rPr>
            </w:pPr>
            <w:r>
              <w:rPr>
                <w:rFonts w:ascii="Calibri" w:cs="Calibri" w:eastAsia="Calibri" w:hAnsi="Calibri"/>
                <w:sz w:val="14"/>
                <w:szCs w:val="14"/>
                <w:b w:val="1"/>
                <w:bCs w:val="1"/>
                <w:color w:val="auto"/>
              </w:rPr>
              <w:t>Received an “Exceptonal” ratng</w:t>
            </w:r>
          </w:p>
        </w:tc>
        <w:tc>
          <w:tcPr>
            <w:tcW w:w="148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E5E7EF"/>
          </w:tcPr>
          <w:p>
            <w:pPr>
              <w:spacing w:after="0"/>
              <w:rPr>
                <w:sz w:val="14"/>
                <w:szCs w:val="14"/>
                <w:color w:val="auto"/>
              </w:rPr>
            </w:pPr>
          </w:p>
        </w:tc>
        <w:tc>
          <w:tcPr>
            <w:tcW w:w="7280" w:type="dxa"/>
            <w:vAlign w:val="bottom"/>
            <w:gridSpan w:val="11"/>
            <w:vMerge w:val="continue"/>
          </w:tcPr>
          <w:p>
            <w:pPr>
              <w:spacing w:after="0"/>
              <w:rPr>
                <w:sz w:val="14"/>
                <w:szCs w:val="14"/>
                <w:color w:val="auto"/>
              </w:rPr>
            </w:pPr>
          </w:p>
        </w:tc>
        <w:tc>
          <w:tcPr>
            <w:tcW w:w="140" w:type="dxa"/>
            <w:vAlign w:val="bottom"/>
            <w:shd w:val="clear" w:color="auto" w:fill="E5E7EF"/>
          </w:tcPr>
          <w:p>
            <w:pPr>
              <w:spacing w:after="0"/>
              <w:rPr>
                <w:sz w:val="14"/>
                <w:szCs w:val="14"/>
                <w:color w:val="auto"/>
              </w:rPr>
            </w:pPr>
          </w:p>
        </w:tc>
        <w:tc>
          <w:tcPr>
            <w:tcW w:w="2240" w:type="dxa"/>
            <w:vAlign w:val="bottom"/>
          </w:tcPr>
          <w:p>
            <w:pPr>
              <w:ind w:left="20"/>
              <w:spacing w:after="0" w:line="162" w:lineRule="exact"/>
              <w:rPr>
                <w:sz w:val="20"/>
                <w:szCs w:val="20"/>
                <w:color w:val="auto"/>
              </w:rPr>
            </w:pPr>
            <w:r>
              <w:rPr>
                <w:rFonts w:ascii="Calibri" w:cs="Calibri" w:eastAsia="Calibri" w:hAnsi="Calibri"/>
                <w:sz w:val="14"/>
                <w:szCs w:val="14"/>
                <w:b w:val="1"/>
                <w:bCs w:val="1"/>
                <w:color w:val="auto"/>
              </w:rPr>
              <w:t>from the Defense Contract</w:t>
            </w:r>
          </w:p>
        </w:tc>
        <w:tc>
          <w:tcPr>
            <w:tcW w:w="1480" w:type="dxa"/>
            <w:vAlign w:val="bottom"/>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E5E7EF"/>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shd w:val="clear" w:color="auto" w:fill="E5E7EF"/>
          </w:tcPr>
          <w:p>
            <w:pPr>
              <w:spacing w:after="0"/>
              <w:rPr>
                <w:sz w:val="12"/>
                <w:szCs w:val="12"/>
                <w:color w:val="auto"/>
              </w:rPr>
            </w:pPr>
          </w:p>
        </w:tc>
        <w:tc>
          <w:tcPr>
            <w:tcW w:w="2240" w:type="dxa"/>
            <w:vAlign w:val="bottom"/>
          </w:tcPr>
          <w:p>
            <w:pPr>
              <w:ind w:left="20"/>
              <w:spacing w:after="0" w:line="149" w:lineRule="exact"/>
              <w:rPr>
                <w:sz w:val="20"/>
                <w:szCs w:val="20"/>
                <w:color w:val="auto"/>
              </w:rPr>
            </w:pPr>
            <w:r>
              <w:rPr>
                <w:rFonts w:ascii="Calibri" w:cs="Calibri" w:eastAsia="Calibri" w:hAnsi="Calibri"/>
                <w:sz w:val="14"/>
                <w:szCs w:val="14"/>
                <w:b w:val="1"/>
                <w:bCs w:val="1"/>
                <w:color w:val="auto"/>
              </w:rPr>
              <w:t>Management Agency (DCMA) for</w:t>
            </w:r>
          </w:p>
        </w:tc>
        <w:tc>
          <w:tcPr>
            <w:tcW w:w="148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00" w:type="dxa"/>
            <w:vAlign w:val="bottom"/>
            <w:tcBorders>
              <w:bottom w:val="single" w:sz="8" w:color="E5E7EF"/>
            </w:tcBorders>
            <w:shd w:val="clear" w:color="auto" w:fill="E5E7EF"/>
          </w:tcPr>
          <w:p>
            <w:pPr>
              <w:spacing w:after="0"/>
              <w:rPr>
                <w:sz w:val="8"/>
                <w:szCs w:val="8"/>
                <w:color w:val="auto"/>
              </w:rPr>
            </w:pPr>
          </w:p>
        </w:tc>
        <w:tc>
          <w:tcPr>
            <w:tcW w:w="800" w:type="dxa"/>
            <w:vAlign w:val="bottom"/>
            <w:tcBorders>
              <w:bottom w:val="single" w:sz="8" w:color="E5E7EF"/>
              <w:right w:val="single" w:sz="8" w:color="012E6C"/>
            </w:tcBorders>
            <w:shd w:val="clear" w:color="auto" w:fill="E5E7EF"/>
          </w:tcPr>
          <w:p>
            <w:pPr>
              <w:spacing w:after="0"/>
              <w:rPr>
                <w:sz w:val="8"/>
                <w:szCs w:val="8"/>
                <w:color w:val="auto"/>
              </w:rPr>
            </w:pPr>
          </w:p>
        </w:tc>
        <w:tc>
          <w:tcPr>
            <w:tcW w:w="760" w:type="dxa"/>
            <w:vAlign w:val="bottom"/>
            <w:tcBorders>
              <w:bottom w:val="single" w:sz="8" w:color="012E6C"/>
            </w:tcBorders>
            <w:shd w:val="clear" w:color="auto" w:fill="E5E7EF"/>
          </w:tcPr>
          <w:p>
            <w:pPr>
              <w:spacing w:after="0"/>
              <w:rPr>
                <w:sz w:val="8"/>
                <w:szCs w:val="8"/>
                <w:color w:val="auto"/>
              </w:rPr>
            </w:pPr>
          </w:p>
        </w:tc>
        <w:tc>
          <w:tcPr>
            <w:tcW w:w="160" w:type="dxa"/>
            <w:vAlign w:val="bottom"/>
            <w:tcBorders>
              <w:bottom w:val="single" w:sz="8" w:color="012E6C"/>
            </w:tcBorders>
            <w:shd w:val="clear" w:color="auto" w:fill="E5E7EF"/>
          </w:tcPr>
          <w:p>
            <w:pPr>
              <w:spacing w:after="0"/>
              <w:rPr>
                <w:sz w:val="8"/>
                <w:szCs w:val="8"/>
                <w:color w:val="auto"/>
              </w:rPr>
            </w:pPr>
          </w:p>
        </w:tc>
        <w:tc>
          <w:tcPr>
            <w:tcW w:w="860" w:type="dxa"/>
            <w:vAlign w:val="bottom"/>
            <w:tcBorders>
              <w:bottom w:val="single" w:sz="8" w:color="012E6C"/>
              <w:right w:val="single" w:sz="8" w:color="E5E7EF"/>
            </w:tcBorders>
            <w:shd w:val="clear" w:color="auto" w:fill="E5E7EF"/>
          </w:tcPr>
          <w:p>
            <w:pPr>
              <w:spacing w:after="0"/>
              <w:rPr>
                <w:sz w:val="8"/>
                <w:szCs w:val="8"/>
                <w:color w:val="auto"/>
              </w:rPr>
            </w:pPr>
          </w:p>
        </w:tc>
        <w:tc>
          <w:tcPr>
            <w:tcW w:w="820" w:type="dxa"/>
            <w:vAlign w:val="bottom"/>
            <w:tcBorders>
              <w:bottom w:val="single" w:sz="8" w:color="012E6C"/>
            </w:tcBorders>
            <w:shd w:val="clear" w:color="auto" w:fill="E5E7EF"/>
          </w:tcPr>
          <w:p>
            <w:pPr>
              <w:spacing w:after="0"/>
              <w:rPr>
                <w:sz w:val="8"/>
                <w:szCs w:val="8"/>
                <w:color w:val="auto"/>
              </w:rPr>
            </w:pPr>
          </w:p>
        </w:tc>
        <w:tc>
          <w:tcPr>
            <w:tcW w:w="140" w:type="dxa"/>
            <w:vAlign w:val="bottom"/>
            <w:tcBorders>
              <w:bottom w:val="single" w:sz="8" w:color="012E6C"/>
            </w:tcBorders>
            <w:shd w:val="clear" w:color="auto" w:fill="E5E7EF"/>
          </w:tcPr>
          <w:p>
            <w:pPr>
              <w:spacing w:after="0"/>
              <w:rPr>
                <w:sz w:val="8"/>
                <w:szCs w:val="8"/>
                <w:color w:val="auto"/>
              </w:rPr>
            </w:pPr>
          </w:p>
        </w:tc>
        <w:tc>
          <w:tcPr>
            <w:tcW w:w="920" w:type="dxa"/>
            <w:vAlign w:val="bottom"/>
            <w:tcBorders>
              <w:bottom w:val="single" w:sz="8" w:color="012E6C"/>
              <w:right w:val="single" w:sz="8" w:color="E5E7EF"/>
            </w:tcBorders>
            <w:shd w:val="clear" w:color="auto" w:fill="E5E7EF"/>
          </w:tcPr>
          <w:p>
            <w:pPr>
              <w:spacing w:after="0"/>
              <w:rPr>
                <w:sz w:val="8"/>
                <w:szCs w:val="8"/>
                <w:color w:val="auto"/>
              </w:rPr>
            </w:pPr>
          </w:p>
        </w:tc>
        <w:tc>
          <w:tcPr>
            <w:tcW w:w="760" w:type="dxa"/>
            <w:vAlign w:val="bottom"/>
            <w:tcBorders>
              <w:bottom w:val="single" w:sz="8" w:color="012E6C"/>
            </w:tcBorders>
            <w:shd w:val="clear" w:color="auto" w:fill="E5E7EF"/>
          </w:tcPr>
          <w:p>
            <w:pPr>
              <w:spacing w:after="0"/>
              <w:rPr>
                <w:sz w:val="8"/>
                <w:szCs w:val="8"/>
                <w:color w:val="auto"/>
              </w:rPr>
            </w:pPr>
          </w:p>
        </w:tc>
        <w:tc>
          <w:tcPr>
            <w:tcW w:w="140" w:type="dxa"/>
            <w:vAlign w:val="bottom"/>
            <w:tcBorders>
              <w:bottom w:val="single" w:sz="8" w:color="012E6C"/>
            </w:tcBorders>
            <w:shd w:val="clear" w:color="auto" w:fill="E5E7EF"/>
          </w:tcPr>
          <w:p>
            <w:pPr>
              <w:spacing w:after="0"/>
              <w:rPr>
                <w:sz w:val="8"/>
                <w:szCs w:val="8"/>
                <w:color w:val="auto"/>
              </w:rPr>
            </w:pPr>
          </w:p>
        </w:tc>
        <w:tc>
          <w:tcPr>
            <w:tcW w:w="980" w:type="dxa"/>
            <w:vAlign w:val="bottom"/>
            <w:tcBorders>
              <w:bottom w:val="single" w:sz="8" w:color="012E6C"/>
              <w:right w:val="single" w:sz="8" w:color="E5E7EF"/>
            </w:tcBorders>
            <w:shd w:val="clear" w:color="auto" w:fill="E5E7EF"/>
          </w:tcPr>
          <w:p>
            <w:pPr>
              <w:spacing w:after="0"/>
              <w:rPr>
                <w:sz w:val="8"/>
                <w:szCs w:val="8"/>
                <w:color w:val="auto"/>
              </w:rPr>
            </w:pPr>
          </w:p>
        </w:tc>
        <w:tc>
          <w:tcPr>
            <w:tcW w:w="940" w:type="dxa"/>
            <w:vAlign w:val="bottom"/>
            <w:tcBorders>
              <w:bottom w:val="single" w:sz="8" w:color="E5E7EF"/>
            </w:tcBorders>
            <w:shd w:val="clear" w:color="auto" w:fill="E5E7EF"/>
          </w:tcPr>
          <w:p>
            <w:pPr>
              <w:spacing w:after="0"/>
              <w:rPr>
                <w:sz w:val="8"/>
                <w:szCs w:val="8"/>
                <w:color w:val="auto"/>
              </w:rPr>
            </w:pPr>
          </w:p>
        </w:tc>
        <w:tc>
          <w:tcPr>
            <w:tcW w:w="140" w:type="dxa"/>
            <w:vAlign w:val="bottom"/>
            <w:tcBorders>
              <w:bottom w:val="single" w:sz="8" w:color="E5E7EF"/>
            </w:tcBorders>
            <w:shd w:val="clear" w:color="auto" w:fill="E5E7EF"/>
          </w:tcPr>
          <w:p>
            <w:pPr>
              <w:spacing w:after="0"/>
              <w:rPr>
                <w:sz w:val="8"/>
                <w:szCs w:val="8"/>
                <w:color w:val="auto"/>
              </w:rPr>
            </w:pPr>
          </w:p>
        </w:tc>
        <w:tc>
          <w:tcPr>
            <w:tcW w:w="22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small business performance on</w:t>
            </w:r>
          </w:p>
        </w:tc>
        <w:tc>
          <w:tcPr>
            <w:tcW w:w="1480" w:type="dxa"/>
            <w:vAlign w:val="bottom"/>
            <w:tcBorders>
              <w:bottom w:val="single" w:sz="8" w:color="E5E7EF"/>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00" w:type="dxa"/>
            <w:vAlign w:val="bottom"/>
            <w:shd w:val="clear" w:color="auto" w:fill="E5E7EF"/>
          </w:tcPr>
          <w:p>
            <w:pPr>
              <w:spacing w:after="0"/>
              <w:rPr>
                <w:sz w:val="6"/>
                <w:szCs w:val="6"/>
                <w:color w:val="auto"/>
              </w:rPr>
            </w:pPr>
          </w:p>
        </w:tc>
        <w:tc>
          <w:tcPr>
            <w:tcW w:w="800" w:type="dxa"/>
            <w:vAlign w:val="bottom"/>
            <w:tcBorders>
              <w:right w:val="single" w:sz="8" w:color="012E6C"/>
            </w:tcBorders>
            <w:shd w:val="clear" w:color="auto" w:fill="E5E7EF"/>
          </w:tcPr>
          <w:p>
            <w:pPr>
              <w:spacing w:after="0"/>
              <w:rPr>
                <w:sz w:val="6"/>
                <w:szCs w:val="6"/>
                <w:color w:val="auto"/>
              </w:rPr>
            </w:pPr>
          </w:p>
        </w:tc>
        <w:tc>
          <w:tcPr>
            <w:tcW w:w="760" w:type="dxa"/>
            <w:vAlign w:val="bottom"/>
            <w:shd w:val="clear" w:color="auto" w:fill="E5E7EF"/>
          </w:tcPr>
          <w:p>
            <w:pPr>
              <w:spacing w:after="0"/>
              <w:rPr>
                <w:sz w:val="6"/>
                <w:szCs w:val="6"/>
                <w:color w:val="auto"/>
              </w:rPr>
            </w:pPr>
          </w:p>
        </w:tc>
        <w:tc>
          <w:tcPr>
            <w:tcW w:w="160" w:type="dxa"/>
            <w:vAlign w:val="bottom"/>
            <w:shd w:val="clear" w:color="auto" w:fill="E5E7EF"/>
          </w:tcPr>
          <w:p>
            <w:pPr>
              <w:spacing w:after="0"/>
              <w:rPr>
                <w:sz w:val="6"/>
                <w:szCs w:val="6"/>
                <w:color w:val="auto"/>
              </w:rPr>
            </w:pPr>
          </w:p>
        </w:tc>
        <w:tc>
          <w:tcPr>
            <w:tcW w:w="860" w:type="dxa"/>
            <w:vAlign w:val="bottom"/>
            <w:tcBorders>
              <w:right w:val="single" w:sz="8" w:color="012E6C"/>
            </w:tcBorders>
            <w:shd w:val="clear" w:color="auto" w:fill="E5E7EF"/>
          </w:tcPr>
          <w:p>
            <w:pPr>
              <w:spacing w:after="0"/>
              <w:rPr>
                <w:sz w:val="6"/>
                <w:szCs w:val="6"/>
                <w:color w:val="auto"/>
              </w:rPr>
            </w:pPr>
          </w:p>
        </w:tc>
        <w:tc>
          <w:tcPr>
            <w:tcW w:w="820" w:type="dxa"/>
            <w:vAlign w:val="bottom"/>
            <w:shd w:val="clear" w:color="auto" w:fill="E5E7EF"/>
          </w:tcPr>
          <w:p>
            <w:pPr>
              <w:spacing w:after="0"/>
              <w:rPr>
                <w:sz w:val="6"/>
                <w:szCs w:val="6"/>
                <w:color w:val="auto"/>
              </w:rPr>
            </w:pPr>
          </w:p>
        </w:tc>
        <w:tc>
          <w:tcPr>
            <w:tcW w:w="140" w:type="dxa"/>
            <w:vAlign w:val="bottom"/>
            <w:shd w:val="clear" w:color="auto" w:fill="E5E7EF"/>
          </w:tcPr>
          <w:p>
            <w:pPr>
              <w:spacing w:after="0"/>
              <w:rPr>
                <w:sz w:val="6"/>
                <w:szCs w:val="6"/>
                <w:color w:val="auto"/>
              </w:rPr>
            </w:pPr>
          </w:p>
        </w:tc>
        <w:tc>
          <w:tcPr>
            <w:tcW w:w="920" w:type="dxa"/>
            <w:vAlign w:val="bottom"/>
            <w:tcBorders>
              <w:right w:val="single" w:sz="8" w:color="012E6C"/>
            </w:tcBorders>
            <w:shd w:val="clear" w:color="auto" w:fill="E5E7EF"/>
          </w:tcPr>
          <w:p>
            <w:pPr>
              <w:spacing w:after="0"/>
              <w:rPr>
                <w:sz w:val="6"/>
                <w:szCs w:val="6"/>
                <w:color w:val="auto"/>
              </w:rPr>
            </w:pPr>
          </w:p>
        </w:tc>
        <w:tc>
          <w:tcPr>
            <w:tcW w:w="760" w:type="dxa"/>
            <w:vAlign w:val="bottom"/>
            <w:shd w:val="clear" w:color="auto" w:fill="E5E7EF"/>
          </w:tcPr>
          <w:p>
            <w:pPr>
              <w:spacing w:after="0"/>
              <w:rPr>
                <w:sz w:val="6"/>
                <w:szCs w:val="6"/>
                <w:color w:val="auto"/>
              </w:rPr>
            </w:pPr>
          </w:p>
        </w:tc>
        <w:tc>
          <w:tcPr>
            <w:tcW w:w="140" w:type="dxa"/>
            <w:vAlign w:val="bottom"/>
            <w:shd w:val="clear" w:color="auto" w:fill="E5E7EF"/>
          </w:tcPr>
          <w:p>
            <w:pPr>
              <w:spacing w:after="0"/>
              <w:rPr>
                <w:sz w:val="6"/>
                <w:szCs w:val="6"/>
                <w:color w:val="auto"/>
              </w:rPr>
            </w:pPr>
          </w:p>
        </w:tc>
        <w:tc>
          <w:tcPr>
            <w:tcW w:w="980" w:type="dxa"/>
            <w:vAlign w:val="bottom"/>
            <w:tcBorders>
              <w:right w:val="single" w:sz="8" w:color="012E6C"/>
            </w:tcBorders>
            <w:shd w:val="clear" w:color="auto" w:fill="E5E7EF"/>
          </w:tcPr>
          <w:p>
            <w:pPr>
              <w:spacing w:after="0"/>
              <w:rPr>
                <w:sz w:val="6"/>
                <w:szCs w:val="6"/>
                <w:color w:val="auto"/>
              </w:rPr>
            </w:pPr>
          </w:p>
        </w:tc>
        <w:tc>
          <w:tcPr>
            <w:tcW w:w="940" w:type="dxa"/>
            <w:vAlign w:val="bottom"/>
            <w:shd w:val="clear" w:color="auto" w:fill="E5E7EF"/>
          </w:tcPr>
          <w:p>
            <w:pPr>
              <w:spacing w:after="0"/>
              <w:rPr>
                <w:sz w:val="6"/>
                <w:szCs w:val="6"/>
                <w:color w:val="auto"/>
              </w:rPr>
            </w:pPr>
          </w:p>
        </w:tc>
        <w:tc>
          <w:tcPr>
            <w:tcW w:w="140" w:type="dxa"/>
            <w:vAlign w:val="bottom"/>
            <w:shd w:val="clear" w:color="auto" w:fill="E5E7EF"/>
          </w:tcPr>
          <w:p>
            <w:pPr>
              <w:spacing w:after="0"/>
              <w:rPr>
                <w:sz w:val="6"/>
                <w:szCs w:val="6"/>
                <w:color w:val="auto"/>
              </w:rPr>
            </w:pPr>
          </w:p>
        </w:tc>
        <w:tc>
          <w:tcPr>
            <w:tcW w:w="2240" w:type="dxa"/>
            <w:vAlign w:val="bottom"/>
            <w:vMerge w:val="continue"/>
          </w:tcPr>
          <w:p>
            <w:pPr>
              <w:spacing w:after="0"/>
              <w:rPr>
                <w:sz w:val="6"/>
                <w:szCs w:val="6"/>
                <w:color w:val="auto"/>
              </w:rPr>
            </w:pPr>
          </w:p>
        </w:tc>
        <w:tc>
          <w:tcPr>
            <w:tcW w:w="1480" w:type="dxa"/>
            <w:vAlign w:val="bottom"/>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E5E7EF"/>
          </w:tcPr>
          <w:p>
            <w:pPr>
              <w:spacing w:after="0"/>
              <w:rPr>
                <w:sz w:val="12"/>
                <w:szCs w:val="12"/>
                <w:color w:val="auto"/>
              </w:rPr>
            </w:pPr>
          </w:p>
        </w:tc>
        <w:tc>
          <w:tcPr>
            <w:tcW w:w="1560" w:type="dxa"/>
            <w:vAlign w:val="bottom"/>
            <w:gridSpan w:val="2"/>
          </w:tcPr>
          <w:p>
            <w:pPr>
              <w:ind w:left="100"/>
              <w:spacing w:after="0" w:line="148" w:lineRule="exact"/>
              <w:rPr>
                <w:sz w:val="20"/>
                <w:szCs w:val="20"/>
                <w:color w:val="auto"/>
              </w:rPr>
            </w:pPr>
            <w:r>
              <w:rPr>
                <w:rFonts w:ascii="Calibri" w:cs="Calibri" w:eastAsia="Calibri" w:hAnsi="Calibri"/>
                <w:sz w:val="14"/>
                <w:szCs w:val="14"/>
                <w:b w:val="1"/>
                <w:bCs w:val="1"/>
                <w:color w:val="auto"/>
              </w:rPr>
              <w:t xml:space="preserve">$1.1B </w:t>
            </w:r>
            <w:r>
              <w:rPr>
                <w:rFonts w:ascii="Calibri" w:cs="Calibri" w:eastAsia="Calibri" w:hAnsi="Calibri"/>
                <w:sz w:val="14"/>
                <w:szCs w:val="14"/>
                <w:color w:val="auto"/>
              </w:rPr>
              <w:t>awarded to</w:t>
            </w:r>
          </w:p>
        </w:tc>
        <w:tc>
          <w:tcPr>
            <w:tcW w:w="160" w:type="dxa"/>
            <w:vAlign w:val="bottom"/>
            <w:shd w:val="clear" w:color="auto" w:fill="E5E7EF"/>
          </w:tcPr>
          <w:p>
            <w:pPr>
              <w:spacing w:after="0"/>
              <w:rPr>
                <w:sz w:val="12"/>
                <w:szCs w:val="12"/>
                <w:color w:val="auto"/>
              </w:rPr>
            </w:pPr>
          </w:p>
        </w:tc>
        <w:tc>
          <w:tcPr>
            <w:tcW w:w="1680" w:type="dxa"/>
            <w:vAlign w:val="bottom"/>
            <w:gridSpan w:val="2"/>
          </w:tcPr>
          <w:p>
            <w:pPr>
              <w:ind w:left="100"/>
              <w:spacing w:after="0" w:line="148" w:lineRule="exact"/>
              <w:rPr>
                <w:sz w:val="20"/>
                <w:szCs w:val="20"/>
                <w:color w:val="auto"/>
              </w:rPr>
            </w:pPr>
            <w:r>
              <w:rPr>
                <w:rFonts w:ascii="Calibri" w:cs="Calibri" w:eastAsia="Calibri" w:hAnsi="Calibri"/>
                <w:sz w:val="14"/>
                <w:szCs w:val="14"/>
                <w:b w:val="1"/>
                <w:bCs w:val="1"/>
                <w:color w:val="auto"/>
              </w:rPr>
              <w:t xml:space="preserve">$759.3M </w:t>
            </w:r>
            <w:r>
              <w:rPr>
                <w:rFonts w:ascii="Calibri" w:cs="Calibri" w:eastAsia="Calibri" w:hAnsi="Calibri"/>
                <w:sz w:val="14"/>
                <w:szCs w:val="14"/>
                <w:color w:val="auto"/>
              </w:rPr>
              <w:t>awarded to</w:t>
            </w:r>
          </w:p>
        </w:tc>
        <w:tc>
          <w:tcPr>
            <w:tcW w:w="140" w:type="dxa"/>
            <w:vAlign w:val="bottom"/>
            <w:shd w:val="clear" w:color="auto" w:fill="E5E7EF"/>
          </w:tcPr>
          <w:p>
            <w:pPr>
              <w:spacing w:after="0"/>
              <w:rPr>
                <w:sz w:val="12"/>
                <w:szCs w:val="12"/>
                <w:color w:val="auto"/>
              </w:rPr>
            </w:pPr>
          </w:p>
        </w:tc>
        <w:tc>
          <w:tcPr>
            <w:tcW w:w="1680" w:type="dxa"/>
            <w:vAlign w:val="bottom"/>
            <w:gridSpan w:val="2"/>
          </w:tcPr>
          <w:p>
            <w:pPr>
              <w:ind w:left="100"/>
              <w:spacing w:after="0" w:line="148" w:lineRule="exact"/>
              <w:rPr>
                <w:sz w:val="20"/>
                <w:szCs w:val="20"/>
                <w:color w:val="auto"/>
              </w:rPr>
            </w:pPr>
            <w:r>
              <w:rPr>
                <w:rFonts w:ascii="Calibri" w:cs="Calibri" w:eastAsia="Calibri" w:hAnsi="Calibri"/>
                <w:sz w:val="14"/>
                <w:szCs w:val="14"/>
                <w:b w:val="1"/>
                <w:bCs w:val="1"/>
                <w:color w:val="auto"/>
              </w:rPr>
              <w:t xml:space="preserve">$139.5M </w:t>
            </w:r>
            <w:r>
              <w:rPr>
                <w:rFonts w:ascii="Calibri" w:cs="Calibri" w:eastAsia="Calibri" w:hAnsi="Calibri"/>
                <w:sz w:val="14"/>
                <w:szCs w:val="14"/>
                <w:color w:val="auto"/>
              </w:rPr>
              <w:t>awarded to</w:t>
            </w:r>
          </w:p>
        </w:tc>
        <w:tc>
          <w:tcPr>
            <w:tcW w:w="140" w:type="dxa"/>
            <w:vAlign w:val="bottom"/>
            <w:shd w:val="clear" w:color="auto" w:fill="E5E7EF"/>
          </w:tcPr>
          <w:p>
            <w:pPr>
              <w:spacing w:after="0"/>
              <w:rPr>
                <w:sz w:val="12"/>
                <w:szCs w:val="12"/>
                <w:color w:val="auto"/>
              </w:rPr>
            </w:pPr>
          </w:p>
        </w:tc>
        <w:tc>
          <w:tcPr>
            <w:tcW w:w="1920" w:type="dxa"/>
            <w:vAlign w:val="bottom"/>
            <w:gridSpan w:val="2"/>
          </w:tcPr>
          <w:p>
            <w:pPr>
              <w:ind w:left="100"/>
              <w:spacing w:after="0" w:line="148" w:lineRule="exact"/>
              <w:rPr>
                <w:sz w:val="20"/>
                <w:szCs w:val="20"/>
                <w:color w:val="auto"/>
              </w:rPr>
            </w:pPr>
            <w:r>
              <w:rPr>
                <w:rFonts w:ascii="Calibri" w:cs="Calibri" w:eastAsia="Calibri" w:hAnsi="Calibri"/>
                <w:sz w:val="14"/>
                <w:szCs w:val="14"/>
                <w:b w:val="1"/>
                <w:bCs w:val="1"/>
                <w:color w:val="auto"/>
              </w:rPr>
              <w:t xml:space="preserve">$290.1M </w:t>
            </w:r>
            <w:r>
              <w:rPr>
                <w:rFonts w:ascii="Calibri" w:cs="Calibri" w:eastAsia="Calibri" w:hAnsi="Calibri"/>
                <w:sz w:val="14"/>
                <w:szCs w:val="14"/>
                <w:color w:val="auto"/>
              </w:rPr>
              <w:t>awarded to 241</w:t>
            </w:r>
          </w:p>
        </w:tc>
        <w:tc>
          <w:tcPr>
            <w:tcW w:w="140" w:type="dxa"/>
            <w:vAlign w:val="bottom"/>
            <w:shd w:val="clear" w:color="auto" w:fill="E5E7EF"/>
          </w:tcPr>
          <w:p>
            <w:pPr>
              <w:spacing w:after="0"/>
              <w:rPr>
                <w:sz w:val="12"/>
                <w:szCs w:val="12"/>
                <w:color w:val="auto"/>
              </w:rPr>
            </w:pPr>
          </w:p>
        </w:tc>
        <w:tc>
          <w:tcPr>
            <w:tcW w:w="2240" w:type="dxa"/>
            <w:vAlign w:val="bottom"/>
          </w:tcPr>
          <w:p>
            <w:pPr>
              <w:ind w:left="20"/>
              <w:spacing w:after="0" w:line="148" w:lineRule="exact"/>
              <w:rPr>
                <w:sz w:val="20"/>
                <w:szCs w:val="20"/>
                <w:color w:val="auto"/>
              </w:rPr>
            </w:pPr>
            <w:r>
              <w:rPr>
                <w:rFonts w:ascii="Calibri" w:cs="Calibri" w:eastAsia="Calibri" w:hAnsi="Calibri"/>
                <w:sz w:val="14"/>
                <w:szCs w:val="14"/>
                <w:b w:val="1"/>
                <w:bCs w:val="1"/>
                <w:color w:val="auto"/>
              </w:rPr>
              <w:t>Department of Defense contracts</w:t>
            </w:r>
          </w:p>
        </w:tc>
        <w:tc>
          <w:tcPr>
            <w:tcW w:w="148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E5E7EF"/>
          </w:tcPr>
          <w:p>
            <w:pPr>
              <w:spacing w:after="0"/>
              <w:rPr>
                <w:sz w:val="14"/>
                <w:szCs w:val="14"/>
                <w:color w:val="auto"/>
              </w:rPr>
            </w:pPr>
          </w:p>
        </w:tc>
        <w:tc>
          <w:tcPr>
            <w:tcW w:w="1560" w:type="dxa"/>
            <w:vAlign w:val="bottom"/>
            <w:gridSpan w:val="2"/>
          </w:tcPr>
          <w:p>
            <w:pPr>
              <w:ind w:left="100"/>
              <w:spacing w:after="0" w:line="162" w:lineRule="exact"/>
              <w:rPr>
                <w:sz w:val="20"/>
                <w:szCs w:val="20"/>
                <w:color w:val="auto"/>
              </w:rPr>
            </w:pPr>
            <w:r>
              <w:rPr>
                <w:rFonts w:ascii="Calibri" w:cs="Calibri" w:eastAsia="Calibri" w:hAnsi="Calibri"/>
                <w:sz w:val="14"/>
                <w:szCs w:val="14"/>
                <w:color w:val="auto"/>
              </w:rPr>
              <w:t>woman-owned</w:t>
            </w:r>
          </w:p>
        </w:tc>
        <w:tc>
          <w:tcPr>
            <w:tcW w:w="160" w:type="dxa"/>
            <w:vAlign w:val="bottom"/>
            <w:shd w:val="clear" w:color="auto" w:fill="E5E7EF"/>
          </w:tcPr>
          <w:p>
            <w:pPr>
              <w:spacing w:after="0"/>
              <w:rPr>
                <w:sz w:val="14"/>
                <w:szCs w:val="14"/>
                <w:color w:val="auto"/>
              </w:rPr>
            </w:pPr>
          </w:p>
        </w:tc>
        <w:tc>
          <w:tcPr>
            <w:tcW w:w="1680" w:type="dxa"/>
            <w:vAlign w:val="bottom"/>
            <w:gridSpan w:val="2"/>
          </w:tcPr>
          <w:p>
            <w:pPr>
              <w:ind w:left="100"/>
              <w:spacing w:after="0" w:line="162" w:lineRule="exact"/>
              <w:rPr>
                <w:sz w:val="20"/>
                <w:szCs w:val="20"/>
                <w:color w:val="auto"/>
              </w:rPr>
            </w:pPr>
            <w:r>
              <w:rPr>
                <w:rFonts w:ascii="Calibri" w:cs="Calibri" w:eastAsia="Calibri" w:hAnsi="Calibri"/>
                <w:sz w:val="14"/>
                <w:szCs w:val="14"/>
                <w:color w:val="auto"/>
              </w:rPr>
              <w:t>veteran-owned</w:t>
            </w:r>
          </w:p>
        </w:tc>
        <w:tc>
          <w:tcPr>
            <w:tcW w:w="140" w:type="dxa"/>
            <w:vAlign w:val="bottom"/>
            <w:shd w:val="clear" w:color="auto" w:fill="E5E7EF"/>
          </w:tcPr>
          <w:p>
            <w:pPr>
              <w:spacing w:after="0"/>
              <w:rPr>
                <w:sz w:val="14"/>
                <w:szCs w:val="14"/>
                <w:color w:val="auto"/>
              </w:rPr>
            </w:pPr>
          </w:p>
        </w:tc>
        <w:tc>
          <w:tcPr>
            <w:tcW w:w="1680" w:type="dxa"/>
            <w:vAlign w:val="bottom"/>
            <w:gridSpan w:val="2"/>
          </w:tcPr>
          <w:p>
            <w:pPr>
              <w:ind w:left="100"/>
              <w:spacing w:after="0" w:line="162" w:lineRule="exact"/>
              <w:rPr>
                <w:sz w:val="20"/>
                <w:szCs w:val="20"/>
                <w:color w:val="auto"/>
              </w:rPr>
            </w:pPr>
            <w:r>
              <w:rPr>
                <w:rFonts w:ascii="Calibri" w:cs="Calibri" w:eastAsia="Calibri" w:hAnsi="Calibri"/>
                <w:sz w:val="14"/>
                <w:szCs w:val="14"/>
                <w:color w:val="auto"/>
              </w:rPr>
              <w:t>Alaskan Natve and</w:t>
            </w:r>
          </w:p>
        </w:tc>
        <w:tc>
          <w:tcPr>
            <w:tcW w:w="140" w:type="dxa"/>
            <w:vAlign w:val="bottom"/>
            <w:shd w:val="clear" w:color="auto" w:fill="E5E7EF"/>
          </w:tcPr>
          <w:p>
            <w:pPr>
              <w:spacing w:after="0"/>
              <w:rPr>
                <w:sz w:val="14"/>
                <w:szCs w:val="14"/>
                <w:color w:val="auto"/>
              </w:rPr>
            </w:pPr>
          </w:p>
        </w:tc>
        <w:tc>
          <w:tcPr>
            <w:tcW w:w="1920" w:type="dxa"/>
            <w:vAlign w:val="bottom"/>
            <w:gridSpan w:val="2"/>
          </w:tcPr>
          <w:p>
            <w:pPr>
              <w:ind w:left="100"/>
              <w:spacing w:after="0" w:line="162" w:lineRule="exact"/>
              <w:rPr>
                <w:sz w:val="20"/>
                <w:szCs w:val="20"/>
                <w:color w:val="auto"/>
              </w:rPr>
            </w:pPr>
            <w:r>
              <w:rPr>
                <w:rFonts w:ascii="Calibri" w:cs="Calibri" w:eastAsia="Calibri" w:hAnsi="Calibri"/>
                <w:sz w:val="14"/>
                <w:szCs w:val="14"/>
                <w:color w:val="auto"/>
              </w:rPr>
              <w:t>service-disabled veteran-</w:t>
            </w:r>
          </w:p>
        </w:tc>
        <w:tc>
          <w:tcPr>
            <w:tcW w:w="140" w:type="dxa"/>
            <w:vAlign w:val="bottom"/>
            <w:shd w:val="clear" w:color="auto" w:fill="E5E7EF"/>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E5E7EF"/>
          </w:tcPr>
          <w:p>
            <w:pPr>
              <w:spacing w:after="0"/>
              <w:rPr>
                <w:sz w:val="14"/>
                <w:szCs w:val="14"/>
                <w:color w:val="auto"/>
              </w:rPr>
            </w:pPr>
          </w:p>
        </w:tc>
        <w:tc>
          <w:tcPr>
            <w:tcW w:w="1560" w:type="dxa"/>
            <w:vAlign w:val="bottom"/>
            <w:gridSpan w:val="2"/>
          </w:tcPr>
          <w:p>
            <w:pPr>
              <w:ind w:left="100"/>
              <w:spacing w:after="0" w:line="162" w:lineRule="exact"/>
              <w:rPr>
                <w:sz w:val="20"/>
                <w:szCs w:val="20"/>
                <w:color w:val="auto"/>
              </w:rPr>
            </w:pPr>
            <w:r>
              <w:rPr>
                <w:rFonts w:ascii="Calibri" w:cs="Calibri" w:eastAsia="Calibri" w:hAnsi="Calibri"/>
                <w:sz w:val="14"/>
                <w:szCs w:val="14"/>
                <w:color w:val="auto"/>
              </w:rPr>
              <w:t>businesses (both large</w:t>
            </w:r>
          </w:p>
        </w:tc>
        <w:tc>
          <w:tcPr>
            <w:tcW w:w="160" w:type="dxa"/>
            <w:vAlign w:val="bottom"/>
            <w:shd w:val="clear" w:color="auto" w:fill="E5E7EF"/>
          </w:tcPr>
          <w:p>
            <w:pPr>
              <w:spacing w:after="0"/>
              <w:rPr>
                <w:sz w:val="14"/>
                <w:szCs w:val="14"/>
                <w:color w:val="auto"/>
              </w:rPr>
            </w:pPr>
          </w:p>
        </w:tc>
        <w:tc>
          <w:tcPr>
            <w:tcW w:w="1680" w:type="dxa"/>
            <w:vAlign w:val="bottom"/>
            <w:gridSpan w:val="2"/>
          </w:tcPr>
          <w:p>
            <w:pPr>
              <w:ind w:left="100"/>
              <w:spacing w:after="0" w:line="162" w:lineRule="exact"/>
              <w:rPr>
                <w:sz w:val="20"/>
                <w:szCs w:val="20"/>
                <w:color w:val="auto"/>
              </w:rPr>
            </w:pPr>
            <w:r>
              <w:rPr>
                <w:rFonts w:ascii="Calibri" w:cs="Calibri" w:eastAsia="Calibri" w:hAnsi="Calibri"/>
                <w:sz w:val="14"/>
                <w:szCs w:val="14"/>
                <w:color w:val="auto"/>
              </w:rPr>
              <w:t>businesses (both large</w:t>
            </w:r>
          </w:p>
        </w:tc>
        <w:tc>
          <w:tcPr>
            <w:tcW w:w="140" w:type="dxa"/>
            <w:vAlign w:val="bottom"/>
            <w:shd w:val="clear" w:color="auto" w:fill="E5E7EF"/>
          </w:tcPr>
          <w:p>
            <w:pPr>
              <w:spacing w:after="0"/>
              <w:rPr>
                <w:sz w:val="14"/>
                <w:szCs w:val="14"/>
                <w:color w:val="auto"/>
              </w:rPr>
            </w:pPr>
          </w:p>
        </w:tc>
        <w:tc>
          <w:tcPr>
            <w:tcW w:w="1680" w:type="dxa"/>
            <w:vAlign w:val="bottom"/>
            <w:gridSpan w:val="2"/>
          </w:tcPr>
          <w:p>
            <w:pPr>
              <w:ind w:left="100"/>
              <w:spacing w:after="0" w:line="162" w:lineRule="exact"/>
              <w:rPr>
                <w:sz w:val="20"/>
                <w:szCs w:val="20"/>
                <w:color w:val="auto"/>
              </w:rPr>
            </w:pPr>
            <w:r>
              <w:rPr>
                <w:rFonts w:ascii="Calibri" w:cs="Calibri" w:eastAsia="Calibri" w:hAnsi="Calibri"/>
                <w:sz w:val="14"/>
                <w:szCs w:val="14"/>
                <w:color w:val="auto"/>
              </w:rPr>
              <w:t>Tribally Owned</w:t>
            </w:r>
          </w:p>
        </w:tc>
        <w:tc>
          <w:tcPr>
            <w:tcW w:w="140" w:type="dxa"/>
            <w:vAlign w:val="bottom"/>
            <w:shd w:val="clear" w:color="auto" w:fill="E5E7EF"/>
          </w:tcPr>
          <w:p>
            <w:pPr>
              <w:spacing w:after="0"/>
              <w:rPr>
                <w:sz w:val="14"/>
                <w:szCs w:val="14"/>
                <w:color w:val="auto"/>
              </w:rPr>
            </w:pPr>
          </w:p>
        </w:tc>
        <w:tc>
          <w:tcPr>
            <w:tcW w:w="1920" w:type="dxa"/>
            <w:vAlign w:val="bottom"/>
            <w:gridSpan w:val="2"/>
          </w:tcPr>
          <w:p>
            <w:pPr>
              <w:ind w:left="100"/>
              <w:spacing w:after="0" w:line="162" w:lineRule="exact"/>
              <w:rPr>
                <w:sz w:val="20"/>
                <w:szCs w:val="20"/>
                <w:color w:val="auto"/>
              </w:rPr>
            </w:pPr>
            <w:r>
              <w:rPr>
                <w:rFonts w:ascii="Calibri" w:cs="Calibri" w:eastAsia="Calibri" w:hAnsi="Calibri"/>
                <w:sz w:val="14"/>
                <w:szCs w:val="14"/>
                <w:color w:val="auto"/>
              </w:rPr>
              <w:t>owned small businesses</w:t>
            </w:r>
          </w:p>
        </w:tc>
        <w:tc>
          <w:tcPr>
            <w:tcW w:w="140" w:type="dxa"/>
            <w:vAlign w:val="bottom"/>
            <w:shd w:val="clear" w:color="auto" w:fill="E5E7EF"/>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shd w:val="clear" w:color="auto" w:fill="E5E7EF"/>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Calibri" w:cs="Calibri" w:eastAsia="Calibri" w:hAnsi="Calibri"/>
                <w:sz w:val="14"/>
                <w:szCs w:val="14"/>
                <w:color w:val="auto"/>
              </w:rPr>
              <w:t>and small)</w:t>
            </w:r>
          </w:p>
        </w:tc>
        <w:tc>
          <w:tcPr>
            <w:tcW w:w="160" w:type="dxa"/>
            <w:vAlign w:val="bottom"/>
            <w:shd w:val="clear" w:color="auto" w:fill="E5E7EF"/>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Calibri" w:cs="Calibri" w:eastAsia="Calibri" w:hAnsi="Calibri"/>
                <w:sz w:val="14"/>
                <w:szCs w:val="14"/>
                <w:color w:val="auto"/>
              </w:rPr>
              <w:t>and small)</w:t>
            </w:r>
          </w:p>
        </w:tc>
        <w:tc>
          <w:tcPr>
            <w:tcW w:w="140" w:type="dxa"/>
            <w:vAlign w:val="bottom"/>
            <w:shd w:val="clear" w:color="auto" w:fill="E5E7EF"/>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Calibri" w:cs="Calibri" w:eastAsia="Calibri" w:hAnsi="Calibri"/>
                <w:sz w:val="14"/>
                <w:szCs w:val="14"/>
                <w:color w:val="auto"/>
              </w:rPr>
              <w:t>Corporatons</w:t>
            </w:r>
          </w:p>
        </w:tc>
        <w:tc>
          <w:tcPr>
            <w:tcW w:w="140" w:type="dxa"/>
            <w:vAlign w:val="bottom"/>
            <w:shd w:val="clear" w:color="auto" w:fill="E5E7EF"/>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shd w:val="clear" w:color="auto" w:fill="E5E7EF"/>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 w:type="dxa"/>
            <w:vAlign w:val="bottom"/>
            <w:shd w:val="clear" w:color="auto" w:fill="E5E7EF"/>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shd w:val="clear" w:color="auto" w:fill="E5E7EF"/>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shd w:val="clear" w:color="auto" w:fill="E5E7EF"/>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shd w:val="clear" w:color="auto" w:fill="E5E7EF"/>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shd w:val="clear" w:color="auto" w:fill="E5E7EF"/>
          </w:tcPr>
          <w:p>
            <w:pPr>
              <w:spacing w:after="0"/>
              <w:rPr>
                <w:sz w:val="13"/>
                <w:szCs w:val="13"/>
                <w:color w:val="auto"/>
              </w:rPr>
            </w:pPr>
          </w:p>
        </w:tc>
        <w:tc>
          <w:tcPr>
            <w:tcW w:w="2240" w:type="dxa"/>
            <w:vAlign w:val="bottom"/>
          </w:tcPr>
          <w:p>
            <w:pPr>
              <w:spacing w:after="0"/>
              <w:rPr>
                <w:sz w:val="13"/>
                <w:szCs w:val="13"/>
                <w:color w:val="auto"/>
              </w:rPr>
            </w:pPr>
          </w:p>
        </w:tc>
        <w:tc>
          <w:tcPr>
            <w:tcW w:w="1480" w:type="dxa"/>
            <w:vAlign w:val="bottom"/>
            <w:shd w:val="clear" w:color="auto" w:fill="E5E7EF"/>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00" w:type="dxa"/>
            <w:vAlign w:val="bottom"/>
            <w:shd w:val="clear" w:color="auto" w:fill="E5E7EF"/>
          </w:tcPr>
          <w:p>
            <w:pPr>
              <w:spacing w:after="0"/>
              <w:rPr>
                <w:sz w:val="8"/>
                <w:szCs w:val="8"/>
                <w:color w:val="auto"/>
              </w:rPr>
            </w:pPr>
          </w:p>
        </w:tc>
        <w:tc>
          <w:tcPr>
            <w:tcW w:w="800" w:type="dxa"/>
            <w:vAlign w:val="bottom"/>
            <w:tcBorders>
              <w:right w:val="single" w:sz="8" w:color="E5E7EF"/>
            </w:tcBorders>
            <w:shd w:val="clear" w:color="auto" w:fill="E5E7EF"/>
          </w:tcPr>
          <w:p>
            <w:pPr>
              <w:spacing w:after="0"/>
              <w:rPr>
                <w:sz w:val="8"/>
                <w:szCs w:val="8"/>
                <w:color w:val="auto"/>
              </w:rPr>
            </w:pPr>
          </w:p>
        </w:tc>
        <w:tc>
          <w:tcPr>
            <w:tcW w:w="760" w:type="dxa"/>
            <w:vAlign w:val="bottom"/>
            <w:shd w:val="clear" w:color="auto" w:fill="E5E7EF"/>
          </w:tcPr>
          <w:p>
            <w:pPr>
              <w:spacing w:after="0"/>
              <w:rPr>
                <w:sz w:val="8"/>
                <w:szCs w:val="8"/>
                <w:color w:val="auto"/>
              </w:rPr>
            </w:pPr>
          </w:p>
        </w:tc>
        <w:tc>
          <w:tcPr>
            <w:tcW w:w="160" w:type="dxa"/>
            <w:vAlign w:val="bottom"/>
            <w:shd w:val="clear" w:color="auto" w:fill="E5E7EF"/>
          </w:tcPr>
          <w:p>
            <w:pPr>
              <w:spacing w:after="0"/>
              <w:rPr>
                <w:sz w:val="8"/>
                <w:szCs w:val="8"/>
                <w:color w:val="auto"/>
              </w:rPr>
            </w:pPr>
          </w:p>
        </w:tc>
        <w:tc>
          <w:tcPr>
            <w:tcW w:w="860" w:type="dxa"/>
            <w:vAlign w:val="bottom"/>
            <w:tcBorders>
              <w:right w:val="single" w:sz="8" w:color="E5E7EF"/>
            </w:tcBorders>
            <w:shd w:val="clear" w:color="auto" w:fill="E5E7EF"/>
          </w:tcPr>
          <w:p>
            <w:pPr>
              <w:spacing w:after="0"/>
              <w:rPr>
                <w:sz w:val="8"/>
                <w:szCs w:val="8"/>
                <w:color w:val="auto"/>
              </w:rPr>
            </w:pPr>
          </w:p>
        </w:tc>
        <w:tc>
          <w:tcPr>
            <w:tcW w:w="820" w:type="dxa"/>
            <w:vAlign w:val="bottom"/>
            <w:shd w:val="clear" w:color="auto" w:fill="E5E7EF"/>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920" w:type="dxa"/>
            <w:vAlign w:val="bottom"/>
            <w:tcBorders>
              <w:right w:val="single" w:sz="8" w:color="E5E7EF"/>
            </w:tcBorders>
            <w:shd w:val="clear" w:color="auto" w:fill="E5E7EF"/>
          </w:tcPr>
          <w:p>
            <w:pPr>
              <w:spacing w:after="0"/>
              <w:rPr>
                <w:sz w:val="8"/>
                <w:szCs w:val="8"/>
                <w:color w:val="auto"/>
              </w:rPr>
            </w:pPr>
          </w:p>
        </w:tc>
        <w:tc>
          <w:tcPr>
            <w:tcW w:w="760" w:type="dxa"/>
            <w:vAlign w:val="bottom"/>
            <w:shd w:val="clear" w:color="auto" w:fill="E5E7EF"/>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980" w:type="dxa"/>
            <w:vAlign w:val="bottom"/>
            <w:tcBorders>
              <w:right w:val="single" w:sz="8" w:color="E5E7EF"/>
            </w:tcBorders>
            <w:shd w:val="clear" w:color="auto" w:fill="E5E7EF"/>
          </w:tcPr>
          <w:p>
            <w:pPr>
              <w:spacing w:after="0"/>
              <w:rPr>
                <w:sz w:val="8"/>
                <w:szCs w:val="8"/>
                <w:color w:val="auto"/>
              </w:rPr>
            </w:pPr>
          </w:p>
        </w:tc>
        <w:tc>
          <w:tcPr>
            <w:tcW w:w="940" w:type="dxa"/>
            <w:vAlign w:val="bottom"/>
            <w:shd w:val="clear" w:color="auto" w:fill="E5E7EF"/>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2240" w:type="dxa"/>
            <w:vAlign w:val="bottom"/>
            <w:shd w:val="clear" w:color="auto" w:fill="E5E7EF"/>
          </w:tcPr>
          <w:p>
            <w:pPr>
              <w:spacing w:after="0"/>
              <w:rPr>
                <w:sz w:val="8"/>
                <w:szCs w:val="8"/>
                <w:color w:val="auto"/>
              </w:rPr>
            </w:pPr>
          </w:p>
        </w:tc>
        <w:tc>
          <w:tcPr>
            <w:tcW w:w="1480" w:type="dxa"/>
            <w:vAlign w:val="bottom"/>
            <w:shd w:val="clear" w:color="auto" w:fill="E5E7E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-822325</wp:posOffset>
            </wp:positionV>
            <wp:extent cx="539750" cy="5397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39750" cy="539750"/>
                    </a:xfrm>
                    <a:prstGeom prst="rect">
                      <a:avLst/>
                    </a:prstGeom>
                    <a:noFill/>
                  </pic:spPr>
                </pic:pic>
              </a:graphicData>
            </a:graphic>
          </wp:anchor>
        </w:drawing>
      </w:r>
    </w:p>
    <w:p>
      <w:pPr>
        <w:spacing w:after="0" w:line="236" w:lineRule="exact"/>
        <w:rPr>
          <w:sz w:val="20"/>
          <w:szCs w:val="20"/>
          <w:color w:val="auto"/>
        </w:rPr>
      </w:pPr>
    </w:p>
    <w:p>
      <w:pPr>
        <w:ind w:right="60"/>
        <w:spacing w:after="0" w:line="256" w:lineRule="auto"/>
        <w:rPr>
          <w:sz w:val="20"/>
          <w:szCs w:val="20"/>
          <w:color w:val="auto"/>
        </w:rPr>
      </w:pPr>
      <w:r>
        <w:rPr>
          <w:rFonts w:ascii="Calibri" w:cs="Calibri" w:eastAsia="Calibri" w:hAnsi="Calibri"/>
          <w:sz w:val="17"/>
          <w:szCs w:val="17"/>
          <w:color w:val="auto"/>
        </w:rPr>
        <w:t>In 2022, we conducted a Supply Chain Sustainability Assessment, expanding our pool of supplier voices from the last assessment in 2019 to include a broader range of business sizes, partcularly medium-sized suppliers. Findings were shared with all Lockheed Martn supply chain professionals to expand awareness of our sustainability focus. One immediate positve outcome resultng from the assessment was Lockheed Martn’s Ethics organizaton kicking of the next phase of our Ethics Supplier Mentoring Program for 25 suppliers who expressed interest in the program in their assessment responses. In additon, the assessment indicated a 100% increase from the 2019 assessment in suppliers with sustainability strategies or plans, demonstratng recogniton among our suppliers of the growing importance of sustainability. Finally, Lockheed Martn took part in a collaboratve industry request for proposal for a reusable sustainability assessment soluton that was conducted by the Internatonal Aerospace Environmental Group (IAEG), of which Lockheed Martn is an actve member. In 2022, IAEG expanded its charter scope from an exclusive focus on environmental topics to allow for broader ESG maters to ensure efectveness in addressing business-critcal ESG topics throughout the aerospace value stream. Lockheed Martn partcipated on the IAEG work group established for ESG aerospace engagement and through which the industry searched to identfy the best third-party soluton for a reusable sustainability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257810</wp:posOffset>
            </wp:positionV>
            <wp:extent cx="1071880"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Environmental, Social and Governance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Our People Strategy</w:t>
      </w:r>
    </w:p>
    <w:p>
      <w:pPr>
        <w:spacing w:after="0" w:line="144" w:lineRule="exact"/>
        <w:rPr>
          <w:sz w:val="20"/>
          <w:szCs w:val="20"/>
          <w:color w:val="auto"/>
        </w:rPr>
      </w:pPr>
    </w:p>
    <w:p>
      <w:pPr>
        <w:ind w:right="200"/>
        <w:spacing w:after="0" w:line="253" w:lineRule="auto"/>
        <w:rPr>
          <w:sz w:val="20"/>
          <w:szCs w:val="20"/>
          <w:color w:val="auto"/>
        </w:rPr>
      </w:pPr>
      <w:r>
        <w:rPr>
          <w:rFonts w:ascii="Calibri" w:cs="Calibri" w:eastAsia="Calibri" w:hAnsi="Calibri"/>
          <w:sz w:val="17"/>
          <w:szCs w:val="17"/>
          <w:color w:val="auto"/>
        </w:rPr>
        <w:t>Human capital is a critcal business asset at Lockheed Martn. Due to the specialized nature of our business, our performance depends on identfying, atractng, developing, motvatng and retaining a highly skilled workforce in multple areas, including engineering, science, manufacturing, informaton technology, cybersecurity, business development and strategy and management. Our human capital management strategy, which we refer to as our people strategy, is tghtly aligned with our business needs and technology strategy.</w:t>
      </w:r>
    </w:p>
    <w:p>
      <w:pPr>
        <w:spacing w:after="0" w:line="110" w:lineRule="exact"/>
        <w:rPr>
          <w:sz w:val="20"/>
          <w:szCs w:val="20"/>
          <w:color w:val="auto"/>
        </w:rPr>
      </w:pPr>
    </w:p>
    <w:p>
      <w:pPr>
        <w:ind w:right="140"/>
        <w:spacing w:after="0" w:line="256" w:lineRule="auto"/>
        <w:rPr>
          <w:sz w:val="20"/>
          <w:szCs w:val="20"/>
          <w:color w:val="auto"/>
        </w:rPr>
      </w:pPr>
      <w:r>
        <w:rPr>
          <w:rFonts w:ascii="Calibri" w:cs="Calibri" w:eastAsia="Calibri" w:hAnsi="Calibri"/>
          <w:sz w:val="17"/>
          <w:szCs w:val="17"/>
          <w:color w:val="auto"/>
        </w:rPr>
        <w:t>During 2022, our human capital eforts were focused on contnuing to accelerate the transformaton of our technology for workforce management through investments in upgraded systems and processes, and contnuing to increase our ability to meet the quickly changing needs of the business, all while maintaining a respectul, challenging, supportve and inclusive working environment. We use a variety of human capital measures in managing our business, including: workforce demographics; hiring metrics; talent management metrics, including retenton rates of top talent; and diversity metrics with respect to representaton, atriton, hiring, promotons and leadership.</w:t>
      </w:r>
    </w:p>
    <w:p>
      <w:pPr>
        <w:spacing w:after="0" w:line="122" w:lineRule="exact"/>
        <w:rPr>
          <w:sz w:val="20"/>
          <w:szCs w:val="20"/>
          <w:color w:val="auto"/>
        </w:rPr>
      </w:pPr>
    </w:p>
    <w:p>
      <w:pPr>
        <w:ind w:right="340"/>
        <w:spacing w:after="0" w:line="245" w:lineRule="auto"/>
        <w:rPr>
          <w:sz w:val="20"/>
          <w:szCs w:val="20"/>
          <w:color w:val="auto"/>
        </w:rPr>
      </w:pPr>
      <w:r>
        <w:rPr>
          <w:rFonts w:ascii="Calibri" w:cs="Calibri" w:eastAsia="Calibri" w:hAnsi="Calibri"/>
          <w:sz w:val="17"/>
          <w:szCs w:val="17"/>
          <w:color w:val="auto"/>
        </w:rPr>
        <w:t>Our people strategy focuses on three key priorites: Maximize Talent; Advance Technology; and Optmize Culture. In 2023 and beyond, we will contnue to execute on the Lockheed Martn people strategy and its three strategic imperatves to accelerate transformaton.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107950</wp:posOffset>
            </wp:positionV>
            <wp:extent cx="2297430" cy="685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297430" cy="6858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3580" w:type="dxa"/>
            <w:vAlign w:val="bottom"/>
            <w:shd w:val="clear" w:color="auto" w:fill="002E6D"/>
          </w:tcPr>
          <w:p>
            <w:pPr>
              <w:spacing w:after="0"/>
              <w:rPr>
                <w:sz w:val="9"/>
                <w:szCs w:val="9"/>
                <w:color w:val="auto"/>
              </w:rPr>
            </w:pPr>
          </w:p>
        </w:tc>
        <w:tc>
          <w:tcPr>
            <w:tcW w:w="220" w:type="dxa"/>
            <w:vAlign w:val="bottom"/>
          </w:tcPr>
          <w:p>
            <w:pPr>
              <w:spacing w:after="0"/>
              <w:rPr>
                <w:sz w:val="9"/>
                <w:szCs w:val="9"/>
                <w:color w:val="auto"/>
              </w:rPr>
            </w:pPr>
          </w:p>
        </w:tc>
        <w:tc>
          <w:tcPr>
            <w:tcW w:w="3600" w:type="dxa"/>
            <w:vAlign w:val="bottom"/>
            <w:shd w:val="clear" w:color="auto" w:fill="002E6D"/>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3580" w:type="dxa"/>
            <w:vAlign w:val="bottom"/>
            <w:shd w:val="clear" w:color="auto" w:fill="E5EAF0"/>
          </w:tcPr>
          <w:p>
            <w:pPr>
              <w:ind w:left="800"/>
              <w:spacing w:after="0"/>
              <w:rPr>
                <w:sz w:val="20"/>
                <w:szCs w:val="20"/>
                <w:color w:val="auto"/>
              </w:rPr>
            </w:pPr>
            <w:r>
              <w:rPr>
                <w:rFonts w:ascii="Arial" w:cs="Arial" w:eastAsia="Arial" w:hAnsi="Arial"/>
                <w:sz w:val="17"/>
                <w:szCs w:val="17"/>
                <w:color w:val="003478"/>
              </w:rPr>
              <w:t>MAXIMIZE TALENT</w:t>
            </w:r>
          </w:p>
        </w:tc>
        <w:tc>
          <w:tcPr>
            <w:tcW w:w="220" w:type="dxa"/>
            <w:vAlign w:val="bottom"/>
          </w:tcPr>
          <w:p>
            <w:pPr>
              <w:spacing w:after="0"/>
              <w:rPr>
                <w:sz w:val="24"/>
                <w:szCs w:val="24"/>
                <w:color w:val="auto"/>
              </w:rPr>
            </w:pPr>
          </w:p>
        </w:tc>
        <w:tc>
          <w:tcPr>
            <w:tcW w:w="3600" w:type="dxa"/>
            <w:vAlign w:val="bottom"/>
            <w:shd w:val="clear" w:color="auto" w:fill="E5EAF0"/>
          </w:tcPr>
          <w:p>
            <w:pPr>
              <w:ind w:left="800"/>
              <w:spacing w:after="0"/>
              <w:rPr>
                <w:sz w:val="20"/>
                <w:szCs w:val="20"/>
                <w:color w:val="auto"/>
              </w:rPr>
            </w:pPr>
            <w:r>
              <w:rPr>
                <w:rFonts w:ascii="Arial" w:cs="Arial" w:eastAsia="Arial" w:hAnsi="Arial"/>
                <w:sz w:val="17"/>
                <w:szCs w:val="17"/>
                <w:color w:val="003478"/>
              </w:rPr>
              <w:t>ADVANCE TECHNOLOGY</w:t>
            </w:r>
          </w:p>
        </w:tc>
        <w:tc>
          <w:tcPr>
            <w:tcW w:w="0" w:type="dxa"/>
            <w:vAlign w:val="bottom"/>
          </w:tcPr>
          <w:p>
            <w:pPr>
              <w:spacing w:after="0"/>
              <w:rPr>
                <w:sz w:val="1"/>
                <w:szCs w:val="1"/>
                <w:color w:val="auto"/>
              </w:rPr>
            </w:pPr>
          </w:p>
        </w:tc>
      </w:tr>
      <w:tr>
        <w:trPr>
          <w:trHeight w:val="622"/>
        </w:trPr>
        <w:tc>
          <w:tcPr>
            <w:tcW w:w="3580" w:type="dxa"/>
            <w:vAlign w:val="bottom"/>
            <w:shd w:val="clear" w:color="auto" w:fill="E5EAF0"/>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Acquire and Retain Top Diverse Talent at All</w:t>
            </w:r>
          </w:p>
        </w:tc>
        <w:tc>
          <w:tcPr>
            <w:tcW w:w="220" w:type="dxa"/>
            <w:vAlign w:val="bottom"/>
          </w:tcPr>
          <w:p>
            <w:pPr>
              <w:spacing w:after="0"/>
              <w:rPr>
                <w:sz w:val="24"/>
                <w:szCs w:val="24"/>
                <w:color w:val="auto"/>
              </w:rPr>
            </w:pPr>
          </w:p>
        </w:tc>
        <w:tc>
          <w:tcPr>
            <w:tcW w:w="3600" w:type="dxa"/>
            <w:vAlign w:val="bottom"/>
            <w:shd w:val="clear" w:color="auto" w:fill="E5EAF0"/>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Modernize Human Capital Systems to Drive</w:t>
            </w:r>
          </w:p>
        </w:tc>
        <w:tc>
          <w:tcPr>
            <w:tcW w:w="0" w:type="dxa"/>
            <w:vAlign w:val="bottom"/>
          </w:tcPr>
          <w:p>
            <w:pPr>
              <w:spacing w:after="0"/>
              <w:rPr>
                <w:sz w:val="1"/>
                <w:szCs w:val="1"/>
                <w:color w:val="auto"/>
              </w:rPr>
            </w:pPr>
          </w:p>
        </w:tc>
      </w:tr>
      <w:tr>
        <w:trPr>
          <w:trHeight w:val="216"/>
        </w:trPr>
        <w:tc>
          <w:tcPr>
            <w:tcW w:w="3580" w:type="dxa"/>
            <w:vAlign w:val="bottom"/>
            <w:shd w:val="clear" w:color="auto" w:fill="E5EAF0"/>
          </w:tcPr>
          <w:p>
            <w:pPr>
              <w:ind w:left="260"/>
              <w:spacing w:after="0"/>
              <w:rPr>
                <w:sz w:val="20"/>
                <w:szCs w:val="20"/>
                <w:color w:val="auto"/>
              </w:rPr>
            </w:pPr>
            <w:r>
              <w:rPr>
                <w:rFonts w:ascii="Calibri" w:cs="Calibri" w:eastAsia="Calibri" w:hAnsi="Calibri"/>
                <w:sz w:val="17"/>
                <w:szCs w:val="17"/>
                <w:color w:val="auto"/>
              </w:rPr>
              <w:t>Levels</w:t>
            </w:r>
          </w:p>
        </w:tc>
        <w:tc>
          <w:tcPr>
            <w:tcW w:w="220" w:type="dxa"/>
            <w:vAlign w:val="bottom"/>
          </w:tcPr>
          <w:p>
            <w:pPr>
              <w:spacing w:after="0"/>
              <w:rPr>
                <w:sz w:val="18"/>
                <w:szCs w:val="18"/>
                <w:color w:val="auto"/>
              </w:rPr>
            </w:pPr>
          </w:p>
        </w:tc>
        <w:tc>
          <w:tcPr>
            <w:tcW w:w="3600" w:type="dxa"/>
            <w:vAlign w:val="bottom"/>
            <w:shd w:val="clear" w:color="auto" w:fill="E5EAF0"/>
          </w:tcPr>
          <w:p>
            <w:pPr>
              <w:ind w:left="260"/>
              <w:spacing w:after="0"/>
              <w:rPr>
                <w:sz w:val="20"/>
                <w:szCs w:val="20"/>
                <w:color w:val="auto"/>
              </w:rPr>
            </w:pPr>
            <w:r>
              <w:rPr>
                <w:rFonts w:ascii="Calibri" w:cs="Calibri" w:eastAsia="Calibri" w:hAnsi="Calibri"/>
                <w:sz w:val="17"/>
                <w:szCs w:val="17"/>
                <w:color w:val="auto"/>
              </w:rPr>
              <w:t>Process Efciency</w:t>
            </w:r>
          </w:p>
        </w:tc>
        <w:tc>
          <w:tcPr>
            <w:tcW w:w="0" w:type="dxa"/>
            <w:vAlign w:val="bottom"/>
          </w:tcPr>
          <w:p>
            <w:pPr>
              <w:spacing w:after="0"/>
              <w:rPr>
                <w:sz w:val="1"/>
                <w:szCs w:val="1"/>
                <w:color w:val="auto"/>
              </w:rPr>
            </w:pPr>
          </w:p>
        </w:tc>
      </w:tr>
      <w:tr>
        <w:trPr>
          <w:trHeight w:val="270"/>
        </w:trPr>
        <w:tc>
          <w:tcPr>
            <w:tcW w:w="3580" w:type="dxa"/>
            <w:vAlign w:val="bottom"/>
            <w:shd w:val="clear" w:color="auto" w:fill="E5EAF0"/>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Elevate Technical Talent to Accelerate 21st</w:t>
            </w:r>
          </w:p>
        </w:tc>
        <w:tc>
          <w:tcPr>
            <w:tcW w:w="220" w:type="dxa"/>
            <w:vAlign w:val="bottom"/>
          </w:tcPr>
          <w:p>
            <w:pPr>
              <w:spacing w:after="0"/>
              <w:rPr>
                <w:sz w:val="23"/>
                <w:szCs w:val="23"/>
                <w:color w:val="auto"/>
              </w:rPr>
            </w:pPr>
          </w:p>
        </w:tc>
        <w:tc>
          <w:tcPr>
            <w:tcW w:w="3600" w:type="dxa"/>
            <w:vAlign w:val="bottom"/>
            <w:shd w:val="clear" w:color="auto" w:fill="E5EAF0"/>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Transform Secured Collaboraton Tools and</w:t>
            </w:r>
          </w:p>
        </w:tc>
        <w:tc>
          <w:tcPr>
            <w:tcW w:w="0" w:type="dxa"/>
            <w:vAlign w:val="bottom"/>
          </w:tcPr>
          <w:p>
            <w:pPr>
              <w:spacing w:after="0"/>
              <w:rPr>
                <w:sz w:val="1"/>
                <w:szCs w:val="1"/>
                <w:color w:val="auto"/>
              </w:rPr>
            </w:pPr>
          </w:p>
        </w:tc>
      </w:tr>
      <w:tr>
        <w:trPr>
          <w:trHeight w:val="229"/>
        </w:trPr>
        <w:tc>
          <w:tcPr>
            <w:tcW w:w="3580" w:type="dxa"/>
            <w:vAlign w:val="bottom"/>
            <w:shd w:val="clear" w:color="auto" w:fill="E5EAF0"/>
          </w:tcPr>
          <w:p>
            <w:pPr>
              <w:ind w:left="260"/>
              <w:spacing w:after="0"/>
              <w:rPr>
                <w:sz w:val="20"/>
                <w:szCs w:val="20"/>
                <w:color w:val="auto"/>
              </w:rPr>
            </w:pPr>
            <w:r>
              <w:rPr>
                <w:rFonts w:ascii="Calibri" w:cs="Calibri" w:eastAsia="Calibri" w:hAnsi="Calibri"/>
                <w:sz w:val="17"/>
                <w:szCs w:val="17"/>
                <w:color w:val="auto"/>
              </w:rPr>
              <w:t>Century Security Vision</w:t>
            </w:r>
          </w:p>
        </w:tc>
        <w:tc>
          <w:tcPr>
            <w:tcW w:w="220" w:type="dxa"/>
            <w:vAlign w:val="bottom"/>
          </w:tcPr>
          <w:p>
            <w:pPr>
              <w:spacing w:after="0"/>
              <w:rPr>
                <w:sz w:val="19"/>
                <w:szCs w:val="19"/>
                <w:color w:val="auto"/>
              </w:rPr>
            </w:pPr>
          </w:p>
        </w:tc>
        <w:tc>
          <w:tcPr>
            <w:tcW w:w="3600" w:type="dxa"/>
            <w:vAlign w:val="bottom"/>
            <w:shd w:val="clear" w:color="auto" w:fill="E5EAF0"/>
          </w:tcPr>
          <w:p>
            <w:pPr>
              <w:ind w:left="260"/>
              <w:spacing w:after="0"/>
              <w:rPr>
                <w:sz w:val="20"/>
                <w:szCs w:val="20"/>
                <w:color w:val="auto"/>
              </w:rPr>
            </w:pPr>
            <w:r>
              <w:rPr>
                <w:rFonts w:ascii="Calibri" w:cs="Calibri" w:eastAsia="Calibri" w:hAnsi="Calibri"/>
                <w:sz w:val="17"/>
                <w:szCs w:val="17"/>
                <w:color w:val="auto"/>
              </w:rPr>
              <w:t>Facilites</w:t>
            </w:r>
          </w:p>
        </w:tc>
        <w:tc>
          <w:tcPr>
            <w:tcW w:w="0" w:type="dxa"/>
            <w:vAlign w:val="bottom"/>
          </w:tcPr>
          <w:p>
            <w:pPr>
              <w:spacing w:after="0"/>
              <w:rPr>
                <w:sz w:val="1"/>
                <w:szCs w:val="1"/>
                <w:color w:val="auto"/>
              </w:rPr>
            </w:pPr>
          </w:p>
        </w:tc>
      </w:tr>
      <w:tr>
        <w:trPr>
          <w:trHeight w:val="270"/>
        </w:trPr>
        <w:tc>
          <w:tcPr>
            <w:tcW w:w="3580" w:type="dxa"/>
            <w:vAlign w:val="bottom"/>
            <w:shd w:val="clear" w:color="auto" w:fill="E5EAF0"/>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Increase Executve Successor Pipeline</w:t>
            </w:r>
          </w:p>
        </w:tc>
        <w:tc>
          <w:tcPr>
            <w:tcW w:w="220" w:type="dxa"/>
            <w:vAlign w:val="bottom"/>
          </w:tcPr>
          <w:p>
            <w:pPr>
              <w:spacing w:after="0"/>
              <w:rPr>
                <w:sz w:val="23"/>
                <w:szCs w:val="23"/>
                <w:color w:val="auto"/>
              </w:rPr>
            </w:pPr>
          </w:p>
        </w:tc>
        <w:tc>
          <w:tcPr>
            <w:tcW w:w="3600" w:type="dxa"/>
            <w:vAlign w:val="bottom"/>
            <w:shd w:val="clear" w:color="auto" w:fill="E5EAF0"/>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Increase Data Analytc Capability and</w:t>
            </w:r>
          </w:p>
        </w:tc>
        <w:tc>
          <w:tcPr>
            <w:tcW w:w="0" w:type="dxa"/>
            <w:vAlign w:val="bottom"/>
          </w:tcPr>
          <w:p>
            <w:pPr>
              <w:spacing w:after="0"/>
              <w:rPr>
                <w:sz w:val="1"/>
                <w:szCs w:val="1"/>
                <w:color w:val="auto"/>
              </w:rPr>
            </w:pPr>
          </w:p>
        </w:tc>
      </w:tr>
      <w:tr>
        <w:trPr>
          <w:trHeight w:val="229"/>
        </w:trPr>
        <w:tc>
          <w:tcPr>
            <w:tcW w:w="3580" w:type="dxa"/>
            <w:vAlign w:val="bottom"/>
            <w:vMerge w:val="restart"/>
            <w:shd w:val="clear" w:color="auto" w:fill="E5EAF0"/>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Deliver Agile Employee and Leader</w:t>
            </w:r>
          </w:p>
        </w:tc>
        <w:tc>
          <w:tcPr>
            <w:tcW w:w="220" w:type="dxa"/>
            <w:vAlign w:val="bottom"/>
          </w:tcPr>
          <w:p>
            <w:pPr>
              <w:spacing w:after="0"/>
              <w:rPr>
                <w:sz w:val="19"/>
                <w:szCs w:val="19"/>
                <w:color w:val="auto"/>
              </w:rPr>
            </w:pPr>
          </w:p>
        </w:tc>
        <w:tc>
          <w:tcPr>
            <w:tcW w:w="3600" w:type="dxa"/>
            <w:vAlign w:val="bottom"/>
            <w:shd w:val="clear" w:color="auto" w:fill="E5EAF0"/>
          </w:tcPr>
          <w:p>
            <w:pPr>
              <w:ind w:left="260"/>
              <w:spacing w:after="0"/>
              <w:rPr>
                <w:sz w:val="20"/>
                <w:szCs w:val="20"/>
                <w:color w:val="auto"/>
              </w:rPr>
            </w:pPr>
            <w:r>
              <w:rPr>
                <w:rFonts w:ascii="Calibri" w:cs="Calibri" w:eastAsia="Calibri" w:hAnsi="Calibri"/>
                <w:sz w:val="17"/>
                <w:szCs w:val="17"/>
                <w:color w:val="auto"/>
              </w:rPr>
              <w:t>Transparency</w:t>
            </w:r>
          </w:p>
        </w:tc>
        <w:tc>
          <w:tcPr>
            <w:tcW w:w="0" w:type="dxa"/>
            <w:vAlign w:val="bottom"/>
          </w:tcPr>
          <w:p>
            <w:pPr>
              <w:spacing w:after="0"/>
              <w:rPr>
                <w:sz w:val="1"/>
                <w:szCs w:val="1"/>
                <w:color w:val="auto"/>
              </w:rPr>
            </w:pPr>
          </w:p>
        </w:tc>
      </w:tr>
      <w:tr>
        <w:trPr>
          <w:trHeight w:val="54"/>
        </w:trPr>
        <w:tc>
          <w:tcPr>
            <w:tcW w:w="3580" w:type="dxa"/>
            <w:vAlign w:val="bottom"/>
            <w:vMerge w:val="continue"/>
            <w:shd w:val="clear" w:color="auto" w:fill="E5EAF0"/>
          </w:tcPr>
          <w:p>
            <w:pPr>
              <w:spacing w:after="0"/>
              <w:rPr>
                <w:sz w:val="4"/>
                <w:szCs w:val="4"/>
                <w:color w:val="auto"/>
              </w:rPr>
            </w:pPr>
          </w:p>
        </w:tc>
        <w:tc>
          <w:tcPr>
            <w:tcW w:w="220" w:type="dxa"/>
            <w:vAlign w:val="bottom"/>
          </w:tcPr>
          <w:p>
            <w:pPr>
              <w:spacing w:after="0"/>
              <w:rPr>
                <w:sz w:val="4"/>
                <w:szCs w:val="4"/>
                <w:color w:val="auto"/>
              </w:rPr>
            </w:pPr>
          </w:p>
        </w:tc>
        <w:tc>
          <w:tcPr>
            <w:tcW w:w="3600" w:type="dxa"/>
            <w:vAlign w:val="bottom"/>
            <w:shd w:val="clear" w:color="auto" w:fill="E5EAF0"/>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E5EAF0"/>
          </w:tcPr>
          <w:p>
            <w:pPr>
              <w:ind w:left="260"/>
              <w:spacing w:after="0"/>
              <w:rPr>
                <w:sz w:val="20"/>
                <w:szCs w:val="20"/>
                <w:color w:val="auto"/>
              </w:rPr>
            </w:pPr>
            <w:r>
              <w:rPr>
                <w:rFonts w:ascii="Calibri" w:cs="Calibri" w:eastAsia="Calibri" w:hAnsi="Calibri"/>
                <w:sz w:val="17"/>
                <w:szCs w:val="17"/>
                <w:color w:val="auto"/>
              </w:rPr>
              <w:t>Development</w:t>
            </w:r>
          </w:p>
        </w:tc>
        <w:tc>
          <w:tcPr>
            <w:tcW w:w="220" w:type="dxa"/>
            <w:vAlign w:val="bottom"/>
          </w:tcPr>
          <w:p>
            <w:pPr>
              <w:spacing w:after="0"/>
              <w:rPr>
                <w:sz w:val="18"/>
                <w:szCs w:val="18"/>
                <w:color w:val="auto"/>
              </w:rPr>
            </w:pPr>
          </w:p>
        </w:tc>
        <w:tc>
          <w:tcPr>
            <w:tcW w:w="3600" w:type="dxa"/>
            <w:vAlign w:val="bottom"/>
            <w:shd w:val="clear" w:color="auto" w:fill="E5EAF0"/>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Transform the Hiring and Enhance New</w:t>
            </w:r>
          </w:p>
        </w:tc>
        <w:tc>
          <w:tcPr>
            <w:tcW w:w="0" w:type="dxa"/>
            <w:vAlign w:val="bottom"/>
          </w:tcPr>
          <w:p>
            <w:pPr>
              <w:spacing w:after="0"/>
              <w:rPr>
                <w:sz w:val="1"/>
                <w:szCs w:val="1"/>
                <w:color w:val="auto"/>
              </w:rPr>
            </w:pPr>
          </w:p>
        </w:tc>
      </w:tr>
      <w:tr>
        <w:trPr>
          <w:trHeight w:val="230"/>
        </w:trPr>
        <w:tc>
          <w:tcPr>
            <w:tcW w:w="3580" w:type="dxa"/>
            <w:vAlign w:val="bottom"/>
            <w:vMerge w:val="restart"/>
            <w:shd w:val="clear" w:color="auto" w:fill="E5EAF0"/>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Develop and Deploy Compettve Total</w:t>
            </w:r>
          </w:p>
        </w:tc>
        <w:tc>
          <w:tcPr>
            <w:tcW w:w="220" w:type="dxa"/>
            <w:vAlign w:val="bottom"/>
          </w:tcPr>
          <w:p>
            <w:pPr>
              <w:spacing w:after="0"/>
              <w:rPr>
                <w:sz w:val="19"/>
                <w:szCs w:val="19"/>
                <w:color w:val="auto"/>
              </w:rPr>
            </w:pPr>
          </w:p>
        </w:tc>
        <w:tc>
          <w:tcPr>
            <w:tcW w:w="3600" w:type="dxa"/>
            <w:vAlign w:val="bottom"/>
            <w:shd w:val="clear" w:color="auto" w:fill="E5EAF0"/>
          </w:tcPr>
          <w:p>
            <w:pPr>
              <w:ind w:left="260"/>
              <w:spacing w:after="0"/>
              <w:rPr>
                <w:sz w:val="20"/>
                <w:szCs w:val="20"/>
                <w:color w:val="auto"/>
              </w:rPr>
            </w:pPr>
            <w:r>
              <w:rPr>
                <w:rFonts w:ascii="Calibri" w:cs="Calibri" w:eastAsia="Calibri" w:hAnsi="Calibri"/>
                <w:sz w:val="17"/>
                <w:szCs w:val="17"/>
                <w:color w:val="auto"/>
              </w:rPr>
              <w:t>Employee Experience</w:t>
            </w:r>
          </w:p>
        </w:tc>
        <w:tc>
          <w:tcPr>
            <w:tcW w:w="0" w:type="dxa"/>
            <w:vAlign w:val="bottom"/>
          </w:tcPr>
          <w:p>
            <w:pPr>
              <w:spacing w:after="0"/>
              <w:rPr>
                <w:sz w:val="1"/>
                <w:szCs w:val="1"/>
                <w:color w:val="auto"/>
              </w:rPr>
            </w:pPr>
          </w:p>
        </w:tc>
      </w:tr>
      <w:tr>
        <w:trPr>
          <w:trHeight w:val="54"/>
        </w:trPr>
        <w:tc>
          <w:tcPr>
            <w:tcW w:w="3580" w:type="dxa"/>
            <w:vAlign w:val="bottom"/>
            <w:vMerge w:val="continue"/>
            <w:shd w:val="clear" w:color="auto" w:fill="E5EAF0"/>
          </w:tcPr>
          <w:p>
            <w:pPr>
              <w:spacing w:after="0"/>
              <w:rPr>
                <w:sz w:val="4"/>
                <w:szCs w:val="4"/>
                <w:color w:val="auto"/>
              </w:rPr>
            </w:pPr>
          </w:p>
        </w:tc>
        <w:tc>
          <w:tcPr>
            <w:tcW w:w="220" w:type="dxa"/>
            <w:vAlign w:val="bottom"/>
          </w:tcPr>
          <w:p>
            <w:pPr>
              <w:spacing w:after="0"/>
              <w:rPr>
                <w:sz w:val="4"/>
                <w:szCs w:val="4"/>
                <w:color w:val="auto"/>
              </w:rPr>
            </w:pPr>
          </w:p>
        </w:tc>
        <w:tc>
          <w:tcPr>
            <w:tcW w:w="3600" w:type="dxa"/>
            <w:vAlign w:val="bottom"/>
            <w:shd w:val="clear" w:color="auto" w:fill="E5EAF0"/>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E5EAF0"/>
          </w:tcPr>
          <w:p>
            <w:pPr>
              <w:ind w:left="260"/>
              <w:spacing w:after="0"/>
              <w:rPr>
                <w:sz w:val="20"/>
                <w:szCs w:val="20"/>
                <w:color w:val="auto"/>
              </w:rPr>
            </w:pPr>
            <w:r>
              <w:rPr>
                <w:rFonts w:ascii="Calibri" w:cs="Calibri" w:eastAsia="Calibri" w:hAnsi="Calibri"/>
                <w:sz w:val="17"/>
                <w:szCs w:val="17"/>
                <w:color w:val="auto"/>
              </w:rPr>
              <w:t>Rewards Solutons</w:t>
            </w:r>
          </w:p>
        </w:tc>
        <w:tc>
          <w:tcPr>
            <w:tcW w:w="220" w:type="dxa"/>
            <w:vAlign w:val="bottom"/>
          </w:tcPr>
          <w:p>
            <w:pPr>
              <w:spacing w:after="0"/>
              <w:rPr>
                <w:sz w:val="18"/>
                <w:szCs w:val="18"/>
                <w:color w:val="auto"/>
              </w:rPr>
            </w:pPr>
          </w:p>
        </w:tc>
        <w:tc>
          <w:tcPr>
            <w:tcW w:w="3600" w:type="dxa"/>
            <w:vAlign w:val="bottom"/>
            <w:shd w:val="clear" w:color="auto" w:fill="E5EAF0"/>
          </w:tcPr>
          <w:p>
            <w:pPr>
              <w:spacing w:after="0"/>
              <w:rPr>
                <w:sz w:val="18"/>
                <w:szCs w:val="18"/>
                <w:color w:val="auto"/>
              </w:rPr>
            </w:pPr>
          </w:p>
        </w:tc>
        <w:tc>
          <w:tcPr>
            <w:tcW w:w="0" w:type="dxa"/>
            <w:vAlign w:val="bottom"/>
          </w:tcPr>
          <w:p>
            <w:pPr>
              <w:spacing w:after="0"/>
              <w:rPr>
                <w:sz w:val="1"/>
                <w:szCs w:val="1"/>
                <w:color w:val="auto"/>
              </w:rPr>
            </w:pPr>
          </w:p>
        </w:tc>
      </w:tr>
      <w:tr>
        <w:trPr>
          <w:trHeight w:val="781"/>
        </w:trPr>
        <w:tc>
          <w:tcPr>
            <w:tcW w:w="3580" w:type="dxa"/>
            <w:vAlign w:val="bottom"/>
            <w:shd w:val="clear" w:color="auto" w:fill="E5EAF0"/>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shd w:val="clear" w:color="auto" w:fill="E5EAF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-2408555</wp:posOffset>
            </wp:positionV>
            <wp:extent cx="325755" cy="3257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-2408555</wp:posOffset>
            </wp:positionV>
            <wp:extent cx="325755" cy="3257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color w:val="818EB4"/>
        </w:rPr>
        <w:t>Workforce Diversity and Inclusion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702"/>
        <w:spacing w:after="0"/>
        <w:rPr>
          <w:sz w:val="20"/>
          <w:szCs w:val="20"/>
          <w:color w:val="auto"/>
        </w:rPr>
      </w:pPr>
      <w:r>
        <w:rPr>
          <w:rFonts w:ascii="Arial" w:cs="Arial" w:eastAsia="Arial" w:hAnsi="Arial"/>
          <w:sz w:val="17"/>
          <w:szCs w:val="17"/>
          <w:color w:val="003478"/>
        </w:rPr>
        <w:t>OPTIMIZE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-323850</wp:posOffset>
            </wp:positionV>
            <wp:extent cx="2297430" cy="24942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97430" cy="249428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62" w:right="240" w:hanging="162"/>
        <w:spacing w:after="0" w:line="245" w:lineRule="auto"/>
        <w:tabs>
          <w:tab w:leader="none" w:pos="155" w:val="left"/>
        </w:tabs>
        <w:numPr>
          <w:ilvl w:val="0"/>
          <w:numId w:val="52"/>
        </w:numPr>
        <w:rPr>
          <w:rFonts w:ascii="Calibri" w:cs="Calibri" w:eastAsia="Calibri" w:hAnsi="Calibri"/>
          <w:sz w:val="17"/>
          <w:szCs w:val="17"/>
          <w:color w:val="003478"/>
        </w:rPr>
      </w:pPr>
      <w:r>
        <w:rPr>
          <w:rFonts w:ascii="Calibri" w:cs="Calibri" w:eastAsia="Calibri" w:hAnsi="Calibri"/>
          <w:sz w:val="17"/>
          <w:szCs w:val="17"/>
          <w:color w:val="auto"/>
        </w:rPr>
        <w:t>Strengthen Inclusion, Engagement, Diversity and Belonging</w:t>
      </w:r>
    </w:p>
    <w:p>
      <w:pPr>
        <w:spacing w:after="0" w:line="58" w:lineRule="exact"/>
        <w:rPr>
          <w:rFonts w:ascii="Calibri" w:cs="Calibri" w:eastAsia="Calibri" w:hAnsi="Calibri"/>
          <w:sz w:val="17"/>
          <w:szCs w:val="17"/>
          <w:color w:val="003478"/>
        </w:rPr>
      </w:pPr>
    </w:p>
    <w:p>
      <w:pPr>
        <w:ind w:left="162" w:hanging="162"/>
        <w:spacing w:after="0"/>
        <w:tabs>
          <w:tab w:leader="none" w:pos="162" w:val="left"/>
        </w:tabs>
        <w:numPr>
          <w:ilvl w:val="0"/>
          <w:numId w:val="52"/>
        </w:numPr>
        <w:rPr>
          <w:rFonts w:ascii="Calibri" w:cs="Calibri" w:eastAsia="Calibri" w:hAnsi="Calibri"/>
          <w:sz w:val="17"/>
          <w:szCs w:val="17"/>
          <w:color w:val="003478"/>
        </w:rPr>
      </w:pPr>
      <w:r>
        <w:rPr>
          <w:rFonts w:ascii="Calibri" w:cs="Calibri" w:eastAsia="Calibri" w:hAnsi="Calibri"/>
          <w:sz w:val="17"/>
          <w:szCs w:val="17"/>
          <w:color w:val="auto"/>
        </w:rPr>
        <w:t>Evolving our culture to accelerate cross</w:t>
      </w:r>
    </w:p>
    <w:p>
      <w:pPr>
        <w:spacing w:after="0" w:line="25" w:lineRule="exact"/>
        <w:rPr>
          <w:rFonts w:ascii="Calibri" w:cs="Calibri" w:eastAsia="Calibri" w:hAnsi="Calibri"/>
          <w:sz w:val="17"/>
          <w:szCs w:val="17"/>
          <w:color w:val="003478"/>
        </w:rPr>
      </w:pPr>
    </w:p>
    <w:p>
      <w:pPr>
        <w:ind w:left="162" w:right="520"/>
        <w:spacing w:after="0" w:line="245" w:lineRule="auto"/>
        <w:rPr>
          <w:rFonts w:ascii="Calibri" w:cs="Calibri" w:eastAsia="Calibri" w:hAnsi="Calibri"/>
          <w:sz w:val="17"/>
          <w:szCs w:val="17"/>
          <w:color w:val="003478"/>
        </w:rPr>
      </w:pPr>
      <w:r>
        <w:rPr>
          <w:rFonts w:ascii="Calibri" w:cs="Calibri" w:eastAsia="Calibri" w:hAnsi="Calibri"/>
          <w:sz w:val="17"/>
          <w:szCs w:val="17"/>
          <w:color w:val="auto"/>
        </w:rPr>
        <w:t>business segment collaboraton and our business strategy</w:t>
      </w:r>
    </w:p>
    <w:p>
      <w:pPr>
        <w:spacing w:after="0" w:line="75" w:lineRule="exact"/>
        <w:rPr>
          <w:rFonts w:ascii="Calibri" w:cs="Calibri" w:eastAsia="Calibri" w:hAnsi="Calibri"/>
          <w:sz w:val="17"/>
          <w:szCs w:val="17"/>
          <w:color w:val="003478"/>
        </w:rPr>
      </w:pPr>
    </w:p>
    <w:p>
      <w:pPr>
        <w:jc w:val="both"/>
        <w:ind w:left="162" w:right="540" w:hanging="162"/>
        <w:spacing w:after="0" w:line="255" w:lineRule="auto"/>
        <w:tabs>
          <w:tab w:leader="none" w:pos="155" w:val="left"/>
        </w:tabs>
        <w:numPr>
          <w:ilvl w:val="0"/>
          <w:numId w:val="52"/>
        </w:numPr>
        <w:rPr>
          <w:rFonts w:ascii="Calibri" w:cs="Calibri" w:eastAsia="Calibri" w:hAnsi="Calibri"/>
          <w:sz w:val="17"/>
          <w:szCs w:val="17"/>
          <w:color w:val="003478"/>
        </w:rPr>
      </w:pPr>
      <w:r>
        <w:rPr>
          <w:rFonts w:ascii="Calibri" w:cs="Calibri" w:eastAsia="Calibri" w:hAnsi="Calibri"/>
          <w:sz w:val="17"/>
          <w:szCs w:val="17"/>
          <w:color w:val="auto"/>
        </w:rPr>
        <w:t>Accelerate LMForward (a mult-faceted initatve for long-term work and facility solutons for the future)</w:t>
      </w:r>
    </w:p>
    <w:p>
      <w:pPr>
        <w:spacing w:after="0" w:line="54" w:lineRule="exact"/>
        <w:rPr>
          <w:rFonts w:ascii="Calibri" w:cs="Calibri" w:eastAsia="Calibri" w:hAnsi="Calibri"/>
          <w:sz w:val="17"/>
          <w:szCs w:val="17"/>
          <w:color w:val="003478"/>
        </w:rPr>
      </w:pPr>
    </w:p>
    <w:p>
      <w:pPr>
        <w:ind w:left="162" w:right="280" w:hanging="162"/>
        <w:spacing w:after="0" w:line="261" w:lineRule="auto"/>
        <w:tabs>
          <w:tab w:leader="none" w:pos="155" w:val="left"/>
        </w:tabs>
        <w:numPr>
          <w:ilvl w:val="0"/>
          <w:numId w:val="52"/>
        </w:numPr>
        <w:rPr>
          <w:rFonts w:ascii="Calibri" w:cs="Calibri" w:eastAsia="Calibri" w:hAnsi="Calibri"/>
          <w:sz w:val="17"/>
          <w:szCs w:val="17"/>
          <w:color w:val="003478"/>
        </w:rPr>
      </w:pPr>
      <w:r>
        <w:rPr>
          <w:rFonts w:ascii="Calibri" w:cs="Calibri" w:eastAsia="Calibri" w:hAnsi="Calibri"/>
          <w:sz w:val="17"/>
          <w:szCs w:val="17"/>
          <w:color w:val="auto"/>
        </w:rPr>
        <w:t>Cultvate Union and Represented Employee Engagement and Collaboraton</w:t>
      </w:r>
    </w:p>
    <w:p>
      <w:pPr>
        <w:spacing w:after="0" w:line="48" w:lineRule="exact"/>
        <w:rPr>
          <w:rFonts w:ascii="Calibri" w:cs="Calibri" w:eastAsia="Calibri" w:hAnsi="Calibri"/>
          <w:sz w:val="17"/>
          <w:szCs w:val="17"/>
          <w:color w:val="003478"/>
        </w:rPr>
      </w:pPr>
    </w:p>
    <w:p>
      <w:pPr>
        <w:ind w:left="162" w:right="380" w:hanging="162"/>
        <w:spacing w:after="0" w:line="261" w:lineRule="auto"/>
        <w:tabs>
          <w:tab w:leader="none" w:pos="155" w:val="left"/>
        </w:tabs>
        <w:numPr>
          <w:ilvl w:val="0"/>
          <w:numId w:val="52"/>
        </w:numPr>
        <w:rPr>
          <w:rFonts w:ascii="Calibri" w:cs="Calibri" w:eastAsia="Calibri" w:hAnsi="Calibri"/>
          <w:sz w:val="17"/>
          <w:szCs w:val="17"/>
          <w:color w:val="003478"/>
        </w:rPr>
      </w:pPr>
      <w:r>
        <w:rPr>
          <w:rFonts w:ascii="Calibri" w:cs="Calibri" w:eastAsia="Calibri" w:hAnsi="Calibri"/>
          <w:sz w:val="17"/>
          <w:szCs w:val="17"/>
          <w:color w:val="auto"/>
        </w:rPr>
        <w:t>Leverage Mult-Media Communicatons to Deepen Employee Mission Connecton</w:t>
      </w:r>
    </w:p>
    <w:p>
      <w:pPr>
        <w:spacing w:after="0" w:line="682" w:lineRule="exact"/>
        <w:rPr>
          <w:sz w:val="20"/>
          <w:szCs w:val="20"/>
          <w:color w:val="auto"/>
        </w:rPr>
      </w:pPr>
    </w:p>
    <w:p>
      <w:pPr>
        <w:sectPr>
          <w:pgSz w:w="11900" w:h="16838" w:orient="portrait"/>
          <w:cols w:equalWidth="0" w:num="2">
            <w:col w:w="7400" w:space="318"/>
            <w:col w:w="3522"/>
          </w:cols>
          <w:pgMar w:left="320" w:top="231" w:right="339" w:bottom="1440" w:gutter="0" w:footer="0" w:header="0"/>
          <w:type w:val="continuous"/>
        </w:sectPr>
      </w:pPr>
    </w:p>
    <w:p>
      <w:pPr>
        <w:ind w:right="100"/>
        <w:spacing w:after="0" w:line="255" w:lineRule="auto"/>
        <w:rPr>
          <w:sz w:val="20"/>
          <w:szCs w:val="20"/>
          <w:color w:val="auto"/>
        </w:rPr>
      </w:pPr>
      <w:r>
        <w:rPr>
          <w:rFonts w:ascii="Calibri" w:cs="Calibri" w:eastAsia="Calibri" w:hAnsi="Calibri"/>
          <w:sz w:val="17"/>
          <w:szCs w:val="17"/>
          <w:color w:val="auto"/>
        </w:rPr>
        <w:t>We view diversity and inclusion (D&amp;I) as a business imperatve that it is key to our future success. To actvely atract, develop and retain a diverse workforce and evolve our inclusive culture, we support a robust D&amp;I enterprise strategy, provide tailored educaton and engagement programs, and maintain dedicated resources in all our Business Segments, domestcally and internatonally.</w:t>
      </w:r>
    </w:p>
    <w:p>
      <w:pPr>
        <w:spacing w:after="0" w:line="108" w:lineRule="exact"/>
        <w:rPr>
          <w:sz w:val="20"/>
          <w:szCs w:val="20"/>
          <w:color w:val="auto"/>
        </w:rPr>
      </w:pPr>
    </w:p>
    <w:p>
      <w:pPr>
        <w:spacing w:after="0" w:line="256" w:lineRule="auto"/>
        <w:rPr>
          <w:sz w:val="20"/>
          <w:szCs w:val="20"/>
          <w:color w:val="auto"/>
        </w:rPr>
      </w:pPr>
      <w:r>
        <w:rPr>
          <w:rFonts w:ascii="Calibri" w:cs="Calibri" w:eastAsia="Calibri" w:hAnsi="Calibri"/>
          <w:sz w:val="17"/>
          <w:szCs w:val="17"/>
          <w:color w:val="auto"/>
        </w:rPr>
        <w:t>We have focused our D&amp;I initatves on employee recruitment, including fnancial contributons to and student recruitment from Minority-Serving Insttutons, employee training and development, such as eforts focused on expanding the diverse talent pipeline, and employee engagement, including through partcipaton in our employee Business Resource Groups (BRGs). Our BRGs are a strategic enabler of our D&amp;I strategy. They are voluntary, employee-led groups that are open to all employees while focusing on workplace issues specifc to racial/ethnic, gender, sexual orientaton/gender identty, disability or veteran status. The BRGs foster a diverse and inclusive workplace aligned with our organizatonal mission, values, goals and business practces and drive awareness and change within our organizaton. Our commitment to the BRGs is demonstrated through our assignment of executve sponsors, our investments in programming, and the formal policies and management we have established to support their governance. Several of our Board members have partcipated in our BRGs, including Mr. Dunford (MilVets Forum) and Mr. Johnson (Black Excellence Council). In additon, Mr. Taiclet engages with each BRG via their annual leadership forums. The Company’s Executve Inclusion Council, comprised of the Company’s most senior leaders, reinforces D&amp;I strategies as imperatve business drivers through advocatng and supportng D&amp;I within their business segment and key functons.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Environmental, Social and Governance</w:t>
      </w:r>
    </w:p>
    <w:p>
      <w:pPr>
        <w:spacing w:after="0" w:line="200" w:lineRule="exact"/>
        <w:rPr>
          <w:sz w:val="20"/>
          <w:szCs w:val="20"/>
          <w:color w:val="auto"/>
        </w:rPr>
      </w:pPr>
    </w:p>
    <w:p>
      <w:pPr>
        <w:spacing w:after="0" w:line="374" w:lineRule="exact"/>
        <w:rPr>
          <w:sz w:val="20"/>
          <w:szCs w:val="20"/>
          <w:color w:val="auto"/>
        </w:rPr>
      </w:pPr>
    </w:p>
    <w:p>
      <w:pPr>
        <w:ind w:right="380"/>
        <w:spacing w:after="0" w:line="245" w:lineRule="auto"/>
        <w:rPr>
          <w:sz w:val="20"/>
          <w:szCs w:val="20"/>
          <w:color w:val="auto"/>
        </w:rPr>
      </w:pPr>
      <w:r>
        <w:rPr>
          <w:rFonts w:ascii="Calibri" w:cs="Calibri" w:eastAsia="Calibri" w:hAnsi="Calibri"/>
          <w:sz w:val="17"/>
          <w:szCs w:val="17"/>
          <w:color w:val="auto"/>
        </w:rPr>
        <w:t>We also strive to be inclusive in our recruitment process by working to atract and create pathways for diverse talent by partnering with Minority-Serving Insttutons, strengthening STEM pipelines and providing our recruiters with tools to recruit inclusively and equitably.</w:t>
      </w:r>
    </w:p>
    <w:p>
      <w:pPr>
        <w:spacing w:after="0" w:line="130" w:lineRule="exact"/>
        <w:rPr>
          <w:sz w:val="20"/>
          <w:szCs w:val="20"/>
          <w:color w:val="auto"/>
        </w:rPr>
      </w:pPr>
    </w:p>
    <w:p>
      <w:pPr>
        <w:ind w:right="160"/>
        <w:spacing w:after="0" w:line="255" w:lineRule="auto"/>
        <w:rPr>
          <w:sz w:val="20"/>
          <w:szCs w:val="20"/>
          <w:color w:val="auto"/>
        </w:rPr>
      </w:pPr>
      <w:r>
        <w:rPr>
          <w:rFonts w:ascii="Calibri" w:cs="Calibri" w:eastAsia="Calibri" w:hAnsi="Calibri"/>
          <w:sz w:val="17"/>
          <w:szCs w:val="17"/>
          <w:color w:val="auto"/>
        </w:rPr>
        <w:t>Through these and other focused eforts, we have improved the diversity of our overall U.S. workforce and within leadership positons, specifcally in the representaton of women, people of color and people with disabilites. Additonally, veteran representaton in our workforce remains outstanding, at almost four tmes the current annual natonal percentage of veterans in the civilian workforce.</w:t>
      </w:r>
    </w:p>
    <w:p>
      <w:pPr>
        <w:spacing w:after="0" w:line="105" w:lineRule="exact"/>
        <w:rPr>
          <w:sz w:val="20"/>
          <w:szCs w:val="20"/>
          <w:color w:val="auto"/>
        </w:rPr>
      </w:pPr>
    </w:p>
    <w:p>
      <w:pPr>
        <w:ind w:left="340"/>
        <w:spacing w:after="0"/>
        <w:rPr>
          <w:sz w:val="20"/>
          <w:szCs w:val="20"/>
          <w:color w:val="auto"/>
        </w:rPr>
      </w:pPr>
      <w:r>
        <w:rPr>
          <w:rFonts w:ascii="Calibri" w:cs="Calibri" w:eastAsia="Calibri" w:hAnsi="Calibri"/>
          <w:sz w:val="17"/>
          <w:szCs w:val="17"/>
          <w:color w:val="auto"/>
        </w:rPr>
        <w:t>Employee Profle (as of December 31,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0" w:type="dxa"/>
            <w:vAlign w:val="bottom"/>
            <w:shd w:val="clear" w:color="auto" w:fill="E4E6EF"/>
          </w:tcPr>
          <w:p>
            <w:pPr>
              <w:spacing w:after="0"/>
              <w:rPr>
                <w:sz w:val="16"/>
                <w:szCs w:val="16"/>
                <w:color w:val="auto"/>
              </w:rPr>
            </w:pPr>
          </w:p>
        </w:tc>
        <w:tc>
          <w:tcPr>
            <w:tcW w:w="3860" w:type="dxa"/>
            <w:vAlign w:val="bottom"/>
            <w:vMerge w:val="restart"/>
            <w:shd w:val="clear" w:color="auto" w:fill="E4E6EF"/>
          </w:tcPr>
          <w:p>
            <w:pPr>
              <w:jc w:val="right"/>
              <w:ind w:right="208"/>
              <w:spacing w:after="0"/>
              <w:rPr>
                <w:sz w:val="20"/>
                <w:szCs w:val="20"/>
                <w:color w:val="auto"/>
              </w:rPr>
            </w:pPr>
            <w:r>
              <w:rPr>
                <w:rFonts w:ascii="Arial" w:cs="Arial" w:eastAsia="Arial" w:hAnsi="Arial"/>
                <w:sz w:val="14"/>
                <w:szCs w:val="14"/>
                <w:color w:val="auto"/>
              </w:rPr>
              <w:t>Women</w:t>
            </w:r>
            <w:r>
              <w:rPr>
                <w:rFonts w:ascii="Arial" w:cs="Arial" w:eastAsia="Arial" w:hAnsi="Arial"/>
                <w:sz w:val="18"/>
                <w:szCs w:val="18"/>
                <w:color w:val="auto"/>
                <w:vertAlign w:val="superscript"/>
              </w:rPr>
              <w:t>(a)</w:t>
            </w:r>
          </w:p>
        </w:tc>
        <w:tc>
          <w:tcPr>
            <w:tcW w:w="1160" w:type="dxa"/>
            <w:vAlign w:val="bottom"/>
            <w:shd w:val="clear" w:color="auto" w:fill="E4E6EF"/>
          </w:tcPr>
          <w:p>
            <w:pPr>
              <w:jc w:val="right"/>
              <w:ind w:right="208"/>
              <w:spacing w:after="0"/>
              <w:rPr>
                <w:sz w:val="20"/>
                <w:szCs w:val="20"/>
                <w:color w:val="auto"/>
              </w:rPr>
            </w:pPr>
            <w:r>
              <w:rPr>
                <w:rFonts w:ascii="Arial" w:cs="Arial" w:eastAsia="Arial" w:hAnsi="Arial"/>
                <w:sz w:val="14"/>
                <w:szCs w:val="14"/>
                <w:color w:val="auto"/>
              </w:rPr>
              <w:t>People of</w:t>
            </w:r>
          </w:p>
        </w:tc>
        <w:tc>
          <w:tcPr>
            <w:tcW w:w="1280" w:type="dxa"/>
            <w:vAlign w:val="bottom"/>
            <w:vMerge w:val="restart"/>
            <w:shd w:val="clear" w:color="auto" w:fill="E4E6EF"/>
          </w:tcPr>
          <w:p>
            <w:pPr>
              <w:jc w:val="right"/>
              <w:ind w:right="228"/>
              <w:spacing w:after="0"/>
              <w:rPr>
                <w:sz w:val="20"/>
                <w:szCs w:val="20"/>
                <w:color w:val="auto"/>
              </w:rPr>
            </w:pPr>
            <w:r>
              <w:rPr>
                <w:rFonts w:ascii="Arial" w:cs="Arial" w:eastAsia="Arial" w:hAnsi="Arial"/>
                <w:sz w:val="14"/>
                <w:szCs w:val="14"/>
                <w:color w:val="auto"/>
              </w:rPr>
              <w:t>Veterans</w:t>
            </w:r>
            <w:r>
              <w:rPr>
                <w:rFonts w:ascii="Arial" w:cs="Arial" w:eastAsia="Arial" w:hAnsi="Arial"/>
                <w:sz w:val="18"/>
                <w:szCs w:val="18"/>
                <w:color w:val="auto"/>
                <w:vertAlign w:val="superscript"/>
              </w:rPr>
              <w:t>(a)</w:t>
            </w:r>
          </w:p>
        </w:tc>
        <w:tc>
          <w:tcPr>
            <w:tcW w:w="11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People with</w:t>
            </w:r>
          </w:p>
        </w:tc>
        <w:tc>
          <w:tcPr>
            <w:tcW w:w="0" w:type="dxa"/>
            <w:vAlign w:val="bottom"/>
          </w:tcPr>
          <w:p>
            <w:pPr>
              <w:spacing w:after="0"/>
              <w:rPr>
                <w:sz w:val="1"/>
                <w:szCs w:val="1"/>
                <w:color w:val="auto"/>
              </w:rPr>
            </w:pPr>
          </w:p>
        </w:tc>
      </w:tr>
      <w:tr>
        <w:trPr>
          <w:trHeight w:val="252"/>
        </w:trPr>
        <w:tc>
          <w:tcPr>
            <w:tcW w:w="3800" w:type="dxa"/>
            <w:vAlign w:val="bottom"/>
            <w:tcBorders>
              <w:bottom w:val="single" w:sz="8" w:color="003478"/>
            </w:tcBorders>
            <w:shd w:val="clear" w:color="auto" w:fill="E4E6EF"/>
          </w:tcPr>
          <w:p>
            <w:pPr>
              <w:spacing w:after="0"/>
              <w:rPr>
                <w:sz w:val="21"/>
                <w:szCs w:val="21"/>
                <w:color w:val="auto"/>
              </w:rPr>
            </w:pPr>
          </w:p>
        </w:tc>
        <w:tc>
          <w:tcPr>
            <w:tcW w:w="3860" w:type="dxa"/>
            <w:vAlign w:val="bottom"/>
            <w:tcBorders>
              <w:bottom w:val="single" w:sz="8" w:color="003478"/>
            </w:tcBorders>
            <w:vMerge w:val="continue"/>
            <w:shd w:val="clear" w:color="auto" w:fill="E4E6EF"/>
          </w:tcPr>
          <w:p>
            <w:pPr>
              <w:spacing w:after="0"/>
              <w:rPr>
                <w:sz w:val="21"/>
                <w:szCs w:val="21"/>
                <w:color w:val="auto"/>
              </w:rPr>
            </w:pPr>
          </w:p>
        </w:tc>
        <w:tc>
          <w:tcPr>
            <w:tcW w:w="1160" w:type="dxa"/>
            <w:vAlign w:val="bottom"/>
            <w:tcBorders>
              <w:bottom w:val="single" w:sz="8" w:color="003478"/>
            </w:tcBorders>
            <w:shd w:val="clear" w:color="auto" w:fill="E4E6EF"/>
          </w:tcPr>
          <w:p>
            <w:pPr>
              <w:jc w:val="right"/>
              <w:ind w:right="208"/>
              <w:spacing w:after="0"/>
              <w:rPr>
                <w:sz w:val="20"/>
                <w:szCs w:val="20"/>
                <w:color w:val="auto"/>
              </w:rPr>
            </w:pPr>
            <w:r>
              <w:rPr>
                <w:rFonts w:ascii="Arial" w:cs="Arial" w:eastAsia="Arial" w:hAnsi="Arial"/>
                <w:sz w:val="14"/>
                <w:szCs w:val="14"/>
                <w:color w:val="auto"/>
              </w:rPr>
              <w:t>Color</w:t>
            </w:r>
            <w:r>
              <w:rPr>
                <w:rFonts w:ascii="Arial" w:cs="Arial" w:eastAsia="Arial" w:hAnsi="Arial"/>
                <w:sz w:val="18"/>
                <w:szCs w:val="18"/>
                <w:color w:val="auto"/>
                <w:vertAlign w:val="superscript"/>
              </w:rPr>
              <w:t>(a)</w:t>
            </w:r>
          </w:p>
        </w:tc>
        <w:tc>
          <w:tcPr>
            <w:tcW w:w="1280" w:type="dxa"/>
            <w:vAlign w:val="bottom"/>
            <w:tcBorders>
              <w:bottom w:val="single" w:sz="8" w:color="003478"/>
            </w:tcBorders>
            <w:vMerge w:val="continue"/>
            <w:shd w:val="clear" w:color="auto" w:fill="E4E6EF"/>
          </w:tcPr>
          <w:p>
            <w:pPr>
              <w:spacing w:after="0"/>
              <w:rPr>
                <w:sz w:val="21"/>
                <w:szCs w:val="21"/>
                <w:color w:val="auto"/>
              </w:rPr>
            </w:pPr>
          </w:p>
        </w:tc>
        <w:tc>
          <w:tcPr>
            <w:tcW w:w="1140" w:type="dxa"/>
            <w:vAlign w:val="bottom"/>
            <w:tcBorders>
              <w:bottom w:val="single" w:sz="8" w:color="003478"/>
            </w:tcBorders>
            <w:shd w:val="clear" w:color="auto" w:fill="E4E6EF"/>
          </w:tcPr>
          <w:p>
            <w:pPr>
              <w:jc w:val="right"/>
              <w:spacing w:after="0"/>
              <w:rPr>
                <w:sz w:val="20"/>
                <w:szCs w:val="20"/>
                <w:color w:val="auto"/>
              </w:rPr>
            </w:pPr>
            <w:r>
              <w:rPr>
                <w:rFonts w:ascii="Arial" w:cs="Arial" w:eastAsia="Arial" w:hAnsi="Arial"/>
                <w:sz w:val="14"/>
                <w:szCs w:val="14"/>
                <w:color w:val="auto"/>
              </w:rPr>
              <w:t>Disabilities</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204"/>
        </w:trPr>
        <w:tc>
          <w:tcPr>
            <w:tcW w:w="3800" w:type="dxa"/>
            <w:vAlign w:val="bottom"/>
          </w:tcPr>
          <w:p>
            <w:pPr>
              <w:ind w:left="20"/>
              <w:spacing w:after="0"/>
              <w:rPr>
                <w:sz w:val="20"/>
                <w:szCs w:val="20"/>
                <w:color w:val="auto"/>
              </w:rPr>
            </w:pPr>
            <w:r>
              <w:rPr>
                <w:rFonts w:ascii="Arial" w:cs="Arial" w:eastAsia="Arial" w:hAnsi="Arial"/>
                <w:sz w:val="14"/>
                <w:szCs w:val="14"/>
                <w:color w:val="auto"/>
              </w:rPr>
              <w:t>Overall</w:t>
            </w:r>
          </w:p>
        </w:tc>
        <w:tc>
          <w:tcPr>
            <w:tcW w:w="3860" w:type="dxa"/>
            <w:vAlign w:val="bottom"/>
          </w:tcPr>
          <w:p>
            <w:pPr>
              <w:jc w:val="right"/>
              <w:ind w:right="208"/>
              <w:spacing w:after="0"/>
              <w:rPr>
                <w:sz w:val="20"/>
                <w:szCs w:val="20"/>
                <w:color w:val="auto"/>
              </w:rPr>
            </w:pPr>
            <w:r>
              <w:rPr>
                <w:rFonts w:ascii="Calibri" w:cs="Calibri" w:eastAsia="Calibri" w:hAnsi="Calibri"/>
                <w:sz w:val="14"/>
                <w:szCs w:val="14"/>
                <w:color w:val="auto"/>
              </w:rPr>
              <w:t>23 %</w:t>
            </w:r>
          </w:p>
        </w:tc>
        <w:tc>
          <w:tcPr>
            <w:tcW w:w="1160" w:type="dxa"/>
            <w:vAlign w:val="bottom"/>
          </w:tcPr>
          <w:p>
            <w:pPr>
              <w:jc w:val="right"/>
              <w:ind w:right="208"/>
              <w:spacing w:after="0"/>
              <w:rPr>
                <w:sz w:val="20"/>
                <w:szCs w:val="20"/>
                <w:color w:val="auto"/>
              </w:rPr>
            </w:pPr>
            <w:r>
              <w:rPr>
                <w:rFonts w:ascii="Calibri" w:cs="Calibri" w:eastAsia="Calibri" w:hAnsi="Calibri"/>
                <w:sz w:val="14"/>
                <w:szCs w:val="14"/>
                <w:color w:val="auto"/>
              </w:rPr>
              <w:t>30 %</w:t>
            </w:r>
          </w:p>
        </w:tc>
        <w:tc>
          <w:tcPr>
            <w:tcW w:w="1280" w:type="dxa"/>
            <w:vAlign w:val="bottom"/>
          </w:tcPr>
          <w:p>
            <w:pPr>
              <w:jc w:val="right"/>
              <w:ind w:right="228"/>
              <w:spacing w:after="0"/>
              <w:rPr>
                <w:sz w:val="20"/>
                <w:szCs w:val="20"/>
                <w:color w:val="auto"/>
              </w:rPr>
            </w:pPr>
            <w:r>
              <w:rPr>
                <w:rFonts w:ascii="Calibri" w:cs="Calibri" w:eastAsia="Calibri" w:hAnsi="Calibri"/>
                <w:sz w:val="14"/>
                <w:szCs w:val="14"/>
                <w:color w:val="auto"/>
              </w:rPr>
              <w:t>21 %</w:t>
            </w:r>
          </w:p>
        </w:tc>
        <w:tc>
          <w:tcPr>
            <w:tcW w:w="1140" w:type="dxa"/>
            <w:vAlign w:val="bottom"/>
          </w:tcPr>
          <w:p>
            <w:pPr>
              <w:jc w:val="right"/>
              <w:spacing w:after="0"/>
              <w:rPr>
                <w:sz w:val="20"/>
                <w:szCs w:val="20"/>
                <w:color w:val="auto"/>
              </w:rPr>
            </w:pPr>
            <w:r>
              <w:rPr>
                <w:rFonts w:ascii="Calibri" w:cs="Calibri" w:eastAsia="Calibri" w:hAnsi="Calibri"/>
                <w:sz w:val="14"/>
                <w:szCs w:val="14"/>
                <w:color w:val="auto"/>
              </w:rPr>
              <w:t>11 %</w:t>
            </w:r>
          </w:p>
        </w:tc>
        <w:tc>
          <w:tcPr>
            <w:tcW w:w="0" w:type="dxa"/>
            <w:vAlign w:val="bottom"/>
          </w:tcPr>
          <w:p>
            <w:pPr>
              <w:spacing w:after="0"/>
              <w:rPr>
                <w:sz w:val="1"/>
                <w:szCs w:val="1"/>
                <w:color w:val="auto"/>
              </w:rPr>
            </w:pPr>
          </w:p>
        </w:tc>
      </w:tr>
      <w:tr>
        <w:trPr>
          <w:trHeight w:val="22"/>
        </w:trPr>
        <w:tc>
          <w:tcPr>
            <w:tcW w:w="3800" w:type="dxa"/>
            <w:vAlign w:val="bottom"/>
            <w:tcBorders>
              <w:bottom w:val="single" w:sz="8" w:color="959595"/>
            </w:tcBorders>
          </w:tcPr>
          <w:p>
            <w:pPr>
              <w:spacing w:after="0" w:line="20" w:lineRule="exact"/>
              <w:rPr>
                <w:sz w:val="1"/>
                <w:szCs w:val="1"/>
                <w:color w:val="auto"/>
              </w:rPr>
            </w:pPr>
          </w:p>
        </w:tc>
        <w:tc>
          <w:tcPr>
            <w:tcW w:w="3860" w:type="dxa"/>
            <w:vAlign w:val="bottom"/>
            <w:tcBorders>
              <w:bottom w:val="single" w:sz="8" w:color="959595"/>
            </w:tcBorders>
          </w:tcPr>
          <w:p>
            <w:pPr>
              <w:spacing w:after="0" w:line="20" w:lineRule="exact"/>
              <w:rPr>
                <w:sz w:val="1"/>
                <w:szCs w:val="1"/>
                <w:color w:val="auto"/>
              </w:rPr>
            </w:pPr>
          </w:p>
        </w:tc>
        <w:tc>
          <w:tcPr>
            <w:tcW w:w="1160" w:type="dxa"/>
            <w:vAlign w:val="bottom"/>
            <w:tcBorders>
              <w:bottom w:val="single" w:sz="8" w:color="959595"/>
            </w:tcBorders>
          </w:tcPr>
          <w:p>
            <w:pPr>
              <w:spacing w:after="0" w:line="20" w:lineRule="exact"/>
              <w:rPr>
                <w:sz w:val="1"/>
                <w:szCs w:val="1"/>
                <w:color w:val="auto"/>
              </w:rPr>
            </w:pPr>
          </w:p>
        </w:tc>
        <w:tc>
          <w:tcPr>
            <w:tcW w:w="1280" w:type="dxa"/>
            <w:vAlign w:val="bottom"/>
            <w:tcBorders>
              <w:bottom w:val="single" w:sz="8" w:color="959595"/>
            </w:tcBorders>
          </w:tcPr>
          <w:p>
            <w:pPr>
              <w:spacing w:after="0" w:line="20" w:lineRule="exact"/>
              <w:rPr>
                <w:sz w:val="1"/>
                <w:szCs w:val="1"/>
                <w:color w:val="auto"/>
              </w:rPr>
            </w:pPr>
          </w:p>
        </w:tc>
        <w:tc>
          <w:tcPr>
            <w:tcW w:w="1140" w:type="dxa"/>
            <w:vAlign w:val="bottom"/>
            <w:tcBorders>
              <w:bottom w:val="single" w:sz="8" w:color="95959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800" w:type="dxa"/>
            <w:vAlign w:val="bottom"/>
          </w:tcPr>
          <w:p>
            <w:pPr>
              <w:ind w:left="20"/>
              <w:spacing w:after="0"/>
              <w:rPr>
                <w:sz w:val="20"/>
                <w:szCs w:val="20"/>
                <w:color w:val="auto"/>
              </w:rPr>
            </w:pPr>
            <w:r>
              <w:rPr>
                <w:rFonts w:ascii="Arial" w:cs="Arial" w:eastAsia="Arial" w:hAnsi="Arial"/>
                <w:sz w:val="14"/>
                <w:szCs w:val="14"/>
                <w:color w:val="auto"/>
              </w:rPr>
              <w:t>Executives</w:t>
            </w:r>
            <w:r>
              <w:rPr>
                <w:rFonts w:ascii="Arial" w:cs="Arial" w:eastAsia="Arial" w:hAnsi="Arial"/>
                <w:sz w:val="18"/>
                <w:szCs w:val="18"/>
                <w:color w:val="auto"/>
                <w:vertAlign w:val="superscript"/>
              </w:rPr>
              <w:t>(b)</w:t>
            </w:r>
          </w:p>
        </w:tc>
        <w:tc>
          <w:tcPr>
            <w:tcW w:w="3860" w:type="dxa"/>
            <w:vAlign w:val="bottom"/>
            <w:vMerge w:val="restart"/>
          </w:tcPr>
          <w:p>
            <w:pPr>
              <w:jc w:val="right"/>
              <w:ind w:right="208"/>
              <w:spacing w:after="0"/>
              <w:rPr>
                <w:sz w:val="20"/>
                <w:szCs w:val="20"/>
                <w:color w:val="auto"/>
              </w:rPr>
            </w:pPr>
            <w:r>
              <w:rPr>
                <w:rFonts w:ascii="Calibri" w:cs="Calibri" w:eastAsia="Calibri" w:hAnsi="Calibri"/>
                <w:sz w:val="14"/>
                <w:szCs w:val="14"/>
                <w:color w:val="auto"/>
              </w:rPr>
              <w:t>25 %</w:t>
            </w:r>
          </w:p>
        </w:tc>
        <w:tc>
          <w:tcPr>
            <w:tcW w:w="1160" w:type="dxa"/>
            <w:vAlign w:val="bottom"/>
            <w:vMerge w:val="restart"/>
          </w:tcPr>
          <w:p>
            <w:pPr>
              <w:jc w:val="right"/>
              <w:ind w:right="208"/>
              <w:spacing w:after="0"/>
              <w:rPr>
                <w:sz w:val="20"/>
                <w:szCs w:val="20"/>
                <w:color w:val="auto"/>
              </w:rPr>
            </w:pPr>
            <w:r>
              <w:rPr>
                <w:rFonts w:ascii="Calibri" w:cs="Calibri" w:eastAsia="Calibri" w:hAnsi="Calibri"/>
                <w:sz w:val="14"/>
                <w:szCs w:val="14"/>
                <w:color w:val="auto"/>
              </w:rPr>
              <w:t>16 %</w:t>
            </w:r>
          </w:p>
        </w:tc>
        <w:tc>
          <w:tcPr>
            <w:tcW w:w="1280" w:type="dxa"/>
            <w:vAlign w:val="bottom"/>
            <w:vMerge w:val="restart"/>
          </w:tcPr>
          <w:p>
            <w:pPr>
              <w:jc w:val="right"/>
              <w:ind w:right="228"/>
              <w:spacing w:after="0"/>
              <w:rPr>
                <w:sz w:val="20"/>
                <w:szCs w:val="20"/>
                <w:color w:val="auto"/>
              </w:rPr>
            </w:pPr>
            <w:r>
              <w:rPr>
                <w:rFonts w:ascii="Calibri" w:cs="Calibri" w:eastAsia="Calibri" w:hAnsi="Calibri"/>
                <w:sz w:val="14"/>
                <w:szCs w:val="14"/>
                <w:color w:val="auto"/>
              </w:rPr>
              <w:t>21 %</w:t>
            </w:r>
          </w:p>
        </w:tc>
        <w:tc>
          <w:tcPr>
            <w:tcW w:w="1140" w:type="dxa"/>
            <w:vAlign w:val="bottom"/>
            <w:vMerge w:val="restart"/>
          </w:tcPr>
          <w:p>
            <w:pPr>
              <w:jc w:val="right"/>
              <w:spacing w:after="0"/>
              <w:rPr>
                <w:sz w:val="20"/>
                <w:szCs w:val="20"/>
                <w:color w:val="auto"/>
              </w:rPr>
            </w:pPr>
            <w:r>
              <w:rPr>
                <w:rFonts w:ascii="Calibri" w:cs="Calibri" w:eastAsia="Calibri" w:hAnsi="Calibri"/>
                <w:sz w:val="14"/>
                <w:szCs w:val="14"/>
                <w:color w:val="auto"/>
              </w:rPr>
              <w:t>11 %</w:t>
            </w:r>
          </w:p>
        </w:tc>
        <w:tc>
          <w:tcPr>
            <w:tcW w:w="0" w:type="dxa"/>
            <w:vAlign w:val="bottom"/>
          </w:tcPr>
          <w:p>
            <w:pPr>
              <w:spacing w:after="0"/>
              <w:rPr>
                <w:sz w:val="1"/>
                <w:szCs w:val="1"/>
                <w:color w:val="auto"/>
              </w:rPr>
            </w:pPr>
          </w:p>
        </w:tc>
      </w:tr>
      <w:tr>
        <w:trPr>
          <w:trHeight w:val="34"/>
        </w:trPr>
        <w:tc>
          <w:tcPr>
            <w:tcW w:w="3800" w:type="dxa"/>
            <w:vAlign w:val="bottom"/>
          </w:tcPr>
          <w:p>
            <w:pPr>
              <w:spacing w:after="0"/>
              <w:rPr>
                <w:sz w:val="2"/>
                <w:szCs w:val="2"/>
                <w:color w:val="auto"/>
              </w:rPr>
            </w:pPr>
          </w:p>
        </w:tc>
        <w:tc>
          <w:tcPr>
            <w:tcW w:w="386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7"/>
        </w:trPr>
        <w:tc>
          <w:tcPr>
            <w:tcW w:w="3800" w:type="dxa"/>
            <w:vAlign w:val="bottom"/>
            <w:tcBorders>
              <w:bottom w:val="single" w:sz="8" w:color="959595"/>
            </w:tcBorders>
          </w:tcPr>
          <w:p>
            <w:pPr>
              <w:spacing w:after="0"/>
              <w:rPr>
                <w:sz w:val="4"/>
                <w:szCs w:val="4"/>
                <w:color w:val="auto"/>
              </w:rPr>
            </w:pPr>
          </w:p>
        </w:tc>
        <w:tc>
          <w:tcPr>
            <w:tcW w:w="3860" w:type="dxa"/>
            <w:vAlign w:val="bottom"/>
            <w:tcBorders>
              <w:bottom w:val="single" w:sz="8" w:color="959595"/>
            </w:tcBorders>
          </w:tcPr>
          <w:p>
            <w:pPr>
              <w:spacing w:after="0"/>
              <w:rPr>
                <w:sz w:val="4"/>
                <w:szCs w:val="4"/>
                <w:color w:val="auto"/>
              </w:rPr>
            </w:pPr>
          </w:p>
        </w:tc>
        <w:tc>
          <w:tcPr>
            <w:tcW w:w="1160" w:type="dxa"/>
            <w:vAlign w:val="bottom"/>
            <w:tcBorders>
              <w:bottom w:val="single" w:sz="8" w:color="959595"/>
            </w:tcBorders>
          </w:tcPr>
          <w:p>
            <w:pPr>
              <w:spacing w:after="0"/>
              <w:rPr>
                <w:sz w:val="4"/>
                <w:szCs w:val="4"/>
                <w:color w:val="auto"/>
              </w:rPr>
            </w:pPr>
          </w:p>
        </w:tc>
        <w:tc>
          <w:tcPr>
            <w:tcW w:w="1280" w:type="dxa"/>
            <w:vAlign w:val="bottom"/>
            <w:tcBorders>
              <w:bottom w:val="single" w:sz="8" w:color="959595"/>
            </w:tcBorders>
          </w:tcPr>
          <w:p>
            <w:pPr>
              <w:spacing w:after="0"/>
              <w:rPr>
                <w:sz w:val="4"/>
                <w:szCs w:val="4"/>
                <w:color w:val="auto"/>
              </w:rPr>
            </w:pPr>
          </w:p>
        </w:tc>
        <w:tc>
          <w:tcPr>
            <w:tcW w:w="114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right="80" w:hanging="252"/>
        <w:spacing w:after="0" w:line="213" w:lineRule="auto"/>
        <w:tabs>
          <w:tab w:leader="none" w:pos="253" w:val="left"/>
        </w:tabs>
        <w:numPr>
          <w:ilvl w:val="0"/>
          <w:numId w:val="53"/>
        </w:numPr>
        <w:rPr>
          <w:rFonts w:ascii="Calibri" w:cs="Calibri" w:eastAsia="Calibri" w:hAnsi="Calibri"/>
          <w:sz w:val="19"/>
          <w:szCs w:val="19"/>
          <w:color w:val="auto"/>
          <w:vertAlign w:val="superscript"/>
        </w:rPr>
      </w:pPr>
      <w:r>
        <w:rPr>
          <w:rFonts w:ascii="Calibri" w:cs="Calibri" w:eastAsia="Calibri" w:hAnsi="Calibri"/>
          <w:sz w:val="14"/>
          <w:szCs w:val="14"/>
          <w:color w:val="auto"/>
        </w:rPr>
        <w:t>Based on employees who self-identfy. Includes only U.S. employees and expatriates except for women, which also includes local country natonals. Excludes casual workers, interns/co-ops and employees of certain subsidiaries and joint ventures.</w:t>
      </w:r>
    </w:p>
    <w:p>
      <w:pPr>
        <w:spacing w:after="0" w:line="12" w:lineRule="exact"/>
        <w:rPr>
          <w:rFonts w:ascii="Calibri" w:cs="Calibri" w:eastAsia="Calibri" w:hAnsi="Calibri"/>
          <w:sz w:val="19"/>
          <w:szCs w:val="19"/>
          <w:color w:val="auto"/>
          <w:vertAlign w:val="superscript"/>
        </w:rPr>
      </w:pPr>
    </w:p>
    <w:p>
      <w:pPr>
        <w:ind w:left="240" w:hanging="232"/>
        <w:spacing w:after="0"/>
        <w:tabs>
          <w:tab w:leader="none" w:pos="240" w:val="left"/>
        </w:tabs>
        <w:numPr>
          <w:ilvl w:val="0"/>
          <w:numId w:val="53"/>
        </w:numPr>
        <w:rPr>
          <w:rFonts w:ascii="Calibri" w:cs="Calibri" w:eastAsia="Calibri" w:hAnsi="Calibri"/>
          <w:sz w:val="19"/>
          <w:szCs w:val="19"/>
          <w:color w:val="auto"/>
          <w:vertAlign w:val="superscript"/>
        </w:rPr>
      </w:pPr>
      <w:r>
        <w:rPr>
          <w:rFonts w:ascii="Calibri" w:cs="Calibri" w:eastAsia="Calibri" w:hAnsi="Calibri"/>
          <w:sz w:val="14"/>
          <w:szCs w:val="14"/>
          <w:color w:val="auto"/>
        </w:rPr>
        <w:t>Executve is defned as director-level (one level below vice president) or higher.</w:t>
      </w:r>
    </w:p>
    <w:p>
      <w:pPr>
        <w:spacing w:after="0" w:line="124" w:lineRule="exact"/>
        <w:rPr>
          <w:sz w:val="20"/>
          <w:szCs w:val="20"/>
          <w:color w:val="auto"/>
        </w:rPr>
      </w:pPr>
    </w:p>
    <w:p>
      <w:pPr>
        <w:spacing w:after="0"/>
        <w:rPr>
          <w:sz w:val="20"/>
          <w:szCs w:val="20"/>
          <w:color w:val="auto"/>
        </w:rPr>
      </w:pPr>
      <w:r>
        <w:rPr>
          <w:rFonts w:ascii="Calibri" w:cs="Calibri" w:eastAsia="Calibri" w:hAnsi="Calibri"/>
          <w:sz w:val="17"/>
          <w:szCs w:val="17"/>
          <w:color w:val="auto"/>
        </w:rPr>
        <w:t>In additon to these diversity metrics, we publish our annual EEO-1 report data on our website and expect to contnue to do so each year when available.</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Publicaton of our EEO-1 data increases transparency and demonstrates our responsiveness to investors.</w:t>
      </w:r>
    </w:p>
    <w:p>
      <w:pPr>
        <w:spacing w:after="0" w:line="130" w:lineRule="exact"/>
        <w:rPr>
          <w:sz w:val="20"/>
          <w:szCs w:val="20"/>
          <w:color w:val="auto"/>
        </w:rPr>
      </w:pPr>
    </w:p>
    <w:p>
      <w:pPr>
        <w:spacing w:after="0"/>
        <w:rPr>
          <w:sz w:val="20"/>
          <w:szCs w:val="20"/>
          <w:color w:val="auto"/>
        </w:rPr>
      </w:pPr>
      <w:r>
        <w:rPr>
          <w:rFonts w:ascii="Calibri" w:cs="Calibri" w:eastAsia="Calibri" w:hAnsi="Calibri"/>
          <w:sz w:val="17"/>
          <w:szCs w:val="17"/>
          <w:color w:val="auto"/>
        </w:rPr>
        <w:t>Our 2022 diversity and inclusion achievements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21431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214312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800"/>
        <w:spacing w:after="0"/>
        <w:rPr>
          <w:sz w:val="20"/>
          <w:szCs w:val="20"/>
          <w:color w:val="auto"/>
        </w:rPr>
      </w:pPr>
      <w:r>
        <w:rPr>
          <w:rFonts w:ascii="Arial" w:cs="Arial" w:eastAsia="Arial" w:hAnsi="Arial"/>
          <w:sz w:val="17"/>
          <w:szCs w:val="17"/>
          <w:color w:val="003478"/>
        </w:rPr>
        <w:t>RECRUITING TOP TALENT</w:t>
      </w:r>
    </w:p>
    <w:p>
      <w:pPr>
        <w:spacing w:after="0" w:line="296" w:lineRule="exact"/>
        <w:rPr>
          <w:sz w:val="20"/>
          <w:szCs w:val="20"/>
          <w:color w:val="auto"/>
        </w:rPr>
      </w:pPr>
    </w:p>
    <w:p>
      <w:pPr>
        <w:ind w:left="260" w:hanging="153"/>
        <w:spacing w:after="0"/>
        <w:tabs>
          <w:tab w:leader="none" w:pos="260"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Contnued improvement of workforce</w:t>
      </w:r>
    </w:p>
    <w:p>
      <w:pPr>
        <w:spacing w:after="0" w:line="25" w:lineRule="exact"/>
        <w:rPr>
          <w:rFonts w:ascii="Calibri" w:cs="Calibri" w:eastAsia="Calibri" w:hAnsi="Calibri"/>
          <w:sz w:val="17"/>
          <w:szCs w:val="17"/>
          <w:color w:val="auto"/>
        </w:rPr>
      </w:pPr>
    </w:p>
    <w:p>
      <w:pPr>
        <w:jc w:val="both"/>
        <w:ind w:left="260"/>
        <w:spacing w:after="0" w:line="255" w:lineRule="auto"/>
        <w:rPr>
          <w:rFonts w:ascii="Calibri" w:cs="Calibri" w:eastAsia="Calibri" w:hAnsi="Calibri"/>
          <w:sz w:val="17"/>
          <w:szCs w:val="17"/>
          <w:color w:val="auto"/>
        </w:rPr>
      </w:pPr>
      <w:r>
        <w:rPr>
          <w:rFonts w:ascii="Calibri" w:cs="Calibri" w:eastAsia="Calibri" w:hAnsi="Calibri"/>
          <w:sz w:val="17"/>
          <w:szCs w:val="17"/>
          <w:color w:val="auto"/>
        </w:rPr>
        <w:t>diversity, specifcally in the representaton of women and people of color, as compared to industry benchmarks</w:t>
      </w:r>
    </w:p>
    <w:p>
      <w:pPr>
        <w:spacing w:after="0" w:line="50" w:lineRule="exact"/>
        <w:rPr>
          <w:rFonts w:ascii="Calibri" w:cs="Calibri" w:eastAsia="Calibri" w:hAnsi="Calibri"/>
          <w:sz w:val="17"/>
          <w:szCs w:val="17"/>
          <w:color w:val="auto"/>
        </w:rPr>
      </w:pPr>
    </w:p>
    <w:p>
      <w:pPr>
        <w:ind w:left="260" w:hanging="153"/>
        <w:spacing w:after="0"/>
        <w:tabs>
          <w:tab w:leader="none" w:pos="260" w:val="left"/>
        </w:tabs>
        <w:numPr>
          <w:ilvl w:val="0"/>
          <w:numId w:val="54"/>
        </w:numPr>
        <w:rPr>
          <w:rFonts w:ascii="Calibri" w:cs="Calibri" w:eastAsia="Calibri" w:hAnsi="Calibri"/>
          <w:sz w:val="17"/>
          <w:szCs w:val="17"/>
          <w:color w:val="002E6D"/>
        </w:rPr>
      </w:pPr>
      <w:r>
        <w:rPr>
          <w:rFonts w:ascii="Calibri" w:cs="Calibri" w:eastAsia="Calibri" w:hAnsi="Calibri"/>
          <w:sz w:val="17"/>
          <w:szCs w:val="17"/>
          <w:color w:val="auto"/>
        </w:rPr>
        <w:t>Selected #1 among Top Supporters of</w:t>
      </w:r>
    </w:p>
    <w:p>
      <w:pPr>
        <w:spacing w:after="0" w:line="25" w:lineRule="exact"/>
        <w:rPr>
          <w:rFonts w:ascii="Calibri" w:cs="Calibri" w:eastAsia="Calibri" w:hAnsi="Calibri"/>
          <w:sz w:val="17"/>
          <w:szCs w:val="17"/>
          <w:color w:val="002E6D"/>
        </w:rPr>
      </w:pPr>
    </w:p>
    <w:p>
      <w:pPr>
        <w:ind w:left="260" w:right="80"/>
        <w:spacing w:after="0" w:line="247" w:lineRule="auto"/>
        <w:rPr>
          <w:rFonts w:ascii="Calibri" w:cs="Calibri" w:eastAsia="Calibri" w:hAnsi="Calibri"/>
          <w:sz w:val="17"/>
          <w:szCs w:val="17"/>
          <w:color w:val="002E6D"/>
        </w:rPr>
      </w:pPr>
      <w:r>
        <w:rPr>
          <w:rFonts w:ascii="Calibri" w:cs="Calibri" w:eastAsia="Calibri" w:hAnsi="Calibri"/>
          <w:sz w:val="17"/>
          <w:szCs w:val="17"/>
          <w:color w:val="auto"/>
        </w:rPr>
        <w:t>Historically Black College &amp; University Engineering Insttutons for 8th consecutve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493395</wp:posOffset>
            </wp:positionV>
            <wp:extent cx="2271395"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27139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703" w:right="340"/>
        <w:spacing w:after="0" w:line="301" w:lineRule="auto"/>
        <w:rPr>
          <w:sz w:val="20"/>
          <w:szCs w:val="20"/>
          <w:color w:val="auto"/>
        </w:rPr>
      </w:pPr>
      <w:r>
        <w:rPr>
          <w:rFonts w:ascii="Arial" w:cs="Arial" w:eastAsia="Arial" w:hAnsi="Arial"/>
          <w:sz w:val="17"/>
          <w:szCs w:val="17"/>
          <w:color w:val="003478"/>
        </w:rPr>
        <w:t>FOSTERING AN INCLUSIVE WORKPLACE</w:t>
      </w:r>
    </w:p>
    <w:p>
      <w:pPr>
        <w:spacing w:after="0" w:line="112" w:lineRule="exact"/>
        <w:rPr>
          <w:sz w:val="20"/>
          <w:szCs w:val="20"/>
          <w:color w:val="auto"/>
        </w:rPr>
      </w:pPr>
    </w:p>
    <w:p>
      <w:pPr>
        <w:ind w:left="163" w:right="60" w:hanging="163"/>
        <w:spacing w:after="0" w:line="261" w:lineRule="auto"/>
        <w:tabs>
          <w:tab w:leader="none" w:pos="156" w:val="left"/>
        </w:tabs>
        <w:numPr>
          <w:ilvl w:val="0"/>
          <w:numId w:val="55"/>
        </w:numPr>
        <w:rPr>
          <w:rFonts w:ascii="Calibri" w:cs="Calibri" w:eastAsia="Calibri" w:hAnsi="Calibri"/>
          <w:sz w:val="17"/>
          <w:szCs w:val="17"/>
          <w:color w:val="auto"/>
        </w:rPr>
      </w:pPr>
      <w:r>
        <w:rPr>
          <w:rFonts w:ascii="Calibri" w:cs="Calibri" w:eastAsia="Calibri" w:hAnsi="Calibri"/>
          <w:sz w:val="17"/>
          <w:szCs w:val="17"/>
          <w:color w:val="auto"/>
        </w:rPr>
        <w:t>Became a signatory of the Disability:IN CEO Leter on Disability Inclusion</w:t>
      </w:r>
    </w:p>
    <w:p>
      <w:pPr>
        <w:spacing w:after="0" w:line="44" w:lineRule="exact"/>
        <w:rPr>
          <w:rFonts w:ascii="Calibri" w:cs="Calibri" w:eastAsia="Calibri" w:hAnsi="Calibri"/>
          <w:sz w:val="17"/>
          <w:szCs w:val="17"/>
          <w:color w:val="auto"/>
        </w:rPr>
      </w:pPr>
    </w:p>
    <w:p>
      <w:pPr>
        <w:ind w:left="163" w:hanging="163"/>
        <w:spacing w:after="0"/>
        <w:tabs>
          <w:tab w:leader="none" w:pos="163" w:val="left"/>
        </w:tabs>
        <w:numPr>
          <w:ilvl w:val="0"/>
          <w:numId w:val="55"/>
        </w:numPr>
        <w:rPr>
          <w:rFonts w:ascii="Calibri" w:cs="Calibri" w:eastAsia="Calibri" w:hAnsi="Calibri"/>
          <w:sz w:val="17"/>
          <w:szCs w:val="17"/>
          <w:color w:val="auto"/>
        </w:rPr>
      </w:pPr>
      <w:r>
        <w:rPr>
          <w:rFonts w:ascii="Calibri" w:cs="Calibri" w:eastAsia="Calibri" w:hAnsi="Calibri"/>
          <w:sz w:val="17"/>
          <w:szCs w:val="17"/>
          <w:color w:val="auto"/>
        </w:rPr>
        <w:t>Recognized as a Best Place to Work for LGBT</w:t>
      </w:r>
    </w:p>
    <w:p>
      <w:pPr>
        <w:spacing w:after="0" w:line="25" w:lineRule="exact"/>
        <w:rPr>
          <w:rFonts w:ascii="Calibri" w:cs="Calibri" w:eastAsia="Calibri" w:hAnsi="Calibri"/>
          <w:sz w:val="17"/>
          <w:szCs w:val="17"/>
          <w:color w:val="auto"/>
        </w:rPr>
      </w:pPr>
    </w:p>
    <w:p>
      <w:pPr>
        <w:ind w:left="163" w:right="160"/>
        <w:spacing w:after="0" w:line="255" w:lineRule="auto"/>
        <w:rPr>
          <w:rFonts w:ascii="Calibri" w:cs="Calibri" w:eastAsia="Calibri" w:hAnsi="Calibri"/>
          <w:sz w:val="17"/>
          <w:szCs w:val="17"/>
          <w:color w:val="auto"/>
        </w:rPr>
      </w:pPr>
      <w:r>
        <w:rPr>
          <w:rFonts w:ascii="Calibri" w:cs="Calibri" w:eastAsia="Calibri" w:hAnsi="Calibri"/>
          <w:sz w:val="17"/>
          <w:szCs w:val="17"/>
          <w:color w:val="auto"/>
        </w:rPr>
        <w:t>Equality on the Human Rights Campaign’s Corporate Equality Index for 13th consecutve year</w:t>
      </w:r>
    </w:p>
    <w:p>
      <w:pPr>
        <w:spacing w:after="0" w:line="54" w:lineRule="exact"/>
        <w:rPr>
          <w:rFonts w:ascii="Calibri" w:cs="Calibri" w:eastAsia="Calibri" w:hAnsi="Calibri"/>
          <w:sz w:val="17"/>
          <w:szCs w:val="17"/>
          <w:color w:val="auto"/>
        </w:rPr>
      </w:pPr>
    </w:p>
    <w:p>
      <w:pPr>
        <w:ind w:left="163" w:hanging="163"/>
        <w:spacing w:after="0" w:line="245" w:lineRule="auto"/>
        <w:tabs>
          <w:tab w:leader="none" w:pos="156" w:val="left"/>
        </w:tabs>
        <w:numPr>
          <w:ilvl w:val="0"/>
          <w:numId w:val="55"/>
        </w:numPr>
        <w:rPr>
          <w:rFonts w:ascii="Calibri" w:cs="Calibri" w:eastAsia="Calibri" w:hAnsi="Calibri"/>
          <w:sz w:val="17"/>
          <w:szCs w:val="17"/>
          <w:color w:val="002E6D"/>
        </w:rPr>
      </w:pPr>
      <w:r>
        <w:rPr>
          <w:rFonts w:ascii="Calibri" w:cs="Calibri" w:eastAsia="Calibri" w:hAnsi="Calibri"/>
          <w:sz w:val="17"/>
          <w:szCs w:val="17"/>
          <w:color w:val="auto"/>
        </w:rPr>
        <w:t>Selected #3 for Top 50 Employers in Women Engineer Magazine</w:t>
      </w:r>
    </w:p>
    <w:p>
      <w:pPr>
        <w:spacing w:after="0" w:line="75" w:lineRule="exact"/>
        <w:rPr>
          <w:rFonts w:ascii="Calibri" w:cs="Calibri" w:eastAsia="Calibri" w:hAnsi="Calibri"/>
          <w:sz w:val="17"/>
          <w:szCs w:val="17"/>
          <w:color w:val="002E6D"/>
        </w:rPr>
      </w:pPr>
    </w:p>
    <w:p>
      <w:pPr>
        <w:ind w:left="163" w:right="220" w:hanging="163"/>
        <w:spacing w:after="0" w:line="245" w:lineRule="auto"/>
        <w:tabs>
          <w:tab w:leader="none" w:pos="156" w:val="left"/>
        </w:tabs>
        <w:numPr>
          <w:ilvl w:val="0"/>
          <w:numId w:val="55"/>
        </w:numPr>
        <w:rPr>
          <w:rFonts w:ascii="Calibri" w:cs="Calibri" w:eastAsia="Calibri" w:hAnsi="Calibri"/>
          <w:sz w:val="17"/>
          <w:szCs w:val="17"/>
          <w:color w:val="auto"/>
        </w:rPr>
      </w:pPr>
      <w:r>
        <w:rPr>
          <w:rFonts w:ascii="Calibri" w:cs="Calibri" w:eastAsia="Calibri" w:hAnsi="Calibri"/>
          <w:sz w:val="17"/>
          <w:szCs w:val="17"/>
          <w:color w:val="auto"/>
        </w:rPr>
        <w:t>Ranked #5 on Forbes’ Best Employers for Veterans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142240</wp:posOffset>
            </wp:positionV>
            <wp:extent cx="7132320" cy="1945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945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003478"/>
        </w:rPr>
        <w:t>SUPPORTING STEM EDUCATION</w:t>
      </w:r>
    </w:p>
    <w:p>
      <w:pPr>
        <w:spacing w:after="0" w:line="296" w:lineRule="exact"/>
        <w:rPr>
          <w:sz w:val="20"/>
          <w:szCs w:val="20"/>
          <w:color w:val="auto"/>
        </w:rPr>
      </w:pPr>
    </w:p>
    <w:p>
      <w:pPr>
        <w:ind w:left="162" w:hanging="162"/>
        <w:spacing w:after="0"/>
        <w:tabs>
          <w:tab w:leader="none" w:pos="162" w:val="left"/>
        </w:tabs>
        <w:numPr>
          <w:ilvl w:val="0"/>
          <w:numId w:val="56"/>
        </w:numPr>
        <w:rPr>
          <w:rFonts w:ascii="Calibri" w:cs="Calibri" w:eastAsia="Calibri" w:hAnsi="Calibri"/>
          <w:sz w:val="17"/>
          <w:szCs w:val="17"/>
          <w:color w:val="002E60"/>
        </w:rPr>
      </w:pPr>
      <w:r>
        <w:rPr>
          <w:rFonts w:ascii="Calibri" w:cs="Calibri" w:eastAsia="Calibri" w:hAnsi="Calibri"/>
          <w:sz w:val="17"/>
          <w:szCs w:val="17"/>
          <w:color w:val="auto"/>
        </w:rPr>
        <w:t>Contributed nearly $19 million into nonproft</w:t>
      </w:r>
    </w:p>
    <w:p>
      <w:pPr>
        <w:spacing w:after="0" w:line="25" w:lineRule="exact"/>
        <w:rPr>
          <w:rFonts w:ascii="Calibri" w:cs="Calibri" w:eastAsia="Calibri" w:hAnsi="Calibri"/>
          <w:sz w:val="17"/>
          <w:szCs w:val="17"/>
          <w:color w:val="002E60"/>
        </w:rPr>
      </w:pPr>
    </w:p>
    <w:p>
      <w:pPr>
        <w:ind w:left="162" w:right="220"/>
        <w:spacing w:after="0" w:line="245" w:lineRule="auto"/>
        <w:rPr>
          <w:rFonts w:ascii="Calibri" w:cs="Calibri" w:eastAsia="Calibri" w:hAnsi="Calibri"/>
          <w:sz w:val="17"/>
          <w:szCs w:val="17"/>
          <w:color w:val="002E60"/>
        </w:rPr>
      </w:pPr>
      <w:r>
        <w:rPr>
          <w:rFonts w:ascii="Calibri" w:cs="Calibri" w:eastAsia="Calibri" w:hAnsi="Calibri"/>
          <w:sz w:val="17"/>
          <w:szCs w:val="17"/>
          <w:color w:val="auto"/>
        </w:rPr>
        <w:t>programs focused on STEM career readiness and access, partcularly for those groups</w:t>
      </w:r>
    </w:p>
    <w:p>
      <w:pPr>
        <w:spacing w:after="0" w:line="21" w:lineRule="exact"/>
        <w:rPr>
          <w:rFonts w:ascii="Calibri" w:cs="Calibri" w:eastAsia="Calibri" w:hAnsi="Calibri"/>
          <w:sz w:val="17"/>
          <w:szCs w:val="17"/>
          <w:color w:val="002E60"/>
        </w:rPr>
      </w:pPr>
    </w:p>
    <w:p>
      <w:pPr>
        <w:ind w:left="162" w:right="660"/>
        <w:spacing w:after="0" w:line="245" w:lineRule="auto"/>
        <w:rPr>
          <w:rFonts w:ascii="Calibri" w:cs="Calibri" w:eastAsia="Calibri" w:hAnsi="Calibri"/>
          <w:sz w:val="17"/>
          <w:szCs w:val="17"/>
          <w:color w:val="002E60"/>
        </w:rPr>
      </w:pPr>
      <w:r>
        <w:rPr>
          <w:rFonts w:ascii="Calibri" w:cs="Calibri" w:eastAsia="Calibri" w:hAnsi="Calibri"/>
          <w:sz w:val="17"/>
          <w:szCs w:val="17"/>
          <w:color w:val="auto"/>
        </w:rPr>
        <w:t>historically underrepresented in STEM disciplines</w:t>
      </w:r>
    </w:p>
    <w:p>
      <w:pPr>
        <w:spacing w:after="0" w:line="75" w:lineRule="exact"/>
        <w:rPr>
          <w:rFonts w:ascii="Calibri" w:cs="Calibri" w:eastAsia="Calibri" w:hAnsi="Calibri"/>
          <w:sz w:val="17"/>
          <w:szCs w:val="17"/>
          <w:color w:val="002E60"/>
        </w:rPr>
      </w:pPr>
    </w:p>
    <w:p>
      <w:pPr>
        <w:ind w:left="162" w:right="240" w:hanging="162"/>
        <w:spacing w:after="0" w:line="247" w:lineRule="auto"/>
        <w:tabs>
          <w:tab w:leader="none" w:pos="155" w:val="left"/>
        </w:tabs>
        <w:numPr>
          <w:ilvl w:val="0"/>
          <w:numId w:val="56"/>
        </w:numPr>
        <w:rPr>
          <w:rFonts w:ascii="Calibri" w:cs="Calibri" w:eastAsia="Calibri" w:hAnsi="Calibri"/>
          <w:sz w:val="17"/>
          <w:szCs w:val="17"/>
          <w:color w:val="auto"/>
        </w:rPr>
      </w:pPr>
      <w:r>
        <w:rPr>
          <w:rFonts w:ascii="Calibri" w:cs="Calibri" w:eastAsia="Calibri" w:hAnsi="Calibri"/>
          <w:sz w:val="17"/>
          <w:szCs w:val="17"/>
          <w:color w:val="auto"/>
        </w:rPr>
        <w:t>Of these contributons, $2.4 million supported Minority-Serving Insttutons to enhance student recruitment/retenton and</w:t>
      </w:r>
    </w:p>
    <w:p>
      <w:pPr>
        <w:spacing w:after="0" w:line="20" w:lineRule="exact"/>
        <w:rPr>
          <w:rFonts w:ascii="Calibri" w:cs="Calibri" w:eastAsia="Calibri" w:hAnsi="Calibri"/>
          <w:sz w:val="17"/>
          <w:szCs w:val="17"/>
          <w:color w:val="auto"/>
        </w:rPr>
      </w:pPr>
    </w:p>
    <w:p>
      <w:pPr>
        <w:ind w:left="162" w:right="820"/>
        <w:spacing w:after="0" w:line="255" w:lineRule="auto"/>
        <w:rPr>
          <w:rFonts w:ascii="Calibri" w:cs="Calibri" w:eastAsia="Calibri" w:hAnsi="Calibri"/>
          <w:sz w:val="17"/>
          <w:szCs w:val="17"/>
          <w:color w:val="auto"/>
        </w:rPr>
      </w:pPr>
      <w:r>
        <w:rPr>
          <w:rFonts w:ascii="Calibri" w:cs="Calibri" w:eastAsia="Calibri" w:hAnsi="Calibri"/>
          <w:sz w:val="17"/>
          <w:szCs w:val="17"/>
          <w:color w:val="auto"/>
        </w:rPr>
        <w:t>summer bridge programs and other computatonal science, cyber and engineering eforts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60325</wp:posOffset>
            </wp:positionV>
            <wp:extent cx="229743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29743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40" w:space="457"/>
            <w:col w:w="3283" w:space="538"/>
            <w:col w:w="3522"/>
          </w:cols>
          <w:pgMar w:left="320" w:top="231" w:right="339" w:bottom="1440" w:gutter="0" w:footer="0" w:header="0"/>
          <w:type w:val="continuous"/>
        </w:sect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20"/>
          <w:szCs w:val="20"/>
          <w:color w:val="003478"/>
          <w:shd w:val="clear" w:color="auto" w:fill="E5E7EF"/>
        </w:rPr>
        <w:t>Board Oversight of People Strategy and Diversity and Inclusion</w:t>
      </w:r>
    </w:p>
    <w:p>
      <w:pPr>
        <w:spacing w:after="0" w:line="75" w:lineRule="exact"/>
        <w:rPr>
          <w:sz w:val="20"/>
          <w:szCs w:val="20"/>
          <w:color w:val="auto"/>
        </w:rPr>
      </w:pPr>
    </w:p>
    <w:p>
      <w:pPr>
        <w:ind w:left="100" w:right="140"/>
        <w:spacing w:after="0" w:line="256" w:lineRule="auto"/>
        <w:rPr>
          <w:sz w:val="20"/>
          <w:szCs w:val="20"/>
          <w:color w:val="auto"/>
        </w:rPr>
      </w:pPr>
      <w:r>
        <w:rPr>
          <w:rFonts w:ascii="Calibri" w:cs="Calibri" w:eastAsia="Calibri" w:hAnsi="Calibri"/>
          <w:sz w:val="17"/>
          <w:szCs w:val="17"/>
          <w:color w:val="auto"/>
        </w:rPr>
        <w:t>The Board of Directors is actvely engaged in the oversight of human capital management and strategy. Our human capital management strategy, which we refer to as our people strategy, is tghtly aligned with and enables achievement of our business strategy. There are various ways we measure progress toward the achievement of our human capital objectves. First, we regularly conduct an employee engagement survey to gauge employee satsfacton and to understand the efectveness of our people strategy and assess employees’ intent to contnue their employment. The Board reviews these survey results. Additonally, the Senior Vice President and Chief Human Resources Ofcer updates the Board on the Company’s people strategy on an annual basis, reportng on measures we use to manage our workforce, including workforce demographics, hiring metrics, talent management metrics, including retenton rates of top talent, and diversity metrics with respect to representaton, atriton, hiring, promotons and leadership. Talent management and workforce diversity and inclusion criteria are included in the strategic and operatonal performance commitments under management’s annual incentve program. Board members also are actve partners in the development of our workforce, engaging and spending tme with our high-potental leaders at Board meetngs and other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577850</wp:posOffset>
            </wp:positionV>
            <wp:extent cx="1071880" cy="180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Environmental, Social and Governance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Cybersecurity</w:t>
      </w:r>
    </w:p>
    <w:p>
      <w:pPr>
        <w:spacing w:after="0" w:line="130" w:lineRule="exact"/>
        <w:rPr>
          <w:sz w:val="20"/>
          <w:szCs w:val="20"/>
          <w:color w:val="auto"/>
        </w:rPr>
      </w:pPr>
    </w:p>
    <w:p>
      <w:pPr>
        <w:ind w:right="180"/>
        <w:spacing w:after="0"/>
        <w:rPr>
          <w:sz w:val="20"/>
          <w:szCs w:val="20"/>
          <w:color w:val="auto"/>
        </w:rPr>
      </w:pPr>
      <w:r>
        <w:rPr>
          <w:rFonts w:ascii="Calibri" w:cs="Calibri" w:eastAsia="Calibri" w:hAnsi="Calibri"/>
          <w:sz w:val="17"/>
          <w:szCs w:val="17"/>
          <w:b w:val="1"/>
          <w:bCs w:val="1"/>
          <w:color w:val="auto"/>
        </w:rPr>
        <w:t xml:space="preserve">Cybersecurity Protectons. </w:t>
      </w:r>
      <w:r>
        <w:rPr>
          <w:rFonts w:ascii="Calibri" w:cs="Calibri" w:eastAsia="Calibri" w:hAnsi="Calibri"/>
          <w:sz w:val="17"/>
          <w:szCs w:val="17"/>
          <w:color w:val="auto"/>
        </w:rPr>
        <w:t>We have an extensive global informaton security organizaton led by our Chief Informaton Security Ofcer whose mission is to</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protect our systems and data, including a Computer Incident Response Team (CIRT) to defend against cyber atacks and conduct annual training for our employees on the protecton of sensitve informaton, including testng intended to prevent the success of “phishing” atacks. Additonally, we partner with our defense industrial base peers, government agencies and cyber associatons to share intelligence to further defend against cyber atacks. We also have a corporate-wide counterintelligence and insider threat detecton program to proactvely identfy external and internal threats and mitgate these threats in a tmely manner.</w:t>
      </w:r>
    </w:p>
    <w:p>
      <w:pPr>
        <w:spacing w:after="0" w:line="272" w:lineRule="exact"/>
        <w:rPr>
          <w:sz w:val="20"/>
          <w:szCs w:val="20"/>
          <w:color w:val="auto"/>
        </w:rPr>
      </w:pPr>
    </w:p>
    <w:p>
      <w:pPr>
        <w:ind w:right="160"/>
        <w:spacing w:after="0" w:line="234" w:lineRule="auto"/>
        <w:rPr>
          <w:sz w:val="20"/>
          <w:szCs w:val="20"/>
          <w:color w:val="auto"/>
        </w:rPr>
      </w:pPr>
      <w:r>
        <w:rPr>
          <w:rFonts w:ascii="Calibri" w:cs="Calibri" w:eastAsia="Calibri" w:hAnsi="Calibri"/>
          <w:sz w:val="17"/>
          <w:szCs w:val="17"/>
          <w:b w:val="1"/>
          <w:bCs w:val="1"/>
          <w:color w:val="auto"/>
        </w:rPr>
        <w:t xml:space="preserve">Third-Party Certfcatons. </w:t>
      </w:r>
      <w:r>
        <w:rPr>
          <w:rFonts w:ascii="Calibri" w:cs="Calibri" w:eastAsia="Calibri" w:hAnsi="Calibri"/>
          <w:sz w:val="17"/>
          <w:szCs w:val="17"/>
          <w:color w:val="auto"/>
        </w:rPr>
        <w:t>Lockheed Martn maintains an enterprise ISO 27001 certfcaton that undergoes annual surveillance auditng and recertfcaton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every three years. We have collaborated extensively with the U.S. Department of Defense (DoD) and across the defense industrial base on the Cybersecurity Maturity Model Certfcaton (CMMC), the future model for data protecton from the DoD, and believe we are well positoned to meet the requirements of CMMC. We also are preparing for a reassessment by the Defense Contract Management Agency’s Defense Industrial Base Cybersecurity Assessment Center (DIBCAC) of the Company’s compliance with regulatory requirements to protect Controlled Unclassifed Informaton (CUI).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3455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345565"/>
                    </a:xfrm>
                    <a:prstGeom prst="rect">
                      <a:avLst/>
                    </a:prstGeom>
                    <a:noFill/>
                  </pic:spPr>
                </pic:pic>
              </a:graphicData>
            </a:graphic>
          </wp:anchor>
        </w:drawing>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0"/>
          <w:szCs w:val="20"/>
          <w:color w:val="003478"/>
          <w:shd w:val="clear" w:color="auto" w:fill="E5E7EF"/>
        </w:rPr>
        <w:t>Board Oversight of Cybersecurity</w:t>
      </w:r>
    </w:p>
    <w:p>
      <w:pPr>
        <w:spacing w:after="0" w:line="61" w:lineRule="exact"/>
        <w:rPr>
          <w:sz w:val="20"/>
          <w:szCs w:val="20"/>
          <w:color w:val="auto"/>
        </w:rPr>
      </w:pPr>
    </w:p>
    <w:p>
      <w:pPr>
        <w:ind w:left="100" w:right="160"/>
        <w:spacing w:after="0" w:line="232" w:lineRule="auto"/>
        <w:rPr>
          <w:sz w:val="20"/>
          <w:szCs w:val="20"/>
          <w:color w:val="auto"/>
        </w:rPr>
      </w:pPr>
      <w:r>
        <w:rPr>
          <w:rFonts w:ascii="Calibri" w:cs="Calibri" w:eastAsia="Calibri" w:hAnsi="Calibri"/>
          <w:sz w:val="17"/>
          <w:szCs w:val="17"/>
          <w:color w:val="auto"/>
        </w:rPr>
        <w:t>Cybersecurity is included in the Company’s enterprise risk management process and is overseen by the Board. The Board receives a briefng from senior leadership on cybersecurity and informaton security twice a year or more frequently as needed (either orally or in writng). The Classifed Business and Security Commitee also is briefed by senior management as needed on the cybersecurity of classifed programs and informaton and the security of suppliers and the global supply chain within the Company’s classifed business. Other than these classifed business related cybersecurity items, the full Board has retained oversight of cybersecurity because of the importance to the Company and the heightened risk in the U.S. aerospace and defense industry. During 2022, the Board received regular updates on any potental cybersecurity impacts of the Russia-Ukraine confict and the Company’s Shields Up Task Force, formed in response to the confict. The Board also visited Lockheed Martn’s Security Intelligence Center to review the triad of people, intelligence and tradecraf that frames the Company’s cybersecurity approach.</w:t>
      </w: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color w:val="003478"/>
        </w:rPr>
        <w:t>Political and Public Policy Activities</w:t>
      </w:r>
    </w:p>
    <w:p>
      <w:pPr>
        <w:spacing w:after="0" w:line="117" w:lineRule="exact"/>
        <w:rPr>
          <w:sz w:val="20"/>
          <w:szCs w:val="20"/>
          <w:color w:val="auto"/>
        </w:rPr>
      </w:pPr>
    </w:p>
    <w:p>
      <w:pPr>
        <w:ind w:right="40"/>
        <w:spacing w:after="0" w:line="234" w:lineRule="auto"/>
        <w:rPr>
          <w:sz w:val="20"/>
          <w:szCs w:val="20"/>
          <w:color w:val="auto"/>
        </w:rPr>
      </w:pPr>
      <w:r>
        <w:rPr>
          <w:rFonts w:ascii="Calibri" w:cs="Calibri" w:eastAsia="Calibri" w:hAnsi="Calibri"/>
          <w:sz w:val="17"/>
          <w:szCs w:val="17"/>
          <w:b w:val="1"/>
          <w:bCs w:val="1"/>
          <w:color w:val="auto"/>
        </w:rPr>
        <w:t xml:space="preserve">What we do. </w:t>
      </w:r>
      <w:r>
        <w:rPr>
          <w:rFonts w:ascii="Calibri" w:cs="Calibri" w:eastAsia="Calibri" w:hAnsi="Calibri"/>
          <w:sz w:val="17"/>
          <w:szCs w:val="17"/>
          <w:color w:val="auto"/>
        </w:rPr>
        <w:t>As a company, Lockheed Martn is commited to partcipatng in the politcal and public policy process in a responsible and ethical way that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serves the best interests of our stockholders and customers. We operate in the highly-regulated global security industry, and our operatons are afected by the actons of elected and appointed ofcials at many levels of government. Our public policy actvites include advocacy eforts at the federal and state levels, thought-leadership regarding global security trends, and other important issues impactng us and our customers, educatonal outreach and promoton, and other related actvites. We only engage in politcal actvites directly related to our core business interests, such as natonal defense, space exploraton, alternatve energy technologies, corporate taxes, export policy and internatonal trade. Lockheed Martn contributes to public policy debates by partcipatng in various trade and industry associatons, as well as engaging directly in advocacy and grassroots communicatons eforts. In response to investor interest, during 2022 Lockheed Martn conducted an evaluaton of the public policy positons of selected trade and industry associatons of which we are members to assess their alignment with our sustainability policy and programs, including climate-related issues. The outcome of this efort was a Climate-Lobbying Assessment Report published on our website.</w:t>
      </w:r>
    </w:p>
    <w:p>
      <w:pPr>
        <w:spacing w:after="0" w:line="110" w:lineRule="exact"/>
        <w:rPr>
          <w:sz w:val="20"/>
          <w:szCs w:val="20"/>
          <w:color w:val="auto"/>
        </w:rPr>
      </w:pPr>
    </w:p>
    <w:p>
      <w:pPr>
        <w:ind w:right="40"/>
        <w:spacing w:after="0" w:line="232" w:lineRule="auto"/>
        <w:rPr>
          <w:sz w:val="20"/>
          <w:szCs w:val="20"/>
          <w:color w:val="auto"/>
        </w:rPr>
      </w:pPr>
      <w:r>
        <w:rPr>
          <w:rFonts w:ascii="Calibri" w:cs="Calibri" w:eastAsia="Calibri" w:hAnsi="Calibri"/>
          <w:sz w:val="17"/>
          <w:szCs w:val="17"/>
          <w:b w:val="1"/>
          <w:bCs w:val="1"/>
          <w:color w:val="auto"/>
        </w:rPr>
        <w:t xml:space="preserve">How we do it. </w:t>
      </w:r>
      <w:r>
        <w:rPr>
          <w:rFonts w:ascii="Calibri" w:cs="Calibri" w:eastAsia="Calibri" w:hAnsi="Calibri"/>
          <w:sz w:val="17"/>
          <w:szCs w:val="17"/>
          <w:color w:val="auto"/>
        </w:rPr>
        <w:t>Decisions regarding corporate politcal and public policy actvites are managed by the Senior Vice President, Lockheed Martn Government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Afairs, following coordinaton with individual Lockheed Martn elements in accordance with established policies and procedures, which are ultmately overseen by the Governance Commitee. Any politcal or other public policy actvity in which we engage, including politcal expenditures, complies with all internal policies and procedures, is made solely based upon the best interests of the Company and its stockholders, and is not based on personal agendas of individual directors, ofcers or employees. We comply with all applicable laws and regulatons in connecton with our politcal and public policy actvites. Our politcal actvites are audited on a regular basis, in accordance with our established audit schedule; and outside counsel provides regular guidance regarding compliance with applicable laws and regulaton of politcal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054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054100"/>
                    </a:xfrm>
                    <a:prstGeom prst="rect">
                      <a:avLst/>
                    </a:prstGeom>
                    <a:noFill/>
                  </pic:spPr>
                </pic:pic>
              </a:graphicData>
            </a:graphic>
          </wp:anchor>
        </w:drawing>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20"/>
          <w:szCs w:val="20"/>
          <w:color w:val="003478"/>
          <w:shd w:val="clear" w:color="auto" w:fill="E5E7EF"/>
        </w:rPr>
        <w:t>Board Oversight of Political and Public Policy Activities</w:t>
      </w:r>
    </w:p>
    <w:p>
      <w:pPr>
        <w:spacing w:after="0" w:line="61" w:lineRule="exact"/>
        <w:rPr>
          <w:sz w:val="20"/>
          <w:szCs w:val="20"/>
          <w:color w:val="auto"/>
        </w:rPr>
      </w:pPr>
    </w:p>
    <w:p>
      <w:pPr>
        <w:ind w:left="100" w:right="200"/>
        <w:spacing w:after="0"/>
        <w:rPr>
          <w:sz w:val="20"/>
          <w:szCs w:val="20"/>
          <w:color w:val="auto"/>
        </w:rPr>
      </w:pPr>
      <w:r>
        <w:rPr>
          <w:rFonts w:ascii="Calibri" w:cs="Calibri" w:eastAsia="Calibri" w:hAnsi="Calibri"/>
          <w:sz w:val="17"/>
          <w:szCs w:val="17"/>
          <w:color w:val="auto"/>
        </w:rPr>
        <w:t>The Governance Commitee oversees Lockheed Martn’s politcal and public policy actvites, including its advocacy eforts, government afairs actvites and politcal spending. The Governance Commitee supervises the policies related to these actvites to ensure the intended purposes of the actvites and their related benefts are well-aligned with the Company’s strategy and driving long-term value. The Governance Commitee receives regular reports from management on these maters and, in turn, supports accountability, transparency and public disclosure of corporate politcal expenditures and lobbying actvites. To that end, the Company provides extensive informaton on its website about its politcal and public policy actvites beyond what is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3" w:name="page44"/>
    <w:bookmarkEnd w:id="43"/>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Environmental, Social and Governance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Human Rights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818EB4"/>
        </w:rPr>
        <w:t>Our Human Rights Policy and Principles</w:t>
      </w:r>
    </w:p>
    <w:p>
      <w:pPr>
        <w:spacing w:after="0" w:line="126" w:lineRule="exact"/>
        <w:rPr>
          <w:sz w:val="20"/>
          <w:szCs w:val="20"/>
          <w:color w:val="auto"/>
        </w:rPr>
      </w:pPr>
    </w:p>
    <w:p>
      <w:pPr>
        <w:ind w:right="100"/>
        <w:spacing w:after="0" w:line="252" w:lineRule="auto"/>
        <w:rPr>
          <w:sz w:val="20"/>
          <w:szCs w:val="20"/>
          <w:color w:val="auto"/>
        </w:rPr>
      </w:pPr>
      <w:r>
        <w:rPr>
          <w:rFonts w:ascii="Calibri" w:cs="Calibri" w:eastAsia="Calibri" w:hAnsi="Calibri"/>
          <w:sz w:val="17"/>
          <w:szCs w:val="17"/>
          <w:color w:val="auto"/>
        </w:rPr>
        <w:t>At Lockheed Martn, we believe that respect for human rights is an essental element of being a good corporate citzen and the long-term success of the Company. Our commitment to respectng human rights underlies our Code of Conduct, and our core values—</w:t>
      </w:r>
      <w:r>
        <w:rPr>
          <w:rFonts w:ascii="Calibri" w:cs="Calibri" w:eastAsia="Calibri" w:hAnsi="Calibri"/>
          <w:sz w:val="17"/>
          <w:szCs w:val="17"/>
          <w:i w:val="1"/>
          <w:iCs w:val="1"/>
          <w:color w:val="auto"/>
        </w:rPr>
        <w:t>Do What’s Right, Respect Others, and Perform</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with Excellence</w:t>
      </w:r>
      <w:r>
        <w:rPr>
          <w:rFonts w:ascii="Calibri" w:cs="Calibri" w:eastAsia="Calibri" w:hAnsi="Calibri"/>
          <w:sz w:val="17"/>
          <w:szCs w:val="17"/>
          <w:color w:val="auto"/>
        </w:rPr>
        <w:t>. This commitment applies to all employees, the Board, and others who represent or act for us. We also have a Human Rights Policy and have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published two Human Rights Reports, which, along with our Code of Conduct, are available on our website. Our Human Rights Policy includes the following principles:</w:t>
      </w:r>
    </w:p>
    <w:p>
      <w:pPr>
        <w:spacing w:after="0" w:line="112" w:lineRule="exact"/>
        <w:rPr>
          <w:sz w:val="20"/>
          <w:szCs w:val="20"/>
          <w:color w:val="auto"/>
        </w:rPr>
      </w:pPr>
    </w:p>
    <w:p>
      <w:pPr>
        <w:ind w:left="180" w:right="380" w:hanging="172"/>
        <w:spacing w:after="0" w:line="245" w:lineRule="auto"/>
        <w:tabs>
          <w:tab w:leader="none" w:pos="173" w:val="left"/>
        </w:tabs>
        <w:numPr>
          <w:ilvl w:val="0"/>
          <w:numId w:val="57"/>
        </w:numPr>
        <w:rPr>
          <w:rFonts w:ascii="Calibri" w:cs="Calibri" w:eastAsia="Calibri" w:hAnsi="Calibri"/>
          <w:sz w:val="17"/>
          <w:szCs w:val="17"/>
          <w:color w:val="003478"/>
        </w:rPr>
      </w:pPr>
      <w:r>
        <w:rPr>
          <w:rFonts w:ascii="Calibri" w:cs="Calibri" w:eastAsia="Calibri" w:hAnsi="Calibri"/>
          <w:sz w:val="17"/>
          <w:szCs w:val="17"/>
          <w:color w:val="auto"/>
        </w:rPr>
        <w:t>Support human rights by treatng employees with respect, promotng fair employment practces, providing fair and compettve wages and prohibitng harassment, bullying, discriminaton, use of child or forced labor and trafcking in persons for any purpose.</w:t>
      </w:r>
    </w:p>
    <w:p>
      <w:pPr>
        <w:spacing w:after="0" w:line="58" w:lineRule="exact"/>
        <w:rPr>
          <w:rFonts w:ascii="Calibri" w:cs="Calibri" w:eastAsia="Calibri" w:hAnsi="Calibri"/>
          <w:sz w:val="17"/>
          <w:szCs w:val="17"/>
          <w:color w:val="003478"/>
        </w:rPr>
      </w:pPr>
    </w:p>
    <w:p>
      <w:pPr>
        <w:ind w:left="160" w:hanging="152"/>
        <w:spacing w:after="0"/>
        <w:tabs>
          <w:tab w:leader="none" w:pos="160" w:val="left"/>
        </w:tabs>
        <w:numPr>
          <w:ilvl w:val="0"/>
          <w:numId w:val="57"/>
        </w:numPr>
        <w:rPr>
          <w:rFonts w:ascii="Calibri" w:cs="Calibri" w:eastAsia="Calibri" w:hAnsi="Calibri"/>
          <w:sz w:val="17"/>
          <w:szCs w:val="17"/>
          <w:color w:val="003478"/>
        </w:rPr>
      </w:pPr>
      <w:r>
        <w:rPr>
          <w:rFonts w:ascii="Calibri" w:cs="Calibri" w:eastAsia="Calibri" w:hAnsi="Calibri"/>
          <w:sz w:val="17"/>
          <w:szCs w:val="17"/>
          <w:color w:val="auto"/>
        </w:rPr>
        <w:t>Uphold the laws applying to our business, wherever we operate.</w:t>
      </w:r>
    </w:p>
    <w:p>
      <w:pPr>
        <w:spacing w:after="0" w:line="79" w:lineRule="exact"/>
        <w:rPr>
          <w:rFonts w:ascii="Calibri" w:cs="Calibri" w:eastAsia="Calibri" w:hAnsi="Calibri"/>
          <w:sz w:val="17"/>
          <w:szCs w:val="17"/>
          <w:color w:val="003478"/>
        </w:rPr>
      </w:pPr>
    </w:p>
    <w:p>
      <w:pPr>
        <w:ind w:left="180" w:right="20" w:hanging="172"/>
        <w:spacing w:after="0" w:line="247" w:lineRule="auto"/>
        <w:tabs>
          <w:tab w:leader="none" w:pos="173" w:val="left"/>
        </w:tabs>
        <w:numPr>
          <w:ilvl w:val="0"/>
          <w:numId w:val="57"/>
        </w:numPr>
        <w:rPr>
          <w:rFonts w:ascii="Calibri" w:cs="Calibri" w:eastAsia="Calibri" w:hAnsi="Calibri"/>
          <w:sz w:val="17"/>
          <w:szCs w:val="17"/>
          <w:color w:val="003478"/>
        </w:rPr>
      </w:pPr>
      <w:r>
        <w:rPr>
          <w:rFonts w:ascii="Calibri" w:cs="Calibri" w:eastAsia="Calibri" w:hAnsi="Calibri"/>
          <w:sz w:val="17"/>
          <w:szCs w:val="17"/>
          <w:color w:val="auto"/>
        </w:rPr>
        <w:t>Seek to minimize the negatve consequences of our business actvites and decisions on our stakeholders, including by minimizing harm to the environment and conserving natural resources, promotng workplace safety, ensuring accuracy and transparency in our communicatons and delivering high-quality products and services.</w:t>
      </w:r>
    </w:p>
    <w:p>
      <w:pPr>
        <w:spacing w:after="0" w:line="61" w:lineRule="exact"/>
        <w:rPr>
          <w:rFonts w:ascii="Calibri" w:cs="Calibri" w:eastAsia="Calibri" w:hAnsi="Calibri"/>
          <w:sz w:val="17"/>
          <w:szCs w:val="17"/>
          <w:color w:val="003478"/>
        </w:rPr>
      </w:pPr>
    </w:p>
    <w:p>
      <w:pPr>
        <w:ind w:left="180" w:hanging="172"/>
        <w:spacing w:after="0" w:line="245" w:lineRule="auto"/>
        <w:tabs>
          <w:tab w:leader="none" w:pos="173" w:val="left"/>
        </w:tabs>
        <w:numPr>
          <w:ilvl w:val="0"/>
          <w:numId w:val="57"/>
        </w:numPr>
        <w:rPr>
          <w:rFonts w:ascii="Calibri" w:cs="Calibri" w:eastAsia="Calibri" w:hAnsi="Calibri"/>
          <w:sz w:val="17"/>
          <w:szCs w:val="17"/>
          <w:color w:val="003478"/>
        </w:rPr>
      </w:pPr>
      <w:r>
        <w:rPr>
          <w:rFonts w:ascii="Calibri" w:cs="Calibri" w:eastAsia="Calibri" w:hAnsi="Calibri"/>
          <w:sz w:val="17"/>
          <w:szCs w:val="17"/>
          <w:color w:val="auto"/>
        </w:rPr>
        <w:t>Contribute to economic and social well-being by investng our resources in innovatve products and services, supportng charitable, philanthropic and social causes, partcipatng appropriately in politcal afairs and public debate to advance and advocate our values (including engaging our customers to balance</w:t>
      </w:r>
    </w:p>
    <w:p>
      <w:pPr>
        <w:spacing w:after="0" w:line="21" w:lineRule="exact"/>
        <w:rPr>
          <w:rFonts w:ascii="Calibri" w:cs="Calibri" w:eastAsia="Calibri" w:hAnsi="Calibri"/>
          <w:sz w:val="17"/>
          <w:szCs w:val="17"/>
          <w:color w:val="003478"/>
        </w:rPr>
      </w:pPr>
    </w:p>
    <w:p>
      <w:pPr>
        <w:ind w:left="180" w:right="60"/>
        <w:spacing w:after="0" w:line="245" w:lineRule="auto"/>
        <w:rPr>
          <w:rFonts w:ascii="Calibri" w:cs="Calibri" w:eastAsia="Calibri" w:hAnsi="Calibri"/>
          <w:sz w:val="17"/>
          <w:szCs w:val="17"/>
          <w:color w:val="003478"/>
        </w:rPr>
      </w:pPr>
      <w:r>
        <w:rPr>
          <w:rFonts w:ascii="Calibri" w:cs="Calibri" w:eastAsia="Calibri" w:hAnsi="Calibri"/>
          <w:sz w:val="17"/>
          <w:szCs w:val="17"/>
          <w:color w:val="auto"/>
        </w:rPr>
        <w:t>appropriately the sale and use of our technology against natonal and internatonal interests) and promotng eforts to stop corrupt practces that interfere with markets, inhibit economic development and limit sustainable futures.</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color w:val="818EB4"/>
        </w:rPr>
        <w:t>Our Human Rights Due Diligence Approach</w:t>
      </w:r>
    </w:p>
    <w:p>
      <w:pPr>
        <w:spacing w:after="0" w:line="126" w:lineRule="exact"/>
        <w:rPr>
          <w:sz w:val="20"/>
          <w:szCs w:val="20"/>
          <w:color w:val="auto"/>
        </w:rPr>
      </w:pPr>
    </w:p>
    <w:p>
      <w:pPr>
        <w:ind w:right="240"/>
        <w:spacing w:after="0" w:line="261" w:lineRule="auto"/>
        <w:rPr>
          <w:sz w:val="20"/>
          <w:szCs w:val="20"/>
          <w:color w:val="auto"/>
        </w:rPr>
      </w:pPr>
      <w:r>
        <w:rPr>
          <w:rFonts w:ascii="Calibri" w:cs="Calibri" w:eastAsia="Calibri" w:hAnsi="Calibri"/>
          <w:sz w:val="17"/>
          <w:szCs w:val="17"/>
          <w:color w:val="auto"/>
        </w:rPr>
        <w:t>Our human rights due diligence processes are embedded within our comprehensive operatng and decision-making practces and procedures. They do not exist as a stand-alone procedure.</w:t>
      </w:r>
    </w:p>
    <w:p>
      <w:pPr>
        <w:spacing w:after="0" w:line="102" w:lineRule="exact"/>
        <w:rPr>
          <w:sz w:val="20"/>
          <w:szCs w:val="20"/>
          <w:color w:val="auto"/>
        </w:rPr>
      </w:pPr>
    </w:p>
    <w:p>
      <w:pPr>
        <w:ind w:left="180" w:right="240" w:hanging="172"/>
        <w:spacing w:after="0" w:line="248" w:lineRule="auto"/>
        <w:tabs>
          <w:tab w:leader="none" w:pos="173" w:val="left"/>
        </w:tabs>
        <w:numPr>
          <w:ilvl w:val="0"/>
          <w:numId w:val="58"/>
        </w:numPr>
        <w:rPr>
          <w:rFonts w:ascii="Calibri" w:cs="Calibri" w:eastAsia="Calibri" w:hAnsi="Calibri"/>
          <w:sz w:val="17"/>
          <w:szCs w:val="17"/>
          <w:color w:val="003478"/>
        </w:rPr>
      </w:pPr>
      <w:r>
        <w:rPr>
          <w:rFonts w:ascii="Calibri" w:cs="Calibri" w:eastAsia="Calibri" w:hAnsi="Calibri"/>
          <w:sz w:val="17"/>
          <w:szCs w:val="17"/>
          <w:color w:val="auto"/>
        </w:rPr>
        <w:t>We have robust procedures to ensure that new contracts meet our standards and values. Prospectve commitments are reviewed to ensure that they ft our strategic directon, will uphold our reputaton, and are structured for successful technical and fnancial performance. Each business segment has implemented proposal review and approval procedures that evaluate risks, and which can result in a decision not to bid at all. Proposals that involve the pursuit of an opportunity related to partcular products or programs that carry increased risks require review of a mult-disciplinary corporate review</w:t>
      </w:r>
    </w:p>
    <w:p>
      <w:pPr>
        <w:spacing w:after="0" w:line="19" w:lineRule="exact"/>
        <w:rPr>
          <w:rFonts w:ascii="Calibri" w:cs="Calibri" w:eastAsia="Calibri" w:hAnsi="Calibri"/>
          <w:sz w:val="17"/>
          <w:szCs w:val="17"/>
          <w:color w:val="003478"/>
        </w:rPr>
      </w:pPr>
    </w:p>
    <w:p>
      <w:pPr>
        <w:ind w:left="180" w:right="140"/>
        <w:spacing w:after="0" w:line="247" w:lineRule="auto"/>
        <w:rPr>
          <w:rFonts w:ascii="Calibri" w:cs="Calibri" w:eastAsia="Calibri" w:hAnsi="Calibri"/>
          <w:sz w:val="17"/>
          <w:szCs w:val="17"/>
          <w:color w:val="003478"/>
        </w:rPr>
      </w:pPr>
      <w:r>
        <w:rPr>
          <w:rFonts w:ascii="Calibri" w:cs="Calibri" w:eastAsia="Calibri" w:hAnsi="Calibri"/>
          <w:sz w:val="17"/>
          <w:szCs w:val="17"/>
          <w:color w:val="auto"/>
        </w:rPr>
        <w:t>commitee that is chaired by our CFO and COO and includes our Senior Vice President, Ethics and Enterprise Assurance, who reports to the Governance Commitee. Our Missiles and Fire Control (MFC) business segment created a Weapon System Review Council in 2020 and is solidifying the Council’s scope and authority through updated policies. This Council reviews MFC products and actvites that may potentally raise human rights issues.</w:t>
      </w:r>
    </w:p>
    <w:p>
      <w:pPr>
        <w:spacing w:after="0" w:line="61" w:lineRule="exact"/>
        <w:rPr>
          <w:rFonts w:ascii="Calibri" w:cs="Calibri" w:eastAsia="Calibri" w:hAnsi="Calibri"/>
          <w:sz w:val="17"/>
          <w:szCs w:val="17"/>
          <w:color w:val="003478"/>
        </w:rPr>
      </w:pPr>
    </w:p>
    <w:p>
      <w:pPr>
        <w:ind w:left="180" w:right="580" w:hanging="172"/>
        <w:spacing w:after="0" w:line="245" w:lineRule="auto"/>
        <w:tabs>
          <w:tab w:leader="none" w:pos="173" w:val="left"/>
        </w:tabs>
        <w:numPr>
          <w:ilvl w:val="0"/>
          <w:numId w:val="58"/>
        </w:numPr>
        <w:rPr>
          <w:rFonts w:ascii="Calibri" w:cs="Calibri" w:eastAsia="Calibri" w:hAnsi="Calibri"/>
          <w:sz w:val="17"/>
          <w:szCs w:val="17"/>
          <w:color w:val="003478"/>
        </w:rPr>
      </w:pPr>
      <w:r>
        <w:rPr>
          <w:rFonts w:ascii="Calibri" w:cs="Calibri" w:eastAsia="Calibri" w:hAnsi="Calibri"/>
          <w:sz w:val="17"/>
          <w:szCs w:val="17"/>
          <w:color w:val="auto"/>
        </w:rPr>
        <w:t>We conduct risk-based ant-corrupton due diligence, which may be subject to audits, before entering into relatonships with third partes, including business development and strategic business consultants. We require internatonal consultants to undergo training on our Code of Conduct and</w:t>
      </w:r>
    </w:p>
    <w:p>
      <w:pPr>
        <w:spacing w:after="0" w:line="21" w:lineRule="exact"/>
        <w:rPr>
          <w:rFonts w:ascii="Calibri" w:cs="Calibri" w:eastAsia="Calibri" w:hAnsi="Calibri"/>
          <w:sz w:val="17"/>
          <w:szCs w:val="17"/>
          <w:color w:val="003478"/>
        </w:rPr>
      </w:pPr>
    </w:p>
    <w:p>
      <w:pPr>
        <w:ind w:left="180" w:right="740"/>
        <w:spacing w:after="0" w:line="245" w:lineRule="auto"/>
        <w:rPr>
          <w:rFonts w:ascii="Calibri" w:cs="Calibri" w:eastAsia="Calibri" w:hAnsi="Calibri"/>
          <w:sz w:val="17"/>
          <w:szCs w:val="17"/>
          <w:color w:val="003478"/>
        </w:rPr>
      </w:pPr>
      <w:r>
        <w:rPr>
          <w:rFonts w:ascii="Calibri" w:cs="Calibri" w:eastAsia="Calibri" w:hAnsi="Calibri"/>
          <w:sz w:val="17"/>
          <w:szCs w:val="17"/>
          <w:color w:val="auto"/>
        </w:rPr>
        <w:t>associated business conduct and ant-corrupton policies. We will walk away from business rather than risk violatng ant-corrupton laws and our corporate values.</w:t>
      </w:r>
    </w:p>
    <w:p>
      <w:pPr>
        <w:spacing w:after="0" w:line="62" w:lineRule="exact"/>
        <w:rPr>
          <w:rFonts w:ascii="Calibri" w:cs="Calibri" w:eastAsia="Calibri" w:hAnsi="Calibri"/>
          <w:sz w:val="17"/>
          <w:szCs w:val="17"/>
          <w:color w:val="003478"/>
        </w:rPr>
      </w:pPr>
    </w:p>
    <w:p>
      <w:pPr>
        <w:ind w:left="180" w:right="260" w:hanging="172"/>
        <w:spacing w:after="0" w:line="245" w:lineRule="auto"/>
        <w:tabs>
          <w:tab w:leader="none" w:pos="173" w:val="left"/>
        </w:tabs>
        <w:numPr>
          <w:ilvl w:val="0"/>
          <w:numId w:val="58"/>
        </w:numPr>
        <w:rPr>
          <w:rFonts w:ascii="Calibri" w:cs="Calibri" w:eastAsia="Calibri" w:hAnsi="Calibri"/>
          <w:sz w:val="17"/>
          <w:szCs w:val="17"/>
          <w:color w:val="003478"/>
        </w:rPr>
      </w:pPr>
      <w:r>
        <w:rPr>
          <w:rFonts w:ascii="Calibri" w:cs="Calibri" w:eastAsia="Calibri" w:hAnsi="Calibri"/>
          <w:sz w:val="17"/>
          <w:szCs w:val="17"/>
          <w:color w:val="auto"/>
        </w:rPr>
        <w:t>Our robust trade compliance program is designed to ensure that sales of our products are conducted in accordance with all internatonal trade laws and regulatons of the United States and each foreign country in which we operate.</w:t>
      </w:r>
    </w:p>
    <w:p>
      <w:pPr>
        <w:spacing w:after="0" w:line="58" w:lineRule="exact"/>
        <w:rPr>
          <w:rFonts w:ascii="Calibri" w:cs="Calibri" w:eastAsia="Calibri" w:hAnsi="Calibri"/>
          <w:sz w:val="17"/>
          <w:szCs w:val="17"/>
          <w:color w:val="003478"/>
        </w:rPr>
      </w:pPr>
    </w:p>
    <w:p>
      <w:pPr>
        <w:ind w:left="160" w:hanging="152"/>
        <w:spacing w:after="0"/>
        <w:tabs>
          <w:tab w:leader="none" w:pos="160" w:val="left"/>
        </w:tabs>
        <w:numPr>
          <w:ilvl w:val="0"/>
          <w:numId w:val="58"/>
        </w:numPr>
        <w:rPr>
          <w:rFonts w:ascii="Calibri" w:cs="Calibri" w:eastAsia="Calibri" w:hAnsi="Calibri"/>
          <w:sz w:val="17"/>
          <w:szCs w:val="17"/>
          <w:color w:val="003478"/>
        </w:rPr>
      </w:pPr>
      <w:r>
        <w:rPr>
          <w:rFonts w:ascii="Calibri" w:cs="Calibri" w:eastAsia="Calibri" w:hAnsi="Calibri"/>
          <w:sz w:val="17"/>
          <w:szCs w:val="17"/>
          <w:color w:val="auto"/>
        </w:rPr>
        <w:t>We provide oversight of our standards and controls by providing mandatory training, including training on combatng human trafcking, to our employees</w:t>
      </w:r>
    </w:p>
    <w:p>
      <w:pPr>
        <w:spacing w:after="0" w:line="25" w:lineRule="exact"/>
        <w:rPr>
          <w:rFonts w:ascii="Calibri" w:cs="Calibri" w:eastAsia="Calibri" w:hAnsi="Calibri"/>
          <w:sz w:val="17"/>
          <w:szCs w:val="17"/>
          <w:color w:val="003478"/>
        </w:rPr>
      </w:pPr>
    </w:p>
    <w:p>
      <w:pPr>
        <w:ind w:left="180" w:right="480"/>
        <w:spacing w:after="0" w:line="248" w:lineRule="auto"/>
        <w:rPr>
          <w:rFonts w:ascii="Calibri" w:cs="Calibri" w:eastAsia="Calibri" w:hAnsi="Calibri"/>
          <w:sz w:val="17"/>
          <w:szCs w:val="17"/>
          <w:color w:val="003478"/>
        </w:rPr>
      </w:pPr>
      <w:r>
        <w:rPr>
          <w:rFonts w:ascii="Calibri" w:cs="Calibri" w:eastAsia="Calibri" w:hAnsi="Calibri"/>
          <w:sz w:val="17"/>
          <w:szCs w:val="17"/>
          <w:color w:val="auto"/>
        </w:rPr>
        <w:t>and trusted grievance mechanisms, providing resources and support to our suppliers, and aligning the interests of employees and suppliers within established frameworks. We encourage our employees, suppliers and the general public to report potental human rights violatons through our anonymous ethics helpline. We also communicate our expectatons to suppliers that they implement supply chain due diligence processes related to confict minerals in their products.</w:t>
      </w:r>
    </w:p>
    <w:p>
      <w:pPr>
        <w:spacing w:after="0" w:line="111" w:lineRule="exact"/>
        <w:rPr>
          <w:sz w:val="20"/>
          <w:szCs w:val="20"/>
          <w:color w:val="auto"/>
        </w:rPr>
      </w:pPr>
    </w:p>
    <w:p>
      <w:pPr>
        <w:ind w:left="80"/>
        <w:spacing w:after="0"/>
        <w:rPr>
          <w:sz w:val="20"/>
          <w:szCs w:val="20"/>
          <w:color w:val="auto"/>
        </w:rPr>
      </w:pPr>
      <w:r>
        <w:rPr>
          <w:rFonts w:ascii="Calibri" w:cs="Calibri" w:eastAsia="Calibri" w:hAnsi="Calibri"/>
          <w:sz w:val="17"/>
          <w:szCs w:val="17"/>
          <w:color w:val="auto"/>
        </w:rPr>
        <w:t>Our Human Rights Reports, Human Rights Policy, Code of Conduct and Supplier Code of Conduct are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110490</wp:posOffset>
            </wp:positionV>
            <wp:extent cx="7029450" cy="9683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29450" cy="968375"/>
                    </a:xfrm>
                    <a:prstGeom prst="rect">
                      <a:avLst/>
                    </a:prstGeom>
                    <a:noFill/>
                  </pic:spPr>
                </pic:pic>
              </a:graphicData>
            </a:graphic>
          </wp:anchor>
        </w:drawing>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20"/>
          <w:szCs w:val="20"/>
          <w:color w:val="003478"/>
          <w:shd w:val="clear" w:color="auto" w:fill="E5E7EF"/>
        </w:rPr>
        <w:t>Board Oversight of Human Rights</w:t>
      </w:r>
    </w:p>
    <w:p>
      <w:pPr>
        <w:spacing w:after="0" w:line="129" w:lineRule="exact"/>
        <w:rPr>
          <w:sz w:val="20"/>
          <w:szCs w:val="20"/>
          <w:color w:val="auto"/>
        </w:rPr>
      </w:pPr>
    </w:p>
    <w:p>
      <w:pPr>
        <w:ind w:left="180" w:right="400"/>
        <w:spacing w:after="0" w:line="253" w:lineRule="auto"/>
        <w:rPr>
          <w:sz w:val="20"/>
          <w:szCs w:val="20"/>
          <w:color w:val="auto"/>
        </w:rPr>
      </w:pPr>
      <w:r>
        <w:rPr>
          <w:rFonts w:ascii="Calibri" w:cs="Calibri" w:eastAsia="Calibri" w:hAnsi="Calibri"/>
          <w:sz w:val="17"/>
          <w:szCs w:val="17"/>
          <w:color w:val="auto"/>
        </w:rPr>
        <w:t>The Board, through the Governance Commitee, reviews and monitors the Company’s policies and procedures regarding corporate responsibility and human rights. The Governance Commitee receives regular reports on 2025 Sustainability Management Plan progress, which includes goals related to human rights. The Governance Commitee was briefed on the 2022 Human Rights Report. During 2022, one of our Board members met with the proponent of Proposal 7 to directly discuss and respond to their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516255</wp:posOffset>
            </wp:positionV>
            <wp:extent cx="1071880" cy="1803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1" w:right="379" w:bottom="1440" w:gutter="0" w:footer="0" w:header="0"/>
        </w:sectPr>
      </w:pPr>
    </w:p>
    <w:bookmarkStart w:id="44" w:name="page45"/>
    <w:bookmarkEnd w:id="44"/>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3"/>
          <w:szCs w:val="43"/>
          <w:color w:val="003478"/>
        </w:rPr>
        <w:t>Executive Compensation</w:t>
      </w:r>
    </w:p>
    <w:p>
      <w:pPr>
        <w:spacing w:after="0" w:line="235" w:lineRule="exact"/>
        <w:rPr>
          <w:sz w:val="20"/>
          <w:szCs w:val="20"/>
          <w:color w:val="auto"/>
        </w:rPr>
      </w:pPr>
    </w:p>
    <w:p>
      <w:pPr>
        <w:spacing w:after="0"/>
        <w:rPr>
          <w:sz w:val="20"/>
          <w:szCs w:val="20"/>
          <w:color w:val="auto"/>
        </w:rPr>
      </w:pPr>
      <w:r>
        <w:rPr>
          <w:rFonts w:ascii="Arial" w:cs="Arial" w:eastAsia="Arial" w:hAnsi="Arial"/>
          <w:sz w:val="43"/>
          <w:szCs w:val="43"/>
          <w:color w:val="003478"/>
        </w:rPr>
        <w:t>Proposal 2</w:t>
      </w: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80" w:type="dxa"/>
            <w:vAlign w:val="bottom"/>
            <w:tcBorders>
              <w:top w:val="single" w:sz="8" w:color="003478"/>
              <w:left w:val="single" w:sz="8" w:color="003478"/>
            </w:tcBorders>
            <w:shd w:val="clear" w:color="auto" w:fill="E5E6EF"/>
          </w:tcPr>
          <w:p>
            <w:pPr>
              <w:spacing w:after="0"/>
              <w:rPr>
                <w:sz w:val="24"/>
                <w:szCs w:val="24"/>
                <w:color w:val="auto"/>
              </w:rPr>
            </w:pPr>
          </w:p>
        </w:tc>
        <w:tc>
          <w:tcPr>
            <w:tcW w:w="7520" w:type="dxa"/>
            <w:vAlign w:val="bottom"/>
            <w:tcBorders>
              <w:top w:val="single" w:sz="8" w:color="003478"/>
            </w:tcBorders>
            <w:shd w:val="clear" w:color="auto" w:fill="E5E6EF"/>
          </w:tcPr>
          <w:p>
            <w:pPr>
              <w:ind w:left="60"/>
              <w:spacing w:after="0"/>
              <w:rPr>
                <w:sz w:val="20"/>
                <w:szCs w:val="20"/>
                <w:color w:val="auto"/>
              </w:rPr>
            </w:pPr>
            <w:r>
              <w:rPr>
                <w:rFonts w:ascii="Arial" w:cs="Arial" w:eastAsia="Arial" w:hAnsi="Arial"/>
                <w:sz w:val="25"/>
                <w:szCs w:val="25"/>
                <w:color w:val="003478"/>
              </w:rPr>
              <w:t>Advisory Vote to Approve the Compensation of our NEOs (Say-</w:t>
            </w:r>
          </w:p>
        </w:tc>
        <w:tc>
          <w:tcPr>
            <w:tcW w:w="920" w:type="dxa"/>
            <w:vAlign w:val="bottom"/>
            <w:tcBorders>
              <w:top w:val="single" w:sz="8" w:color="003478"/>
            </w:tcBorders>
            <w:shd w:val="clear" w:color="auto" w:fill="003478"/>
          </w:tcPr>
          <w:p>
            <w:pPr>
              <w:spacing w:after="0"/>
              <w:rPr>
                <w:sz w:val="24"/>
                <w:szCs w:val="24"/>
                <w:color w:val="auto"/>
              </w:rPr>
            </w:pPr>
          </w:p>
        </w:tc>
        <w:tc>
          <w:tcPr>
            <w:tcW w:w="2620" w:type="dxa"/>
            <w:vAlign w:val="bottom"/>
            <w:tcBorders>
              <w:top w:val="single" w:sz="8" w:color="003478"/>
            </w:tcBorders>
            <w:shd w:val="clear" w:color="auto" w:fill="003478"/>
          </w:tcPr>
          <w:p>
            <w:pPr>
              <w:ind w:left="20"/>
              <w:spacing w:after="0"/>
              <w:rPr>
                <w:sz w:val="20"/>
                <w:szCs w:val="20"/>
                <w:color w:val="auto"/>
              </w:rPr>
            </w:pPr>
            <w:r>
              <w:rPr>
                <w:rFonts w:ascii="Arial" w:cs="Arial" w:eastAsia="Arial" w:hAnsi="Arial"/>
                <w:sz w:val="17"/>
                <w:szCs w:val="17"/>
                <w:color w:val="FFFFFF"/>
              </w:rPr>
              <w:t>The Board recommends a vote</w:t>
            </w:r>
          </w:p>
        </w:tc>
        <w:tc>
          <w:tcPr>
            <w:tcW w:w="120" w:type="dxa"/>
            <w:vAlign w:val="bottom"/>
            <w:tcBorders>
              <w:top w:val="single" w:sz="8" w:color="003478"/>
            </w:tcBorders>
            <w:shd w:val="clear" w:color="auto" w:fill="003478"/>
          </w:tcPr>
          <w:p>
            <w:pPr>
              <w:spacing w:after="0"/>
              <w:rPr>
                <w:sz w:val="24"/>
                <w:szCs w:val="24"/>
                <w:color w:val="auto"/>
              </w:rPr>
            </w:pPr>
          </w:p>
        </w:tc>
      </w:tr>
      <w:tr>
        <w:trPr>
          <w:trHeight w:val="351"/>
        </w:trPr>
        <w:tc>
          <w:tcPr>
            <w:tcW w:w="80" w:type="dxa"/>
            <w:vAlign w:val="bottom"/>
            <w:tcBorders>
              <w:left w:val="single" w:sz="8" w:color="003478"/>
            </w:tcBorders>
            <w:shd w:val="clear" w:color="auto" w:fill="E5E6EF"/>
          </w:tcPr>
          <w:p>
            <w:pPr>
              <w:spacing w:after="0"/>
              <w:rPr>
                <w:sz w:val="24"/>
                <w:szCs w:val="24"/>
                <w:color w:val="auto"/>
              </w:rPr>
            </w:pPr>
          </w:p>
        </w:tc>
        <w:tc>
          <w:tcPr>
            <w:tcW w:w="7520" w:type="dxa"/>
            <w:vAlign w:val="bottom"/>
            <w:shd w:val="clear" w:color="auto" w:fill="E5E6EF"/>
          </w:tcPr>
          <w:p>
            <w:pPr>
              <w:ind w:left="60"/>
              <w:spacing w:after="0"/>
              <w:rPr>
                <w:sz w:val="20"/>
                <w:szCs w:val="20"/>
                <w:color w:val="auto"/>
              </w:rPr>
            </w:pPr>
            <w:r>
              <w:rPr>
                <w:rFonts w:ascii="Arial" w:cs="Arial" w:eastAsia="Arial" w:hAnsi="Arial"/>
                <w:sz w:val="25"/>
                <w:szCs w:val="25"/>
                <w:color w:val="003478"/>
              </w:rPr>
              <w:t>On-Pay)</w:t>
            </w:r>
          </w:p>
        </w:tc>
        <w:tc>
          <w:tcPr>
            <w:tcW w:w="920" w:type="dxa"/>
            <w:vAlign w:val="bottom"/>
            <w:shd w:val="clear" w:color="auto" w:fill="003478"/>
          </w:tcPr>
          <w:p>
            <w:pPr>
              <w:spacing w:after="0"/>
              <w:rPr>
                <w:sz w:val="24"/>
                <w:szCs w:val="24"/>
                <w:color w:val="auto"/>
              </w:rPr>
            </w:pPr>
          </w:p>
        </w:tc>
        <w:tc>
          <w:tcPr>
            <w:tcW w:w="2620" w:type="dxa"/>
            <w:vAlign w:val="bottom"/>
            <w:shd w:val="clear" w:color="auto" w:fill="003478"/>
          </w:tcPr>
          <w:p>
            <w:pPr>
              <w:ind w:left="20"/>
              <w:spacing w:after="0"/>
              <w:rPr>
                <w:sz w:val="20"/>
                <w:szCs w:val="20"/>
                <w:color w:val="auto"/>
              </w:rPr>
            </w:pPr>
            <w:r>
              <w:rPr>
                <w:rFonts w:ascii="Arial" w:cs="Arial" w:eastAsia="Arial" w:hAnsi="Arial"/>
                <w:sz w:val="22"/>
                <w:szCs w:val="22"/>
                <w:b w:val="1"/>
                <w:bCs w:val="1"/>
                <w:color w:val="FFFFFF"/>
              </w:rPr>
              <w:t xml:space="preserve">FOR </w:t>
            </w:r>
            <w:r>
              <w:rPr>
                <w:rFonts w:ascii="Arial" w:cs="Arial" w:eastAsia="Arial" w:hAnsi="Arial"/>
                <w:sz w:val="17"/>
                <w:szCs w:val="17"/>
                <w:color w:val="FFFFFF"/>
              </w:rPr>
              <w:t>this proposal</w:t>
            </w:r>
          </w:p>
        </w:tc>
        <w:tc>
          <w:tcPr>
            <w:tcW w:w="120" w:type="dxa"/>
            <w:vAlign w:val="bottom"/>
            <w:shd w:val="clear" w:color="auto" w:fill="003478"/>
          </w:tcPr>
          <w:p>
            <w:pPr>
              <w:spacing w:after="0"/>
              <w:rPr>
                <w:sz w:val="24"/>
                <w:szCs w:val="24"/>
                <w:color w:val="auto"/>
              </w:rPr>
            </w:pPr>
          </w:p>
        </w:tc>
      </w:tr>
      <w:tr>
        <w:trPr>
          <w:trHeight w:val="82"/>
        </w:trPr>
        <w:tc>
          <w:tcPr>
            <w:tcW w:w="80" w:type="dxa"/>
            <w:vAlign w:val="bottom"/>
            <w:tcBorders>
              <w:left w:val="single" w:sz="8" w:color="003478"/>
              <w:bottom w:val="single" w:sz="8" w:color="003478"/>
            </w:tcBorders>
            <w:shd w:val="clear" w:color="auto" w:fill="E5E6EF"/>
          </w:tcPr>
          <w:p>
            <w:pPr>
              <w:spacing w:after="0"/>
              <w:rPr>
                <w:sz w:val="7"/>
                <w:szCs w:val="7"/>
                <w:color w:val="auto"/>
              </w:rPr>
            </w:pPr>
          </w:p>
        </w:tc>
        <w:tc>
          <w:tcPr>
            <w:tcW w:w="7520" w:type="dxa"/>
            <w:vAlign w:val="bottom"/>
            <w:tcBorders>
              <w:bottom w:val="single" w:sz="8" w:color="003478"/>
            </w:tcBorders>
            <w:shd w:val="clear" w:color="auto" w:fill="E5E6EF"/>
          </w:tcPr>
          <w:p>
            <w:pPr>
              <w:spacing w:after="0"/>
              <w:rPr>
                <w:sz w:val="7"/>
                <w:szCs w:val="7"/>
                <w:color w:val="auto"/>
              </w:rPr>
            </w:pPr>
          </w:p>
        </w:tc>
        <w:tc>
          <w:tcPr>
            <w:tcW w:w="920" w:type="dxa"/>
            <w:vAlign w:val="bottom"/>
            <w:tcBorders>
              <w:bottom w:val="single" w:sz="8" w:color="003478"/>
            </w:tcBorders>
            <w:shd w:val="clear" w:color="auto" w:fill="003478"/>
          </w:tcPr>
          <w:p>
            <w:pPr>
              <w:spacing w:after="0"/>
              <w:rPr>
                <w:sz w:val="7"/>
                <w:szCs w:val="7"/>
                <w:color w:val="auto"/>
              </w:rPr>
            </w:pPr>
          </w:p>
        </w:tc>
        <w:tc>
          <w:tcPr>
            <w:tcW w:w="2620" w:type="dxa"/>
            <w:vAlign w:val="bottom"/>
            <w:tcBorders>
              <w:bottom w:val="single" w:sz="8" w:color="003478"/>
            </w:tcBorders>
            <w:shd w:val="clear" w:color="auto" w:fill="003478"/>
          </w:tcPr>
          <w:p>
            <w:pPr>
              <w:spacing w:after="0"/>
              <w:rPr>
                <w:sz w:val="7"/>
                <w:szCs w:val="7"/>
                <w:color w:val="auto"/>
              </w:rPr>
            </w:pPr>
          </w:p>
        </w:tc>
        <w:tc>
          <w:tcPr>
            <w:tcW w:w="120" w:type="dxa"/>
            <w:vAlign w:val="bottom"/>
            <w:tcBorders>
              <w:bottom w:val="single" w:sz="8" w:color="003478"/>
            </w:tcBorders>
            <w:shd w:val="clear" w:color="auto" w:fill="003478"/>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-427990</wp:posOffset>
            </wp:positionV>
            <wp:extent cx="291465" cy="291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155" w:lineRule="exact"/>
        <w:rPr>
          <w:sz w:val="20"/>
          <w:szCs w:val="20"/>
          <w:color w:val="auto"/>
        </w:rPr>
      </w:pPr>
    </w:p>
    <w:p>
      <w:pPr>
        <w:ind w:right="180"/>
        <w:spacing w:after="0" w:line="255" w:lineRule="auto"/>
        <w:rPr>
          <w:sz w:val="20"/>
          <w:szCs w:val="20"/>
          <w:color w:val="auto"/>
        </w:rPr>
      </w:pPr>
      <w:r>
        <w:rPr>
          <w:rFonts w:ascii="Calibri" w:cs="Calibri" w:eastAsia="Calibri" w:hAnsi="Calibri"/>
          <w:sz w:val="17"/>
          <w:szCs w:val="17"/>
          <w:color w:val="auto"/>
        </w:rPr>
        <w:t>As required by Secton 14A of the Securites Exchange Act of 1934, as amended, we ask our stockholders to vote annually to approve, on an advisory (non-binding) basis, the compensaton of our named executve ofcers (NEOs) as described in detail in the Compensaton Discussion and Analysis (CD&amp;A) and the accompanying tables in the Executve Compensaton secton of this Proxy Statement. This vote is commonly known as Say-on-Pay.</w:t>
      </w:r>
    </w:p>
    <w:p>
      <w:pPr>
        <w:spacing w:after="0" w:line="122" w:lineRule="exact"/>
        <w:rPr>
          <w:sz w:val="20"/>
          <w:szCs w:val="20"/>
          <w:color w:val="auto"/>
        </w:rPr>
      </w:pPr>
    </w:p>
    <w:p>
      <w:pPr>
        <w:ind w:right="160"/>
        <w:spacing w:after="0" w:line="245" w:lineRule="auto"/>
        <w:rPr>
          <w:sz w:val="20"/>
          <w:szCs w:val="20"/>
          <w:color w:val="auto"/>
        </w:rPr>
      </w:pPr>
      <w:r>
        <w:rPr>
          <w:rFonts w:ascii="Calibri" w:cs="Calibri" w:eastAsia="Calibri" w:hAnsi="Calibri"/>
          <w:sz w:val="17"/>
          <w:szCs w:val="17"/>
          <w:color w:val="auto"/>
        </w:rPr>
        <w:t>Stockholders should review the entre Proxy Statement and, in partcular, the CD&amp;A beginning on page 41 and the Executve Compensaton Tables beginning on page 58, for informaton on our executve compensaton programs and other important items.</w:t>
      </w:r>
    </w:p>
    <w:p>
      <w:pPr>
        <w:spacing w:after="0" w:line="130" w:lineRule="exact"/>
        <w:rPr>
          <w:sz w:val="20"/>
          <w:szCs w:val="20"/>
          <w:color w:val="auto"/>
        </w:rPr>
      </w:pPr>
    </w:p>
    <w:p>
      <w:pPr>
        <w:ind w:right="580"/>
        <w:spacing w:after="0" w:line="255" w:lineRule="auto"/>
        <w:rPr>
          <w:sz w:val="20"/>
          <w:szCs w:val="20"/>
          <w:color w:val="auto"/>
        </w:rPr>
      </w:pPr>
      <w:r>
        <w:rPr>
          <w:rFonts w:ascii="Calibri" w:cs="Calibri" w:eastAsia="Calibri" w:hAnsi="Calibri"/>
          <w:sz w:val="17"/>
          <w:szCs w:val="17"/>
          <w:color w:val="auto"/>
        </w:rPr>
        <w:t>We believe that the informaton provided in this Proxy Statement demonstrates that our executve compensaton programs are designed to link pay to performance. Accordingly, the Board recommends that stockholders approve the compensaton of our NEOs by approving the following Say-on-Pay resoluton:</w:t>
      </w:r>
    </w:p>
    <w:p>
      <w:pPr>
        <w:spacing w:after="0" w:line="108" w:lineRule="exact"/>
        <w:rPr>
          <w:sz w:val="20"/>
          <w:szCs w:val="20"/>
          <w:color w:val="auto"/>
        </w:rPr>
      </w:pPr>
    </w:p>
    <w:p>
      <w:pPr>
        <w:ind w:right="100"/>
        <w:spacing w:after="0" w:line="255" w:lineRule="auto"/>
        <w:rPr>
          <w:sz w:val="20"/>
          <w:szCs w:val="20"/>
          <w:color w:val="auto"/>
        </w:rPr>
      </w:pPr>
      <w:r>
        <w:rPr>
          <w:rFonts w:ascii="Calibri" w:cs="Calibri" w:eastAsia="Calibri" w:hAnsi="Calibri"/>
          <w:sz w:val="17"/>
          <w:szCs w:val="17"/>
          <w:color w:val="auto"/>
        </w:rPr>
        <w:t>RESOLVED, that the stockholders of Lockheed Martn Corporaton approve, on an advisory basis, the compensaton of the named executve ofcers identfed in the “Summary Compensaton Table,” as disclosed in the Lockheed Martn Corporaton 2023 Proxy Statement pursuant to Item 402 of Regulaton S-K, including the Compensaton Discussion and Analysis, the compensaton tables and the accompanying footnotes and narratves. This vote is not intended to address any specifc item of compensaton, but rather our overall compensaton policies and procedures related to the NEOs. Although the results of the Say-on-Pay vote do not bind the Company, the Board will, as it does each year, contnue to review the results carefully and plans to contnue to seek the views of our stockholders throughout the year.</w:t>
      </w:r>
    </w:p>
    <w:p>
      <w:pPr>
        <w:spacing w:after="0" w:line="103" w:lineRule="exact"/>
        <w:rPr>
          <w:sz w:val="20"/>
          <w:szCs w:val="20"/>
          <w:color w:val="auto"/>
        </w:rPr>
      </w:pPr>
    </w:p>
    <w:p>
      <w:pPr>
        <w:spacing w:after="0"/>
        <w:rPr>
          <w:sz w:val="20"/>
          <w:szCs w:val="20"/>
          <w:color w:val="auto"/>
        </w:rPr>
      </w:pPr>
      <w:r>
        <w:rPr>
          <w:rFonts w:ascii="Arial" w:cs="Arial" w:eastAsia="Arial" w:hAnsi="Arial"/>
          <w:sz w:val="29"/>
          <w:szCs w:val="29"/>
          <w:color w:val="003478"/>
        </w:rPr>
        <w:t>Compensation Committee Report</w:t>
      </w:r>
    </w:p>
    <w:p>
      <w:pPr>
        <w:spacing w:after="0" w:line="130" w:lineRule="exact"/>
        <w:rPr>
          <w:sz w:val="20"/>
          <w:szCs w:val="20"/>
          <w:color w:val="auto"/>
        </w:rPr>
      </w:pPr>
    </w:p>
    <w:p>
      <w:pPr>
        <w:ind w:right="180"/>
        <w:spacing w:after="0" w:line="257" w:lineRule="auto"/>
        <w:rPr>
          <w:sz w:val="20"/>
          <w:szCs w:val="20"/>
          <w:color w:val="auto"/>
        </w:rPr>
      </w:pPr>
      <w:r>
        <w:rPr>
          <w:rFonts w:ascii="Calibri" w:cs="Calibri" w:eastAsia="Calibri" w:hAnsi="Calibri"/>
          <w:sz w:val="17"/>
          <w:szCs w:val="17"/>
          <w:color w:val="auto"/>
        </w:rPr>
        <w:t>The Management Development and Compensaton Commitee makes recommendatons to the Board of Directors concerning the compensaton of the Company’s NEOs. We have reviewed and discussed with management the Compensaton Discussion and Analysis that will be included in the Company’s Schedule 14A Proxy Statement, fled pursuant to Secton 14(a) of the Securites Exchange Act of 1934, as amended. Based on that review and discussion, we recommended to the Board of Directors that the Compensaton Discussion and Analysis be included in the Proxy Statement. The Board approved our recommendaton.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309880</wp:posOffset>
            </wp:positionV>
            <wp:extent cx="779780" cy="7797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9780" cy="77978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309880</wp:posOffset>
            </wp:positionV>
            <wp:extent cx="779780" cy="7797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9780" cy="77978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309880</wp:posOffset>
            </wp:positionV>
            <wp:extent cx="779780" cy="7797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9780" cy="77978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309880</wp:posOffset>
            </wp:positionV>
            <wp:extent cx="779780" cy="7797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9780" cy="77978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309880</wp:posOffset>
            </wp:positionV>
            <wp:extent cx="779780" cy="7797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9780" cy="779780"/>
                    </a:xfrm>
                    <a:prstGeom prst="rect">
                      <a:avLst/>
                    </a:prstGeom>
                    <a:noFill/>
                  </pic:spPr>
                </pic:pic>
              </a:graphicData>
            </a:graphic>
          </wp:anchor>
        </w:drawing>
      </w:r>
    </w:p>
    <w:p>
      <w:pPr>
        <w:sectPr>
          <w:pgSz w:w="11900" w:h="16838" w:orient="portrait"/>
          <w:cols w:equalWidth="0" w:num="1">
            <w:col w:w="11260"/>
          </w:cols>
          <w:pgMar w:left="320" w:top="2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4"/>
          <w:szCs w:val="14"/>
          <w:color w:val="003478"/>
        </w:rPr>
        <w:t>Ilene S. Gordon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003478"/>
        </w:rPr>
        <w:t>Thomas J. Falk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80"/>
        <w:spacing w:after="0"/>
        <w:rPr>
          <w:sz w:val="20"/>
          <w:szCs w:val="20"/>
          <w:color w:val="auto"/>
        </w:rPr>
      </w:pPr>
      <w:r>
        <w:rPr>
          <w:rFonts w:ascii="Arial" w:cs="Arial" w:eastAsia="Arial" w:hAnsi="Arial"/>
          <w:sz w:val="14"/>
          <w:szCs w:val="14"/>
          <w:color w:val="003478"/>
        </w:rPr>
        <w:t>Vicki A. Hollub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003478"/>
        </w:rPr>
        <w:t>Debra L. Reed-Klages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003478"/>
        </w:rPr>
        <w:t>Patricia E. Yarrington</w:t>
      </w:r>
    </w:p>
    <w:p>
      <w:pPr>
        <w:spacing w:after="0" w:line="1" w:lineRule="exact"/>
        <w:rPr>
          <w:sz w:val="20"/>
          <w:szCs w:val="20"/>
          <w:color w:val="auto"/>
        </w:rPr>
      </w:pPr>
    </w:p>
    <w:p>
      <w:pPr>
        <w:sectPr>
          <w:pgSz w:w="11900" w:h="16838" w:orient="portrait"/>
          <w:cols w:equalWidth="0" w:num="5">
            <w:col w:w="1540" w:space="720"/>
            <w:col w:w="1520" w:space="720"/>
            <w:col w:w="1520" w:space="720"/>
            <w:col w:w="1540" w:space="720"/>
            <w:col w:w="2260"/>
          </w:cols>
          <w:pgMar w:left="320" w:top="231" w:right="319" w:bottom="1440" w:gutter="0" w:footer="0" w:header="0"/>
          <w:type w:val="continuous"/>
        </w:sectPr>
      </w:pPr>
    </w:p>
    <w:p>
      <w:pPr>
        <w:ind w:left="20"/>
        <w:spacing w:after="0" w:line="194" w:lineRule="auto"/>
        <w:rPr>
          <w:sz w:val="20"/>
          <w:szCs w:val="20"/>
          <w:color w:val="auto"/>
        </w:rPr>
      </w:pPr>
      <w:r>
        <w:rPr>
          <w:rFonts w:ascii="Calibri" w:cs="Calibri" w:eastAsia="Calibri" w:hAnsi="Calibri"/>
          <w:sz w:val="14"/>
          <w:szCs w:val="14"/>
          <w:color w:val="auto"/>
        </w:rPr>
        <w:t>Chairman</w:t>
      </w:r>
    </w:p>
    <w:p>
      <w:pPr>
        <w:sectPr>
          <w:pgSz w:w="11900" w:h="16838" w:orient="portrait"/>
          <w:cols w:equalWidth="0" w:num="1">
            <w:col w:w="11260"/>
          </w:cols>
          <w:pgMar w:left="320" w:top="2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1" w:right="31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3"/>
          <w:szCs w:val="43"/>
          <w:color w:val="003478"/>
        </w:rPr>
        <w:t>Proposal 3</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80" w:type="dxa"/>
            <w:vAlign w:val="bottom"/>
            <w:tcBorders>
              <w:top w:val="single" w:sz="8" w:color="E5E6EF"/>
              <w:left w:val="single" w:sz="8" w:color="003478"/>
            </w:tcBorders>
            <w:shd w:val="clear" w:color="auto" w:fill="E5E6EF"/>
          </w:tcPr>
          <w:p>
            <w:pPr>
              <w:spacing w:after="0"/>
              <w:rPr>
                <w:sz w:val="24"/>
                <w:szCs w:val="24"/>
                <w:color w:val="auto"/>
              </w:rPr>
            </w:pPr>
          </w:p>
        </w:tc>
        <w:tc>
          <w:tcPr>
            <w:tcW w:w="7520" w:type="dxa"/>
            <w:vAlign w:val="bottom"/>
            <w:tcBorders>
              <w:top w:val="single" w:sz="8" w:color="E5E6EF"/>
            </w:tcBorders>
            <w:vMerge w:val="restart"/>
            <w:shd w:val="clear" w:color="auto" w:fill="E5E6EF"/>
          </w:tcPr>
          <w:p>
            <w:pPr>
              <w:ind w:left="60"/>
              <w:spacing w:after="0"/>
              <w:rPr>
                <w:sz w:val="20"/>
                <w:szCs w:val="20"/>
                <w:color w:val="auto"/>
              </w:rPr>
            </w:pPr>
            <w:r>
              <w:rPr>
                <w:rFonts w:ascii="Arial" w:cs="Arial" w:eastAsia="Arial" w:hAnsi="Arial"/>
                <w:sz w:val="25"/>
                <w:szCs w:val="25"/>
                <w:b w:val="1"/>
                <w:bCs w:val="1"/>
                <w:color w:val="003478"/>
              </w:rPr>
              <w:t>Advisory Vote on the Frequency of Advisory Votes to</w:t>
            </w:r>
          </w:p>
        </w:tc>
        <w:tc>
          <w:tcPr>
            <w:tcW w:w="920" w:type="dxa"/>
            <w:vAlign w:val="bottom"/>
            <w:tcBorders>
              <w:top w:val="single" w:sz="8" w:color="003478"/>
            </w:tcBorders>
            <w:shd w:val="clear" w:color="auto" w:fill="003478"/>
          </w:tcPr>
          <w:p>
            <w:pPr>
              <w:spacing w:after="0"/>
              <w:rPr>
                <w:sz w:val="24"/>
                <w:szCs w:val="24"/>
                <w:color w:val="auto"/>
              </w:rPr>
            </w:pPr>
          </w:p>
        </w:tc>
        <w:tc>
          <w:tcPr>
            <w:tcW w:w="2620" w:type="dxa"/>
            <w:vAlign w:val="bottom"/>
            <w:tcBorders>
              <w:top w:val="single" w:sz="8" w:color="003478"/>
            </w:tcBorders>
            <w:shd w:val="clear" w:color="auto" w:fill="003478"/>
          </w:tcPr>
          <w:p>
            <w:pPr>
              <w:ind w:left="20"/>
              <w:spacing w:after="0"/>
              <w:rPr>
                <w:sz w:val="20"/>
                <w:szCs w:val="20"/>
                <w:color w:val="auto"/>
              </w:rPr>
            </w:pPr>
            <w:r>
              <w:rPr>
                <w:rFonts w:ascii="Arial" w:cs="Arial" w:eastAsia="Arial" w:hAnsi="Arial"/>
                <w:sz w:val="17"/>
                <w:szCs w:val="17"/>
                <w:color w:val="FFFFFF"/>
              </w:rPr>
              <w:t>The Board recommends a vote</w:t>
            </w:r>
          </w:p>
        </w:tc>
        <w:tc>
          <w:tcPr>
            <w:tcW w:w="120" w:type="dxa"/>
            <w:vAlign w:val="bottom"/>
            <w:tcBorders>
              <w:top w:val="single" w:sz="8" w:color="003478"/>
            </w:tcBorders>
            <w:shd w:val="clear" w:color="auto" w:fill="003478"/>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0" w:type="dxa"/>
            <w:vAlign w:val="bottom"/>
            <w:tcBorders>
              <w:left w:val="single" w:sz="8" w:color="003478"/>
            </w:tcBorders>
            <w:shd w:val="clear" w:color="auto" w:fill="E5E6EF"/>
          </w:tcPr>
          <w:p>
            <w:pPr>
              <w:spacing w:after="0"/>
              <w:rPr>
                <w:sz w:val="10"/>
                <w:szCs w:val="10"/>
                <w:color w:val="auto"/>
              </w:rPr>
            </w:pPr>
          </w:p>
        </w:tc>
        <w:tc>
          <w:tcPr>
            <w:tcW w:w="7520" w:type="dxa"/>
            <w:vAlign w:val="bottom"/>
            <w:vMerge w:val="continue"/>
            <w:shd w:val="clear" w:color="auto" w:fill="E5E6EF"/>
          </w:tcPr>
          <w:p>
            <w:pPr>
              <w:spacing w:after="0"/>
              <w:rPr>
                <w:sz w:val="10"/>
                <w:szCs w:val="10"/>
                <w:color w:val="auto"/>
              </w:rPr>
            </w:pPr>
          </w:p>
        </w:tc>
        <w:tc>
          <w:tcPr>
            <w:tcW w:w="920" w:type="dxa"/>
            <w:vAlign w:val="bottom"/>
            <w:shd w:val="clear" w:color="auto" w:fill="003478"/>
          </w:tcPr>
          <w:p>
            <w:pPr>
              <w:spacing w:after="0"/>
              <w:rPr>
                <w:sz w:val="10"/>
                <w:szCs w:val="10"/>
                <w:color w:val="auto"/>
              </w:rPr>
            </w:pPr>
          </w:p>
        </w:tc>
        <w:tc>
          <w:tcPr>
            <w:tcW w:w="2620" w:type="dxa"/>
            <w:vAlign w:val="bottom"/>
            <w:vMerge w:val="restart"/>
            <w:shd w:val="clear" w:color="auto" w:fill="003478"/>
          </w:tcPr>
          <w:p>
            <w:pPr>
              <w:ind w:left="20"/>
              <w:spacing w:after="0" w:line="248" w:lineRule="exact"/>
              <w:rPr>
                <w:sz w:val="20"/>
                <w:szCs w:val="20"/>
                <w:color w:val="auto"/>
              </w:rPr>
            </w:pPr>
            <w:r>
              <w:rPr>
                <w:rFonts w:ascii="Arial" w:cs="Arial" w:eastAsia="Arial" w:hAnsi="Arial"/>
                <w:sz w:val="22"/>
                <w:szCs w:val="22"/>
                <w:color w:val="FFFFFF"/>
              </w:rPr>
              <w:t xml:space="preserve">FOR </w:t>
            </w:r>
            <w:r>
              <w:rPr>
                <w:rFonts w:ascii="Arial" w:cs="Arial" w:eastAsia="Arial" w:hAnsi="Arial"/>
                <w:sz w:val="17"/>
                <w:szCs w:val="17"/>
                <w:color w:val="FFFFFF"/>
              </w:rPr>
              <w:t>an</w:t>
            </w:r>
            <w:r>
              <w:rPr>
                <w:rFonts w:ascii="Arial" w:cs="Arial" w:eastAsia="Arial" w:hAnsi="Arial"/>
                <w:sz w:val="22"/>
                <w:szCs w:val="22"/>
                <w:color w:val="FFFFFF"/>
              </w:rPr>
              <w:t xml:space="preserve"> ANNUAL </w:t>
            </w:r>
            <w:r>
              <w:rPr>
                <w:rFonts w:ascii="Arial" w:cs="Arial" w:eastAsia="Arial" w:hAnsi="Arial"/>
                <w:sz w:val="17"/>
                <w:szCs w:val="17"/>
                <w:color w:val="FFFFFF"/>
              </w:rPr>
              <w:t>advisory</w:t>
            </w:r>
          </w:p>
        </w:tc>
        <w:tc>
          <w:tcPr>
            <w:tcW w:w="120" w:type="dxa"/>
            <w:vAlign w:val="bottom"/>
            <w:shd w:val="clear" w:color="auto" w:fill="00347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 w:type="dxa"/>
            <w:vAlign w:val="bottom"/>
            <w:tcBorders>
              <w:left w:val="single" w:sz="8" w:color="003478"/>
            </w:tcBorders>
            <w:shd w:val="clear" w:color="auto" w:fill="E5E6EF"/>
          </w:tcPr>
          <w:p>
            <w:pPr>
              <w:spacing w:after="0"/>
              <w:rPr>
                <w:sz w:val="10"/>
                <w:szCs w:val="10"/>
                <w:color w:val="auto"/>
              </w:rPr>
            </w:pPr>
          </w:p>
        </w:tc>
        <w:tc>
          <w:tcPr>
            <w:tcW w:w="7520" w:type="dxa"/>
            <w:vAlign w:val="bottom"/>
            <w:vMerge w:val="restart"/>
            <w:shd w:val="clear" w:color="auto" w:fill="E5E6EF"/>
          </w:tcPr>
          <w:p>
            <w:pPr>
              <w:ind w:left="60"/>
              <w:spacing w:after="0"/>
              <w:rPr>
                <w:sz w:val="20"/>
                <w:szCs w:val="20"/>
                <w:color w:val="auto"/>
              </w:rPr>
            </w:pPr>
            <w:r>
              <w:rPr>
                <w:rFonts w:ascii="Arial" w:cs="Arial" w:eastAsia="Arial" w:hAnsi="Arial"/>
                <w:sz w:val="25"/>
                <w:szCs w:val="25"/>
                <w:b w:val="1"/>
                <w:bCs w:val="1"/>
                <w:color w:val="003478"/>
              </w:rPr>
              <w:t>Approve the Compensation of our NEOs</w:t>
            </w:r>
          </w:p>
        </w:tc>
        <w:tc>
          <w:tcPr>
            <w:tcW w:w="920" w:type="dxa"/>
            <w:vAlign w:val="bottom"/>
            <w:shd w:val="clear" w:color="auto" w:fill="003478"/>
          </w:tcPr>
          <w:p>
            <w:pPr>
              <w:spacing w:after="0"/>
              <w:rPr>
                <w:sz w:val="10"/>
                <w:szCs w:val="10"/>
                <w:color w:val="auto"/>
              </w:rPr>
            </w:pPr>
          </w:p>
        </w:tc>
        <w:tc>
          <w:tcPr>
            <w:tcW w:w="2620" w:type="dxa"/>
            <w:vAlign w:val="bottom"/>
            <w:vMerge w:val="continue"/>
            <w:shd w:val="clear" w:color="auto" w:fill="003478"/>
          </w:tcPr>
          <w:p>
            <w:pPr>
              <w:spacing w:after="0"/>
              <w:rPr>
                <w:sz w:val="10"/>
                <w:szCs w:val="10"/>
                <w:color w:val="auto"/>
              </w:rPr>
            </w:pPr>
          </w:p>
        </w:tc>
        <w:tc>
          <w:tcPr>
            <w:tcW w:w="120" w:type="dxa"/>
            <w:vAlign w:val="bottom"/>
            <w:shd w:val="clear" w:color="auto" w:fill="003478"/>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80" w:type="dxa"/>
            <w:vAlign w:val="bottom"/>
            <w:tcBorders>
              <w:left w:val="single" w:sz="8" w:color="003478"/>
            </w:tcBorders>
            <w:shd w:val="clear" w:color="auto" w:fill="E5E6EF"/>
          </w:tcPr>
          <w:p>
            <w:pPr>
              <w:spacing w:after="0"/>
              <w:rPr>
                <w:sz w:val="19"/>
                <w:szCs w:val="19"/>
                <w:color w:val="auto"/>
              </w:rPr>
            </w:pPr>
          </w:p>
        </w:tc>
        <w:tc>
          <w:tcPr>
            <w:tcW w:w="7520" w:type="dxa"/>
            <w:vAlign w:val="bottom"/>
            <w:vMerge w:val="continue"/>
            <w:shd w:val="clear" w:color="auto" w:fill="E5E6EF"/>
          </w:tcPr>
          <w:p>
            <w:pPr>
              <w:spacing w:after="0"/>
              <w:rPr>
                <w:sz w:val="19"/>
                <w:szCs w:val="19"/>
                <w:color w:val="auto"/>
              </w:rPr>
            </w:pPr>
          </w:p>
        </w:tc>
        <w:tc>
          <w:tcPr>
            <w:tcW w:w="920" w:type="dxa"/>
            <w:vAlign w:val="bottom"/>
            <w:shd w:val="clear" w:color="auto" w:fill="003478"/>
          </w:tcPr>
          <w:p>
            <w:pPr>
              <w:spacing w:after="0"/>
              <w:rPr>
                <w:sz w:val="19"/>
                <w:szCs w:val="19"/>
                <w:color w:val="auto"/>
              </w:rPr>
            </w:pPr>
          </w:p>
        </w:tc>
        <w:tc>
          <w:tcPr>
            <w:tcW w:w="2620" w:type="dxa"/>
            <w:vAlign w:val="bottom"/>
            <w:shd w:val="clear" w:color="auto" w:fill="003478"/>
          </w:tcPr>
          <w:p>
            <w:pPr>
              <w:ind w:left="20"/>
              <w:spacing w:after="0"/>
              <w:rPr>
                <w:sz w:val="20"/>
                <w:szCs w:val="20"/>
                <w:color w:val="auto"/>
              </w:rPr>
            </w:pPr>
            <w:r>
              <w:rPr>
                <w:rFonts w:ascii="Arial" w:cs="Arial" w:eastAsia="Arial" w:hAnsi="Arial"/>
                <w:sz w:val="17"/>
                <w:szCs w:val="17"/>
                <w:color w:val="FFFFFF"/>
              </w:rPr>
              <w:t>vote</w:t>
            </w:r>
          </w:p>
        </w:tc>
        <w:tc>
          <w:tcPr>
            <w:tcW w:w="120" w:type="dxa"/>
            <w:vAlign w:val="bottom"/>
            <w:shd w:val="clear" w:color="auto" w:fill="003478"/>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80" w:type="dxa"/>
            <w:vAlign w:val="bottom"/>
            <w:tcBorders>
              <w:left w:val="single" w:sz="8" w:color="003478"/>
              <w:bottom w:val="single" w:sz="8" w:color="003478"/>
            </w:tcBorders>
            <w:shd w:val="clear" w:color="auto" w:fill="E5E6EF"/>
          </w:tcPr>
          <w:p>
            <w:pPr>
              <w:spacing w:after="0"/>
              <w:rPr>
                <w:sz w:val="10"/>
                <w:szCs w:val="10"/>
                <w:color w:val="auto"/>
              </w:rPr>
            </w:pPr>
          </w:p>
        </w:tc>
        <w:tc>
          <w:tcPr>
            <w:tcW w:w="7520" w:type="dxa"/>
            <w:vAlign w:val="bottom"/>
            <w:tcBorders>
              <w:bottom w:val="single" w:sz="8" w:color="003478"/>
            </w:tcBorders>
            <w:shd w:val="clear" w:color="auto" w:fill="E5E6EF"/>
          </w:tcPr>
          <w:p>
            <w:pPr>
              <w:spacing w:after="0"/>
              <w:rPr>
                <w:sz w:val="10"/>
                <w:szCs w:val="10"/>
                <w:color w:val="auto"/>
              </w:rPr>
            </w:pPr>
          </w:p>
        </w:tc>
        <w:tc>
          <w:tcPr>
            <w:tcW w:w="920" w:type="dxa"/>
            <w:vAlign w:val="bottom"/>
            <w:tcBorders>
              <w:bottom w:val="single" w:sz="8" w:color="003478"/>
            </w:tcBorders>
            <w:shd w:val="clear" w:color="auto" w:fill="003478"/>
          </w:tcPr>
          <w:p>
            <w:pPr>
              <w:spacing w:after="0"/>
              <w:rPr>
                <w:sz w:val="10"/>
                <w:szCs w:val="10"/>
                <w:color w:val="auto"/>
              </w:rPr>
            </w:pPr>
          </w:p>
        </w:tc>
        <w:tc>
          <w:tcPr>
            <w:tcW w:w="2620" w:type="dxa"/>
            <w:vAlign w:val="bottom"/>
            <w:tcBorders>
              <w:bottom w:val="single" w:sz="8" w:color="003478"/>
            </w:tcBorders>
            <w:shd w:val="clear" w:color="auto" w:fill="003478"/>
          </w:tcPr>
          <w:p>
            <w:pPr>
              <w:spacing w:after="0"/>
              <w:rPr>
                <w:sz w:val="10"/>
                <w:szCs w:val="10"/>
                <w:color w:val="auto"/>
              </w:rPr>
            </w:pPr>
          </w:p>
        </w:tc>
        <w:tc>
          <w:tcPr>
            <w:tcW w:w="120" w:type="dxa"/>
            <w:vAlign w:val="bottom"/>
            <w:tcBorders>
              <w:bottom w:val="single" w:sz="8" w:color="003478"/>
            </w:tcBorders>
            <w:shd w:val="clear" w:color="auto" w:fill="003478"/>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-471170</wp:posOffset>
            </wp:positionV>
            <wp:extent cx="291465" cy="291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169" w:lineRule="exact"/>
        <w:rPr>
          <w:sz w:val="20"/>
          <w:szCs w:val="20"/>
          <w:color w:val="auto"/>
        </w:rPr>
      </w:pPr>
    </w:p>
    <w:p>
      <w:pPr>
        <w:ind w:right="360"/>
        <w:spacing w:after="0" w:line="256" w:lineRule="auto"/>
        <w:rPr>
          <w:sz w:val="20"/>
          <w:szCs w:val="20"/>
          <w:color w:val="auto"/>
        </w:rPr>
      </w:pPr>
      <w:r>
        <w:rPr>
          <w:rFonts w:ascii="Calibri" w:cs="Calibri" w:eastAsia="Calibri" w:hAnsi="Calibri"/>
          <w:sz w:val="17"/>
          <w:szCs w:val="17"/>
          <w:color w:val="auto"/>
        </w:rPr>
        <w:t>We also are asking our stockholders to provide an advisory (non-binding) vote on how frequently stockholders should have an opportunity to vote on an advisory basis to approve the compensaton of our NEOs. We are required by law to hold an advisory vote on the frequency of Say-on-Pay votes every six years and stockholders may vote to hold the advisory vote on Say-on-Pay every one, two or three years. Our stockholders were last provided with the opportunity to vote on the frequency of Say-on-Pay votes in 2017 and voted in favor of holding Say-on-Pay votes annually, which the Board adopted as its standard.</w:t>
      </w:r>
    </w:p>
    <w:p>
      <w:pPr>
        <w:spacing w:after="0" w:line="108" w:lineRule="exact"/>
        <w:rPr>
          <w:sz w:val="20"/>
          <w:szCs w:val="20"/>
          <w:color w:val="auto"/>
        </w:rPr>
      </w:pPr>
    </w:p>
    <w:p>
      <w:pPr>
        <w:ind w:right="120"/>
        <w:spacing w:after="0" w:line="261" w:lineRule="auto"/>
        <w:rPr>
          <w:sz w:val="20"/>
          <w:szCs w:val="20"/>
          <w:color w:val="auto"/>
        </w:rPr>
      </w:pPr>
      <w:r>
        <w:rPr>
          <w:rFonts w:ascii="Calibri" w:cs="Calibri" w:eastAsia="Calibri" w:hAnsi="Calibri"/>
          <w:sz w:val="17"/>
          <w:szCs w:val="17"/>
          <w:color w:val="auto"/>
        </w:rPr>
        <w:t>We recognize that the widely adopted standard is to hold Say-on-Pay votes annually. We also acknowledge current stockholder expectatons and preferences regarding having the ability to express their views on the compensaton of the Company’s NEOs on an annual basis. In light of investor expectatons and prevailing market practce, we are asking stockholders to support the contnuaton of a frequency period of “ONE YEAR” (an annual vote) for future votes on Say-on-Pay.</w:t>
      </w:r>
    </w:p>
    <w:p>
      <w:pPr>
        <w:spacing w:after="0" w:line="322" w:lineRule="exact"/>
        <w:rPr>
          <w:sz w:val="20"/>
          <w:szCs w:val="20"/>
          <w:color w:val="auto"/>
        </w:rPr>
      </w:pPr>
    </w:p>
    <w:p>
      <w:pPr>
        <w:ind w:right="220"/>
        <w:spacing w:after="0" w:line="255" w:lineRule="auto"/>
        <w:rPr>
          <w:sz w:val="20"/>
          <w:szCs w:val="20"/>
          <w:color w:val="auto"/>
        </w:rPr>
      </w:pPr>
      <w:r>
        <w:rPr>
          <w:rFonts w:ascii="Calibri" w:cs="Calibri" w:eastAsia="Calibri" w:hAnsi="Calibri"/>
          <w:sz w:val="17"/>
          <w:szCs w:val="17"/>
          <w:color w:val="auto"/>
        </w:rPr>
        <w:t>Votes on the frequency for Say-on-Pay are advisory. Although your vote on this Say-on-Pay resoluton does not bind the Company, the Board will review the results of the vote and investor feedback and will contnue to review the advantages and disadvantages for each of the frequencies on Say-on-Pay votes regardless of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334645</wp:posOffset>
            </wp:positionV>
            <wp:extent cx="1071880"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1" w:right="319" w:bottom="1440" w:gutter="0" w:footer="0" w:header="0"/>
        </w:sectPr>
      </w:pPr>
    </w:p>
    <w:bookmarkStart w:id="46" w:name="page47"/>
    <w:bookmarkEnd w:id="46"/>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Compensation Discussion and Analysis (CD&amp;A)</w:t>
      </w:r>
    </w:p>
    <w:p>
      <w:pPr>
        <w:spacing w:after="0" w:line="198" w:lineRule="exact"/>
        <w:rPr>
          <w:sz w:val="20"/>
          <w:szCs w:val="20"/>
          <w:color w:val="auto"/>
        </w:rPr>
      </w:pPr>
    </w:p>
    <w:p>
      <w:pPr>
        <w:ind w:right="500"/>
        <w:spacing w:after="0" w:line="245" w:lineRule="auto"/>
        <w:rPr>
          <w:sz w:val="20"/>
          <w:szCs w:val="20"/>
          <w:color w:val="auto"/>
        </w:rPr>
      </w:pPr>
      <w:r>
        <w:rPr>
          <w:rFonts w:ascii="Calibri" w:cs="Calibri" w:eastAsia="Calibri" w:hAnsi="Calibri"/>
          <w:sz w:val="17"/>
          <w:szCs w:val="17"/>
          <w:color w:val="auto"/>
        </w:rPr>
        <w:t>This CD&amp;A discusses the compensaton decisions for the NEOs listed in the Summary Compensaton Table on page 58. In 2022, the following leadership changes afected the NEOs:</w:t>
      </w:r>
    </w:p>
    <w:p>
      <w:pPr>
        <w:spacing w:after="0" w:line="126" w:lineRule="exact"/>
        <w:rPr>
          <w:sz w:val="20"/>
          <w:szCs w:val="20"/>
          <w:color w:val="auto"/>
        </w:rPr>
      </w:pPr>
    </w:p>
    <w:p>
      <w:pPr>
        <w:ind w:left="240" w:hanging="151"/>
        <w:spacing w:after="0"/>
        <w:tabs>
          <w:tab w:leader="none" w:pos="240" w:val="left"/>
        </w:tabs>
        <w:numPr>
          <w:ilvl w:val="0"/>
          <w:numId w:val="59"/>
        </w:numPr>
        <w:rPr>
          <w:rFonts w:ascii="Calibri" w:cs="Calibri" w:eastAsia="Calibri" w:hAnsi="Calibri"/>
          <w:sz w:val="17"/>
          <w:szCs w:val="17"/>
          <w:color w:val="003478"/>
        </w:rPr>
      </w:pPr>
      <w:r>
        <w:rPr>
          <w:rFonts w:ascii="Calibri" w:cs="Calibri" w:eastAsia="Calibri" w:hAnsi="Calibri"/>
          <w:sz w:val="17"/>
          <w:szCs w:val="17"/>
          <w:color w:val="auto"/>
        </w:rPr>
        <w:t>Jesus Malave was appointed as Chief Financial Ofcer on January 31, 2022;</w:t>
      </w:r>
    </w:p>
    <w:p>
      <w:pPr>
        <w:spacing w:after="0" w:line="65" w:lineRule="exact"/>
        <w:rPr>
          <w:rFonts w:ascii="Calibri" w:cs="Calibri" w:eastAsia="Calibri" w:hAnsi="Calibri"/>
          <w:sz w:val="17"/>
          <w:szCs w:val="17"/>
          <w:color w:val="003478"/>
        </w:rPr>
      </w:pPr>
    </w:p>
    <w:p>
      <w:pPr>
        <w:ind w:left="260" w:right="20" w:hanging="171"/>
        <w:spacing w:after="0" w:line="245" w:lineRule="auto"/>
        <w:tabs>
          <w:tab w:leader="none" w:pos="253" w:val="left"/>
        </w:tabs>
        <w:numPr>
          <w:ilvl w:val="0"/>
          <w:numId w:val="59"/>
        </w:numPr>
        <w:rPr>
          <w:rFonts w:ascii="Calibri" w:cs="Calibri" w:eastAsia="Calibri" w:hAnsi="Calibri"/>
          <w:sz w:val="17"/>
          <w:szCs w:val="17"/>
          <w:color w:val="003478"/>
        </w:rPr>
      </w:pPr>
      <w:r>
        <w:rPr>
          <w:rFonts w:ascii="Calibri" w:cs="Calibri" w:eastAsia="Calibri" w:hAnsi="Calibri"/>
          <w:sz w:val="17"/>
          <w:szCs w:val="17"/>
          <w:color w:val="auto"/>
        </w:rPr>
        <w:t>John W. Mollard served as Actng Chief Financial Ofcer from August 2021 untl January 31, 2022 and then as Vice President and Treasurer untl June 2022; he announced his plans to retre in June 2022 and served as a strategic advisor untl his retrement on January 1, 2023 to assist in the transiton; and</w:t>
      </w:r>
    </w:p>
    <w:p>
      <w:pPr>
        <w:spacing w:after="0" w:line="75" w:lineRule="exact"/>
        <w:rPr>
          <w:rFonts w:ascii="Calibri" w:cs="Calibri" w:eastAsia="Calibri" w:hAnsi="Calibri"/>
          <w:sz w:val="17"/>
          <w:szCs w:val="17"/>
          <w:color w:val="003478"/>
        </w:rPr>
      </w:pPr>
    </w:p>
    <w:p>
      <w:pPr>
        <w:ind w:left="260" w:right="120" w:hanging="171"/>
        <w:spacing w:after="0" w:line="245" w:lineRule="auto"/>
        <w:tabs>
          <w:tab w:leader="none" w:pos="253" w:val="left"/>
        </w:tabs>
        <w:numPr>
          <w:ilvl w:val="0"/>
          <w:numId w:val="59"/>
        </w:numPr>
        <w:rPr>
          <w:rFonts w:ascii="Calibri" w:cs="Calibri" w:eastAsia="Calibri" w:hAnsi="Calibri"/>
          <w:sz w:val="17"/>
          <w:szCs w:val="17"/>
          <w:color w:val="auto"/>
        </w:rPr>
      </w:pPr>
      <w:r>
        <w:rPr>
          <w:rFonts w:ascii="Calibri" w:cs="Calibri" w:eastAsia="Calibri" w:hAnsi="Calibri"/>
          <w:sz w:val="17"/>
          <w:szCs w:val="17"/>
          <w:color w:val="auto"/>
        </w:rPr>
        <w:t>Scot Greene transitoned to an advisory role on November 1, 2022 and retred on January 1, 2023, afer serving as Executve Vice President, Missiles and Fire Control.</w:t>
      </w:r>
    </w:p>
    <w:p>
      <w:pPr>
        <w:spacing w:after="0" w:line="126" w:lineRule="exact"/>
        <w:rPr>
          <w:sz w:val="20"/>
          <w:szCs w:val="20"/>
          <w:color w:val="auto"/>
        </w:rPr>
      </w:pPr>
    </w:p>
    <w:p>
      <w:pPr>
        <w:spacing w:after="0"/>
        <w:rPr>
          <w:sz w:val="20"/>
          <w:szCs w:val="20"/>
          <w:color w:val="auto"/>
        </w:rPr>
      </w:pPr>
      <w:r>
        <w:rPr>
          <w:rFonts w:ascii="Calibri" w:cs="Calibri" w:eastAsia="Calibri" w:hAnsi="Calibri"/>
          <w:sz w:val="17"/>
          <w:szCs w:val="17"/>
          <w:color w:val="auto"/>
        </w:rPr>
        <w:t>The NEOs currently serving are shown below and exclude Mr. Greene and Mr. Mollard.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135890</wp:posOffset>
            </wp:positionV>
            <wp:extent cx="779780" cy="7715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9780" cy="77152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135890</wp:posOffset>
            </wp:positionV>
            <wp:extent cx="779780" cy="780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9780" cy="7804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135890</wp:posOffset>
            </wp:positionV>
            <wp:extent cx="779780" cy="780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978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3020" w:type="dxa"/>
            <w:vAlign w:val="bottom"/>
          </w:tcPr>
          <w:p>
            <w:pPr>
              <w:spacing w:after="0"/>
              <w:rPr>
                <w:sz w:val="20"/>
                <w:szCs w:val="20"/>
                <w:color w:val="auto"/>
              </w:rPr>
            </w:pPr>
            <w:r>
              <w:rPr>
                <w:rFonts w:ascii="Calibri" w:cs="Calibri" w:eastAsia="Calibri" w:hAnsi="Calibri"/>
                <w:sz w:val="14"/>
                <w:szCs w:val="14"/>
                <w:b w:val="1"/>
                <w:bCs w:val="1"/>
                <w:color w:val="003478"/>
              </w:rPr>
              <w:t>James D. Taiclet</w:t>
            </w:r>
          </w:p>
        </w:tc>
        <w:tc>
          <w:tcPr>
            <w:tcW w:w="2560" w:type="dxa"/>
            <w:vAlign w:val="bottom"/>
          </w:tcPr>
          <w:p>
            <w:pPr>
              <w:ind w:left="260"/>
              <w:spacing w:after="0"/>
              <w:rPr>
                <w:sz w:val="20"/>
                <w:szCs w:val="20"/>
                <w:color w:val="auto"/>
              </w:rPr>
            </w:pPr>
            <w:r>
              <w:rPr>
                <w:rFonts w:ascii="Calibri" w:cs="Calibri" w:eastAsia="Calibri" w:hAnsi="Calibri"/>
                <w:sz w:val="14"/>
                <w:szCs w:val="14"/>
                <w:b w:val="1"/>
                <w:bCs w:val="1"/>
                <w:color w:val="003478"/>
              </w:rPr>
              <w:t>Jesus Malave</w:t>
            </w:r>
          </w:p>
        </w:tc>
        <w:tc>
          <w:tcPr>
            <w:tcW w:w="2440" w:type="dxa"/>
            <w:vAlign w:val="bottom"/>
          </w:tcPr>
          <w:p>
            <w:pPr>
              <w:ind w:left="980"/>
              <w:spacing w:after="0"/>
              <w:rPr>
                <w:sz w:val="20"/>
                <w:szCs w:val="20"/>
                <w:color w:val="auto"/>
              </w:rPr>
            </w:pPr>
            <w:r>
              <w:rPr>
                <w:rFonts w:ascii="Calibri" w:cs="Calibri" w:eastAsia="Calibri" w:hAnsi="Calibri"/>
                <w:sz w:val="14"/>
                <w:szCs w:val="14"/>
                <w:b w:val="1"/>
                <w:bCs w:val="1"/>
                <w:color w:val="003478"/>
              </w:rPr>
              <w:t>Frank A. St. John</w:t>
            </w:r>
          </w:p>
        </w:tc>
      </w:tr>
      <w:tr>
        <w:trPr>
          <w:trHeight w:val="189"/>
        </w:trPr>
        <w:tc>
          <w:tcPr>
            <w:tcW w:w="3020" w:type="dxa"/>
            <w:vAlign w:val="bottom"/>
          </w:tcPr>
          <w:p>
            <w:pPr>
              <w:spacing w:after="0"/>
              <w:rPr>
                <w:sz w:val="20"/>
                <w:szCs w:val="20"/>
                <w:color w:val="auto"/>
              </w:rPr>
            </w:pPr>
            <w:r>
              <w:rPr>
                <w:rFonts w:ascii="Calibri" w:cs="Calibri" w:eastAsia="Calibri" w:hAnsi="Calibri"/>
                <w:sz w:val="14"/>
                <w:szCs w:val="14"/>
                <w:color w:val="auto"/>
              </w:rPr>
              <w:t>Chairman, President and Chief Executve Ofcer</w:t>
            </w:r>
          </w:p>
        </w:tc>
        <w:tc>
          <w:tcPr>
            <w:tcW w:w="2560" w:type="dxa"/>
            <w:vAlign w:val="bottom"/>
          </w:tcPr>
          <w:p>
            <w:pPr>
              <w:ind w:left="260"/>
              <w:spacing w:after="0"/>
              <w:rPr>
                <w:sz w:val="20"/>
                <w:szCs w:val="20"/>
                <w:color w:val="auto"/>
              </w:rPr>
            </w:pPr>
            <w:r>
              <w:rPr>
                <w:rFonts w:ascii="Calibri" w:cs="Calibri" w:eastAsia="Calibri" w:hAnsi="Calibri"/>
                <w:sz w:val="14"/>
                <w:szCs w:val="14"/>
                <w:color w:val="auto"/>
              </w:rPr>
              <w:t>Chief Financial Ofcer</w:t>
            </w:r>
          </w:p>
        </w:tc>
        <w:tc>
          <w:tcPr>
            <w:tcW w:w="2440" w:type="dxa"/>
            <w:vAlign w:val="bottom"/>
          </w:tcPr>
          <w:p>
            <w:pPr>
              <w:ind w:left="980"/>
              <w:spacing w:after="0"/>
              <w:rPr>
                <w:sz w:val="20"/>
                <w:szCs w:val="20"/>
                <w:color w:val="auto"/>
              </w:rPr>
            </w:pPr>
            <w:r>
              <w:rPr>
                <w:rFonts w:ascii="Calibri" w:cs="Calibri" w:eastAsia="Calibri" w:hAnsi="Calibri"/>
                <w:sz w:val="14"/>
                <w:szCs w:val="14"/>
                <w:color w:val="auto"/>
              </w:rPr>
              <w:t>Chief Operatng Ofcer</w:t>
            </w:r>
          </w:p>
        </w:tc>
      </w:tr>
      <w:tr>
        <w:trPr>
          <w:trHeight w:val="256"/>
        </w:trPr>
        <w:tc>
          <w:tcPr>
            <w:tcW w:w="3020" w:type="dxa"/>
            <w:vAlign w:val="bottom"/>
          </w:tcPr>
          <w:p>
            <w:pPr>
              <w:spacing w:after="0"/>
              <w:rPr>
                <w:sz w:val="20"/>
                <w:szCs w:val="20"/>
                <w:color w:val="auto"/>
              </w:rPr>
            </w:pPr>
            <w:r>
              <w:rPr>
                <w:rFonts w:ascii="Calibri" w:cs="Calibri" w:eastAsia="Calibri" w:hAnsi="Calibri"/>
                <w:sz w:val="14"/>
                <w:szCs w:val="14"/>
                <w:color w:val="auto"/>
              </w:rPr>
              <w:t>Years of Service: 3 years</w:t>
            </w:r>
          </w:p>
        </w:tc>
        <w:tc>
          <w:tcPr>
            <w:tcW w:w="2560" w:type="dxa"/>
            <w:vAlign w:val="bottom"/>
          </w:tcPr>
          <w:p>
            <w:pPr>
              <w:ind w:left="260"/>
              <w:spacing w:after="0"/>
              <w:rPr>
                <w:sz w:val="20"/>
                <w:szCs w:val="20"/>
                <w:color w:val="auto"/>
              </w:rPr>
            </w:pPr>
            <w:r>
              <w:rPr>
                <w:rFonts w:ascii="Calibri" w:cs="Calibri" w:eastAsia="Calibri" w:hAnsi="Calibri"/>
                <w:sz w:val="14"/>
                <w:szCs w:val="14"/>
                <w:color w:val="auto"/>
              </w:rPr>
              <w:t>Years of Service: 1 year</w:t>
            </w:r>
          </w:p>
        </w:tc>
        <w:tc>
          <w:tcPr>
            <w:tcW w:w="2440" w:type="dxa"/>
            <w:vAlign w:val="bottom"/>
          </w:tcPr>
          <w:p>
            <w:pPr>
              <w:ind w:left="980"/>
              <w:spacing w:after="0"/>
              <w:rPr>
                <w:sz w:val="20"/>
                <w:szCs w:val="20"/>
                <w:color w:val="auto"/>
              </w:rPr>
            </w:pPr>
            <w:r>
              <w:rPr>
                <w:rFonts w:ascii="Calibri" w:cs="Calibri" w:eastAsia="Calibri" w:hAnsi="Calibri"/>
                <w:sz w:val="14"/>
                <w:szCs w:val="14"/>
                <w:color w:val="auto"/>
                <w:w w:val="99"/>
              </w:rPr>
              <w:t>Years of Service: 36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218440</wp:posOffset>
            </wp:positionV>
            <wp:extent cx="779780" cy="797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9780" cy="79756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218440</wp:posOffset>
            </wp:positionV>
            <wp:extent cx="780415" cy="797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8041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80"/>
        <w:spacing w:after="0"/>
        <w:tabs>
          <w:tab w:leader="none" w:pos="3920" w:val="left"/>
        </w:tabs>
        <w:rPr>
          <w:sz w:val="20"/>
          <w:szCs w:val="20"/>
          <w:color w:val="auto"/>
        </w:rPr>
      </w:pPr>
      <w:r>
        <w:rPr>
          <w:rFonts w:ascii="Calibri" w:cs="Calibri" w:eastAsia="Calibri" w:hAnsi="Calibri"/>
          <w:sz w:val="14"/>
          <w:szCs w:val="14"/>
          <w:b w:val="1"/>
          <w:bCs w:val="1"/>
          <w:color w:val="003478"/>
        </w:rPr>
        <w:t>Maryanne R. Lavan</w:t>
      </w:r>
      <w:r>
        <w:rPr>
          <w:sz w:val="20"/>
          <w:szCs w:val="20"/>
          <w:color w:val="auto"/>
        </w:rPr>
        <w:tab/>
      </w:r>
      <w:r>
        <w:rPr>
          <w:rFonts w:ascii="Calibri" w:cs="Calibri" w:eastAsia="Calibri" w:hAnsi="Calibri"/>
          <w:sz w:val="14"/>
          <w:szCs w:val="14"/>
          <w:b w:val="1"/>
          <w:bCs w:val="1"/>
          <w:color w:val="003478"/>
        </w:rPr>
        <w:t>Gregory M. Ulmer</w:t>
      </w:r>
    </w:p>
    <w:p>
      <w:pPr>
        <w:spacing w:after="0" w:line="18" w:lineRule="exact"/>
        <w:rPr>
          <w:sz w:val="20"/>
          <w:szCs w:val="20"/>
          <w:color w:val="auto"/>
        </w:rPr>
      </w:pPr>
    </w:p>
    <w:p>
      <w:pPr>
        <w:ind w:left="680"/>
        <w:spacing w:after="0"/>
        <w:tabs>
          <w:tab w:leader="none" w:pos="3920" w:val="left"/>
        </w:tabs>
        <w:rPr>
          <w:sz w:val="20"/>
          <w:szCs w:val="20"/>
          <w:color w:val="auto"/>
        </w:rPr>
      </w:pPr>
      <w:r>
        <w:rPr>
          <w:rFonts w:ascii="Calibri" w:cs="Calibri" w:eastAsia="Calibri" w:hAnsi="Calibri"/>
          <w:sz w:val="14"/>
          <w:szCs w:val="14"/>
          <w:color w:val="auto"/>
        </w:rPr>
        <w:t>Senior Vice President, General Counsel</w:t>
      </w:r>
      <w:r>
        <w:rPr>
          <w:sz w:val="20"/>
          <w:szCs w:val="20"/>
          <w:color w:val="auto"/>
        </w:rPr>
        <w:tab/>
      </w:r>
      <w:r>
        <w:rPr>
          <w:rFonts w:ascii="Calibri" w:cs="Calibri" w:eastAsia="Calibri" w:hAnsi="Calibri"/>
          <w:sz w:val="14"/>
          <w:szCs w:val="14"/>
          <w:color w:val="auto"/>
        </w:rPr>
        <w:t>Executve Vice President</w:t>
      </w:r>
    </w:p>
    <w:p>
      <w:pPr>
        <w:spacing w:after="0" w:line="18" w:lineRule="exact"/>
        <w:rPr>
          <w:sz w:val="20"/>
          <w:szCs w:val="20"/>
          <w:color w:val="auto"/>
        </w:rPr>
      </w:pPr>
    </w:p>
    <w:p>
      <w:pPr>
        <w:ind w:left="680"/>
        <w:spacing w:after="0"/>
        <w:tabs>
          <w:tab w:leader="none" w:pos="3920" w:val="left"/>
        </w:tabs>
        <w:rPr>
          <w:sz w:val="20"/>
          <w:szCs w:val="20"/>
          <w:color w:val="auto"/>
        </w:rPr>
      </w:pPr>
      <w:r>
        <w:rPr>
          <w:rFonts w:ascii="Calibri" w:cs="Calibri" w:eastAsia="Calibri" w:hAnsi="Calibri"/>
          <w:sz w:val="14"/>
          <w:szCs w:val="14"/>
          <w:color w:val="auto"/>
        </w:rPr>
        <w:t>and Corporate Secretary</w:t>
      </w:r>
      <w:r>
        <w:rPr>
          <w:sz w:val="20"/>
          <w:szCs w:val="20"/>
          <w:color w:val="auto"/>
        </w:rPr>
        <w:tab/>
      </w:r>
      <w:r>
        <w:rPr>
          <w:rFonts w:ascii="Calibri" w:cs="Calibri" w:eastAsia="Calibri" w:hAnsi="Calibri"/>
          <w:sz w:val="14"/>
          <w:szCs w:val="14"/>
          <w:color w:val="auto"/>
        </w:rPr>
        <w:t>Aeronautcs</w:t>
      </w:r>
    </w:p>
    <w:p>
      <w:pPr>
        <w:spacing w:after="0" w:line="86" w:lineRule="exact"/>
        <w:rPr>
          <w:sz w:val="20"/>
          <w:szCs w:val="20"/>
          <w:color w:val="auto"/>
        </w:rPr>
      </w:pPr>
    </w:p>
    <w:p>
      <w:pPr>
        <w:ind w:left="680"/>
        <w:spacing w:after="0"/>
        <w:tabs>
          <w:tab w:leader="none" w:pos="3920" w:val="left"/>
        </w:tabs>
        <w:rPr>
          <w:sz w:val="20"/>
          <w:szCs w:val="20"/>
          <w:color w:val="auto"/>
        </w:rPr>
      </w:pPr>
      <w:r>
        <w:rPr>
          <w:rFonts w:ascii="Calibri" w:cs="Calibri" w:eastAsia="Calibri" w:hAnsi="Calibri"/>
          <w:sz w:val="14"/>
          <w:szCs w:val="14"/>
          <w:color w:val="auto"/>
        </w:rPr>
        <w:t>Years of Service: 33 years</w:t>
      </w:r>
      <w:r>
        <w:rPr>
          <w:sz w:val="20"/>
          <w:szCs w:val="20"/>
          <w:color w:val="auto"/>
        </w:rPr>
        <w:tab/>
      </w:r>
      <w:r>
        <w:rPr>
          <w:rFonts w:ascii="Calibri" w:cs="Calibri" w:eastAsia="Calibri" w:hAnsi="Calibri"/>
          <w:sz w:val="14"/>
          <w:szCs w:val="14"/>
          <w:color w:val="auto"/>
        </w:rPr>
        <w:t>Years of Service: 27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748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7482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00"/>
        <w:spacing w:after="0" w:line="252" w:lineRule="auto"/>
        <w:rPr>
          <w:sz w:val="20"/>
          <w:szCs w:val="20"/>
          <w:color w:val="auto"/>
        </w:rPr>
      </w:pPr>
      <w:r>
        <w:rPr>
          <w:rFonts w:ascii="Calibri" w:cs="Calibri" w:eastAsia="Calibri" w:hAnsi="Calibri"/>
          <w:sz w:val="17"/>
          <w:szCs w:val="17"/>
          <w:color w:val="auto"/>
        </w:rPr>
        <w:t>To assist stockholders in fnding important informaton in the CD&amp;A, sectons are highlighted as follows: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alibri" w:cs="Calibri" w:eastAsia="Calibri" w:hAnsi="Calibri"/>
          <w:sz w:val="17"/>
          <w:szCs w:val="17"/>
          <w:color w:val="auto"/>
        </w:rPr>
        <w:t>Page(s)</w:t>
      </w:r>
    </w:p>
    <w:p>
      <w:pPr>
        <w:spacing w:after="0" w:line="22" w:lineRule="exact"/>
        <w:rPr>
          <w:sz w:val="20"/>
          <w:szCs w:val="20"/>
          <w:color w:val="auto"/>
        </w:rPr>
      </w:pPr>
    </w:p>
    <w:p>
      <w:pPr>
        <w:ind w:left="720" w:hanging="550"/>
        <w:spacing w:after="0"/>
        <w:tabs>
          <w:tab w:leader="none" w:pos="720" w:val="left"/>
        </w:tabs>
        <w:numPr>
          <w:ilvl w:val="0"/>
          <w:numId w:val="60"/>
        </w:numPr>
        <w:rPr>
          <w:rFonts w:ascii="Calibri" w:cs="Calibri" w:eastAsia="Calibri" w:hAnsi="Calibri"/>
          <w:sz w:val="17"/>
          <w:szCs w:val="17"/>
          <w:b w:val="1"/>
          <w:bCs w:val="1"/>
          <w:color w:val="auto"/>
        </w:rPr>
      </w:pPr>
      <w:r>
        <w:rPr>
          <w:rFonts w:ascii="Calibri" w:cs="Calibri" w:eastAsia="Calibri" w:hAnsi="Calibri"/>
          <w:sz w:val="17"/>
          <w:szCs w:val="17"/>
          <w:color w:val="auto"/>
        </w:rPr>
        <w:t>Our 2022 Performance</w:t>
      </w:r>
    </w:p>
    <w:p>
      <w:pPr>
        <w:spacing w:after="0" w:line="62" w:lineRule="exact"/>
        <w:rPr>
          <w:rFonts w:ascii="Calibri" w:cs="Calibri" w:eastAsia="Calibri" w:hAnsi="Calibri"/>
          <w:sz w:val="17"/>
          <w:szCs w:val="17"/>
          <w:b w:val="1"/>
          <w:bCs w:val="1"/>
          <w:color w:val="auto"/>
        </w:rPr>
      </w:pPr>
    </w:p>
    <w:p>
      <w:pPr>
        <w:ind w:left="720" w:hanging="550"/>
        <w:spacing w:after="0"/>
        <w:tabs>
          <w:tab w:leader="none" w:pos="720" w:val="left"/>
        </w:tabs>
        <w:numPr>
          <w:ilvl w:val="0"/>
          <w:numId w:val="60"/>
        </w:numPr>
        <w:rPr>
          <w:rFonts w:ascii="Calibri" w:cs="Calibri" w:eastAsia="Calibri" w:hAnsi="Calibri"/>
          <w:sz w:val="17"/>
          <w:szCs w:val="17"/>
          <w:b w:val="1"/>
          <w:bCs w:val="1"/>
          <w:color w:val="auto"/>
        </w:rPr>
      </w:pPr>
      <w:r>
        <w:rPr>
          <w:rFonts w:ascii="Calibri" w:cs="Calibri" w:eastAsia="Calibri" w:hAnsi="Calibri"/>
          <w:sz w:val="17"/>
          <w:szCs w:val="17"/>
          <w:color w:val="auto"/>
        </w:rPr>
        <w:t>2022 CEO Compensaton</w:t>
      </w:r>
    </w:p>
    <w:p>
      <w:pPr>
        <w:spacing w:after="0" w:line="62" w:lineRule="exact"/>
        <w:rPr>
          <w:sz w:val="20"/>
          <w:szCs w:val="20"/>
          <w:color w:val="auto"/>
        </w:rPr>
      </w:pPr>
    </w:p>
    <w:p>
      <w:pPr>
        <w:ind w:left="720" w:hanging="550"/>
        <w:spacing w:after="0"/>
        <w:tabs>
          <w:tab w:leader="none" w:pos="720" w:val="left"/>
        </w:tabs>
        <w:numPr>
          <w:ilvl w:val="0"/>
          <w:numId w:val="61"/>
        </w:numPr>
        <w:rPr>
          <w:rFonts w:ascii="Calibri" w:cs="Calibri" w:eastAsia="Calibri" w:hAnsi="Calibri"/>
          <w:sz w:val="17"/>
          <w:szCs w:val="17"/>
          <w:b w:val="1"/>
          <w:bCs w:val="1"/>
          <w:color w:val="auto"/>
        </w:rPr>
      </w:pPr>
      <w:r>
        <w:rPr>
          <w:rFonts w:ascii="Calibri" w:cs="Calibri" w:eastAsia="Calibri" w:hAnsi="Calibri"/>
          <w:sz w:val="17"/>
          <w:szCs w:val="17"/>
          <w:color w:val="auto"/>
        </w:rPr>
        <w:t>2022 Comparator Group Companies</w:t>
      </w:r>
    </w:p>
    <w:p>
      <w:pPr>
        <w:spacing w:after="0" w:line="62" w:lineRule="exact"/>
        <w:rPr>
          <w:sz w:val="20"/>
          <w:szCs w:val="20"/>
          <w:color w:val="auto"/>
        </w:rPr>
      </w:pPr>
    </w:p>
    <w:p>
      <w:pPr>
        <w:ind w:left="720" w:hanging="550"/>
        <w:spacing w:after="0"/>
        <w:tabs>
          <w:tab w:leader="none" w:pos="720" w:val="left"/>
        </w:tabs>
        <w:numPr>
          <w:ilvl w:val="0"/>
          <w:numId w:val="62"/>
        </w:numPr>
        <w:rPr>
          <w:rFonts w:ascii="Calibri" w:cs="Calibri" w:eastAsia="Calibri" w:hAnsi="Calibri"/>
          <w:sz w:val="17"/>
          <w:szCs w:val="17"/>
          <w:b w:val="1"/>
          <w:bCs w:val="1"/>
          <w:color w:val="auto"/>
        </w:rPr>
      </w:pPr>
      <w:r>
        <w:rPr>
          <w:rFonts w:ascii="Calibri" w:cs="Calibri" w:eastAsia="Calibri" w:hAnsi="Calibri"/>
          <w:sz w:val="17"/>
          <w:szCs w:val="17"/>
          <w:color w:val="auto"/>
        </w:rPr>
        <w:t>2022 Compensaton Elements</w:t>
      </w:r>
    </w:p>
    <w:p>
      <w:pPr>
        <w:spacing w:after="0" w:line="62" w:lineRule="exact"/>
        <w:rPr>
          <w:sz w:val="20"/>
          <w:szCs w:val="20"/>
          <w:color w:val="auto"/>
        </w:rPr>
      </w:pPr>
    </w:p>
    <w:p>
      <w:pPr>
        <w:ind w:left="60"/>
        <w:spacing w:after="0"/>
        <w:tabs>
          <w:tab w:leader="none" w:pos="700" w:val="left"/>
        </w:tabs>
        <w:rPr>
          <w:sz w:val="20"/>
          <w:szCs w:val="20"/>
          <w:color w:val="auto"/>
        </w:rPr>
      </w:pPr>
      <w:r>
        <w:rPr>
          <w:rFonts w:ascii="Calibri" w:cs="Calibri" w:eastAsia="Calibri" w:hAnsi="Calibri"/>
          <w:sz w:val="17"/>
          <w:szCs w:val="17"/>
          <w:b w:val="1"/>
          <w:bCs w:val="1"/>
          <w:color w:val="auto"/>
        </w:rPr>
        <w:t>47-50</w:t>
      </w:r>
      <w:r>
        <w:rPr>
          <w:sz w:val="20"/>
          <w:szCs w:val="20"/>
          <w:color w:val="auto"/>
        </w:rPr>
        <w:tab/>
      </w:r>
      <w:r>
        <w:rPr>
          <w:rFonts w:ascii="Calibri" w:cs="Calibri" w:eastAsia="Calibri" w:hAnsi="Calibri"/>
          <w:sz w:val="17"/>
          <w:szCs w:val="17"/>
          <w:color w:val="auto"/>
        </w:rPr>
        <w:t>2022 Annual Incentve</w:t>
      </w:r>
    </w:p>
    <w:p>
      <w:pPr>
        <w:spacing w:after="0" w:line="62" w:lineRule="exact"/>
        <w:rPr>
          <w:sz w:val="20"/>
          <w:szCs w:val="20"/>
          <w:color w:val="auto"/>
        </w:rPr>
      </w:pPr>
    </w:p>
    <w:p>
      <w:pPr>
        <w:ind w:left="60"/>
        <w:spacing w:after="0"/>
        <w:tabs>
          <w:tab w:leader="none" w:pos="700" w:val="left"/>
        </w:tabs>
        <w:rPr>
          <w:sz w:val="20"/>
          <w:szCs w:val="20"/>
          <w:color w:val="auto"/>
        </w:rPr>
      </w:pPr>
      <w:r>
        <w:rPr>
          <w:rFonts w:ascii="Calibri" w:cs="Calibri" w:eastAsia="Calibri" w:hAnsi="Calibri"/>
          <w:sz w:val="17"/>
          <w:szCs w:val="17"/>
          <w:b w:val="1"/>
          <w:bCs w:val="1"/>
          <w:color w:val="auto"/>
        </w:rPr>
        <w:t>50-53</w:t>
      </w:r>
      <w:r>
        <w:rPr>
          <w:sz w:val="20"/>
          <w:szCs w:val="20"/>
          <w:color w:val="auto"/>
        </w:rPr>
        <w:tab/>
      </w:r>
      <w:r>
        <w:rPr>
          <w:rFonts w:ascii="Calibri" w:cs="Calibri" w:eastAsia="Calibri" w:hAnsi="Calibri"/>
          <w:sz w:val="17"/>
          <w:szCs w:val="17"/>
          <w:color w:val="auto"/>
        </w:rPr>
        <w:t>2022 Long-Term Incentve Compensaton</w:t>
      </w:r>
    </w:p>
    <w:p>
      <w:pPr>
        <w:spacing w:after="0" w:line="62" w:lineRule="exact"/>
        <w:rPr>
          <w:sz w:val="20"/>
          <w:szCs w:val="20"/>
          <w:color w:val="auto"/>
        </w:rPr>
      </w:pPr>
    </w:p>
    <w:p>
      <w:pPr>
        <w:ind w:left="60"/>
        <w:spacing w:after="0"/>
        <w:tabs>
          <w:tab w:leader="none" w:pos="700" w:val="left"/>
        </w:tabs>
        <w:rPr>
          <w:sz w:val="20"/>
          <w:szCs w:val="20"/>
          <w:color w:val="auto"/>
        </w:rPr>
      </w:pPr>
      <w:r>
        <w:rPr>
          <w:rFonts w:ascii="Calibri" w:cs="Calibri" w:eastAsia="Calibri" w:hAnsi="Calibri"/>
          <w:sz w:val="17"/>
          <w:szCs w:val="17"/>
          <w:b w:val="1"/>
          <w:bCs w:val="1"/>
          <w:color w:val="auto"/>
        </w:rPr>
        <w:t>53-54</w:t>
      </w:r>
      <w:r>
        <w:rPr>
          <w:sz w:val="20"/>
          <w:szCs w:val="20"/>
          <w:color w:val="auto"/>
        </w:rPr>
        <w:tab/>
      </w:r>
      <w:r>
        <w:rPr>
          <w:rFonts w:ascii="Calibri" w:cs="Calibri" w:eastAsia="Calibri" w:hAnsi="Calibri"/>
          <w:sz w:val="17"/>
          <w:szCs w:val="17"/>
          <w:color w:val="auto"/>
        </w:rPr>
        <w:t>2020-2022 LTIP and PSU Awards</w:t>
      </w:r>
    </w:p>
    <w:p>
      <w:pPr>
        <w:spacing w:after="0" w:line="62" w:lineRule="exact"/>
        <w:rPr>
          <w:sz w:val="20"/>
          <w:szCs w:val="20"/>
          <w:color w:val="auto"/>
        </w:rPr>
      </w:pPr>
    </w:p>
    <w:p>
      <w:pPr>
        <w:ind w:left="720" w:hanging="550"/>
        <w:spacing w:after="0"/>
        <w:tabs>
          <w:tab w:leader="none" w:pos="720" w:val="left"/>
        </w:tabs>
        <w:numPr>
          <w:ilvl w:val="0"/>
          <w:numId w:val="63"/>
        </w:numPr>
        <w:rPr>
          <w:rFonts w:ascii="Calibri" w:cs="Calibri" w:eastAsia="Calibri" w:hAnsi="Calibri"/>
          <w:sz w:val="17"/>
          <w:szCs w:val="17"/>
          <w:b w:val="1"/>
          <w:bCs w:val="1"/>
          <w:color w:val="auto"/>
        </w:rPr>
      </w:pPr>
      <w:r>
        <w:rPr>
          <w:rFonts w:ascii="Calibri" w:cs="Calibri" w:eastAsia="Calibri" w:hAnsi="Calibri"/>
          <w:sz w:val="17"/>
          <w:szCs w:val="17"/>
          <w:color w:val="auto"/>
        </w:rPr>
        <w:t>2023 Compensaton</w:t>
      </w:r>
    </w:p>
    <w:p>
      <w:pPr>
        <w:spacing w:after="0" w:line="62" w:lineRule="exact"/>
        <w:rPr>
          <w:sz w:val="20"/>
          <w:szCs w:val="20"/>
          <w:color w:val="auto"/>
        </w:rPr>
      </w:pPr>
    </w:p>
    <w:p>
      <w:pPr>
        <w:ind w:left="60"/>
        <w:spacing w:after="0"/>
        <w:tabs>
          <w:tab w:leader="none" w:pos="700" w:val="left"/>
        </w:tabs>
        <w:rPr>
          <w:sz w:val="20"/>
          <w:szCs w:val="20"/>
          <w:color w:val="auto"/>
        </w:rPr>
      </w:pPr>
      <w:r>
        <w:rPr>
          <w:rFonts w:ascii="Calibri" w:cs="Calibri" w:eastAsia="Calibri" w:hAnsi="Calibri"/>
          <w:sz w:val="17"/>
          <w:szCs w:val="17"/>
          <w:b w:val="1"/>
          <w:bCs w:val="1"/>
          <w:color w:val="auto"/>
        </w:rPr>
        <w:t>54-57</w:t>
      </w:r>
      <w:r>
        <w:rPr>
          <w:sz w:val="20"/>
          <w:szCs w:val="20"/>
          <w:color w:val="auto"/>
        </w:rPr>
        <w:tab/>
      </w:r>
      <w:r>
        <w:rPr>
          <w:rFonts w:ascii="Calibri" w:cs="Calibri" w:eastAsia="Calibri" w:hAnsi="Calibri"/>
          <w:sz w:val="17"/>
          <w:szCs w:val="17"/>
          <w:color w:val="auto"/>
        </w:rPr>
        <w:t>Other Compensaton Maters</w:t>
      </w:r>
    </w:p>
    <w:p>
      <w:pPr>
        <w:spacing w:after="0" w:line="200" w:lineRule="exact"/>
        <w:rPr>
          <w:sz w:val="20"/>
          <w:szCs w:val="20"/>
          <w:color w:val="auto"/>
        </w:rPr>
      </w:pPr>
    </w:p>
    <w:p>
      <w:pPr>
        <w:sectPr>
          <w:pgSz w:w="11900" w:h="16838" w:orient="portrait"/>
          <w:cols w:equalWidth="0" w:num="2">
            <w:col w:w="1980" w:space="320"/>
            <w:col w:w="8940"/>
          </w:cols>
          <w:pgMar w:left="320" w:top="2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ectPr>
          <w:pgSz w:w="11900" w:h="16838" w:orient="portrait"/>
          <w:cols w:equalWidth="0" w:num="1">
            <w:col w:w="11240"/>
          </w:cols>
          <w:pgMar w:left="320" w:top="231" w:right="339" w:bottom="825"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818EB4"/>
        </w:rPr>
        <w:t>Executive Summary</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color w:val="818EB4"/>
        </w:rPr>
        <w:t>Our 2022 Performance</w:t>
      </w:r>
    </w:p>
    <w:p>
      <w:pPr>
        <w:spacing w:after="0" w:line="111"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In 2022, Lockheed Martn built upon our 21st Century Security vision and contnued to deliver critcal capabilites to our customers. Despite the residual impacts of the COVID-19 pandemic on our operatons and our supply chain, we delivered solid fnancial results, including sales of approximately $66.0 billion, segment operatng proft* of $7.2 billion, free cash fow* of $6.1 billion and ended the year with a backlog of $150 billion. We also contnued our eforts to return cash to stockholders through dividends and share repurchases. During 2022, we returned $10.9 billion of cash to our stockholders, comprising $7.9 billion in share repurchases and $3.0 billion in cash dividends. We have increased our quarterly cash dividend for over 20 consecutve years, refectng the long-term strength of our cash fow generaton and our commitment to stockholders. These fnancial results, combined with our capital deployment, allowed us to deliver signifcant value creaton to our stockholders, refected in our one- and three-year total shareholder returns of 40% and 36%, respectvely.</w:t>
      </w:r>
    </w:p>
    <w:p>
      <w:pPr>
        <w:spacing w:after="0" w:line="271" w:lineRule="exact"/>
        <w:rPr>
          <w:sz w:val="20"/>
          <w:szCs w:val="20"/>
          <w:color w:val="auto"/>
        </w:rPr>
      </w:pPr>
    </w:p>
    <w:p>
      <w:pPr>
        <w:ind w:left="20"/>
        <w:spacing w:after="0" w:line="237" w:lineRule="auto"/>
        <w:rPr>
          <w:sz w:val="20"/>
          <w:szCs w:val="20"/>
          <w:color w:val="auto"/>
        </w:rPr>
      </w:pPr>
      <w:r>
        <w:rPr>
          <w:rFonts w:ascii="Calibri" w:cs="Calibri" w:eastAsia="Calibri" w:hAnsi="Calibri"/>
          <w:sz w:val="17"/>
          <w:szCs w:val="17"/>
          <w:color w:val="auto"/>
        </w:rPr>
        <w:t>From a strategic and operatonal perspectve, the dedicaton and innovaton of our Lockheed Martn team enabled the delivery of world-class products and services across all business segments. Our largest program, the F-35 Lightning II, contnued to mature and expand around the globe. The U.S. Department of Defense fnalized a $30 billion contract for the producton and delivery of up to 398 F-35s. Internatonal interest also grew as Switzerland, Finland and Germany joined the program and several other natons expressed interest in joining as well. We also had strategic and operatonal accomplishments across our other business segments in 2022. The confict in Ukraine put our Company in the global spotlight with several high-level customer visits and the United States commitng support to Ukraine. In December, the U.S. Navy declared full-rate producton of the CH-53K® helicopter, a decision which is expected to increase producton to more than 20 helicopters annually in the coming years. Finally, in November, the Lockheed Martn-built Orion exploraton-class spacecraf launched on NASA’s Artemis 1 and completed a 25.5-day mission. This fight was the frst in a series of increasingly complex missions that will enable human exploraton to the Moon and beyond. While 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003478"/>
              </w:rPr>
              <w:t>2022 Financial Performance</w:t>
            </w: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60" w:type="dxa"/>
            <w:vAlign w:val="bottom"/>
            <w:shd w:val="clear" w:color="auto" w:fill="003478"/>
          </w:tcPr>
          <w:p>
            <w:pPr>
              <w:spacing w:after="0"/>
              <w:rPr>
                <w:sz w:val="10"/>
                <w:szCs w:val="10"/>
                <w:color w:val="auto"/>
              </w:rPr>
            </w:pPr>
          </w:p>
        </w:tc>
        <w:tc>
          <w:tcPr>
            <w:tcW w:w="180" w:type="dxa"/>
            <w:vAlign w:val="bottom"/>
          </w:tcPr>
          <w:p>
            <w:pPr>
              <w:spacing w:after="0"/>
              <w:rPr>
                <w:sz w:val="10"/>
                <w:szCs w:val="10"/>
                <w:color w:val="auto"/>
              </w:rPr>
            </w:pPr>
          </w:p>
        </w:tc>
        <w:tc>
          <w:tcPr>
            <w:tcW w:w="2040" w:type="dxa"/>
            <w:vAlign w:val="bottom"/>
            <w:shd w:val="clear" w:color="auto" w:fill="003478"/>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060" w:type="dxa"/>
            <w:vAlign w:val="bottom"/>
            <w:shd w:val="clear" w:color="auto" w:fill="E5EAF0"/>
          </w:tcPr>
          <w:p>
            <w:pPr>
              <w:ind w:left="20"/>
              <w:spacing w:after="0"/>
              <w:rPr>
                <w:sz w:val="20"/>
                <w:szCs w:val="20"/>
                <w:color w:val="auto"/>
              </w:rPr>
            </w:pPr>
            <w:r>
              <w:rPr>
                <w:rFonts w:ascii="Calibri" w:cs="Calibri" w:eastAsia="Calibri" w:hAnsi="Calibri"/>
                <w:sz w:val="17"/>
                <w:szCs w:val="17"/>
                <w:color w:val="auto"/>
              </w:rPr>
              <w:t>Sales of</w:t>
            </w:r>
          </w:p>
        </w:tc>
        <w:tc>
          <w:tcPr>
            <w:tcW w:w="180" w:type="dxa"/>
            <w:vAlign w:val="bottom"/>
          </w:tcPr>
          <w:p>
            <w:pPr>
              <w:spacing w:after="0"/>
              <w:rPr>
                <w:sz w:val="18"/>
                <w:szCs w:val="18"/>
                <w:color w:val="auto"/>
              </w:rPr>
            </w:pPr>
          </w:p>
        </w:tc>
        <w:tc>
          <w:tcPr>
            <w:tcW w:w="2040" w:type="dxa"/>
            <w:vAlign w:val="bottom"/>
            <w:shd w:val="clear" w:color="auto" w:fill="E5EAF0"/>
          </w:tcPr>
          <w:p>
            <w:pPr>
              <w:ind w:left="20"/>
              <w:spacing w:after="0"/>
              <w:rPr>
                <w:sz w:val="20"/>
                <w:szCs w:val="20"/>
                <w:color w:val="auto"/>
              </w:rPr>
            </w:pPr>
            <w:r>
              <w:rPr>
                <w:rFonts w:ascii="Calibri" w:cs="Calibri" w:eastAsia="Calibri" w:hAnsi="Calibri"/>
                <w:sz w:val="17"/>
                <w:szCs w:val="17"/>
                <w:color w:val="auto"/>
              </w:rPr>
              <w:t>Segment</w:t>
            </w:r>
          </w:p>
        </w:tc>
        <w:tc>
          <w:tcPr>
            <w:tcW w:w="0" w:type="dxa"/>
            <w:vAlign w:val="bottom"/>
          </w:tcPr>
          <w:p>
            <w:pPr>
              <w:spacing w:after="0"/>
              <w:rPr>
                <w:sz w:val="1"/>
                <w:szCs w:val="1"/>
                <w:color w:val="auto"/>
              </w:rPr>
            </w:pPr>
          </w:p>
        </w:tc>
      </w:tr>
      <w:tr>
        <w:trPr>
          <w:trHeight w:val="216"/>
        </w:trPr>
        <w:tc>
          <w:tcPr>
            <w:tcW w:w="2060" w:type="dxa"/>
            <w:vAlign w:val="bottom"/>
            <w:vMerge w:val="restart"/>
            <w:shd w:val="clear" w:color="auto" w:fill="E5EAF0"/>
          </w:tcPr>
          <w:p>
            <w:pPr>
              <w:ind w:left="20"/>
              <w:spacing w:after="0"/>
              <w:rPr>
                <w:sz w:val="20"/>
                <w:szCs w:val="20"/>
                <w:color w:val="auto"/>
              </w:rPr>
            </w:pPr>
            <w:r>
              <w:rPr>
                <w:rFonts w:ascii="Arial" w:cs="Arial" w:eastAsia="Arial" w:hAnsi="Arial"/>
                <w:sz w:val="29"/>
                <w:szCs w:val="29"/>
                <w:color w:val="003478"/>
              </w:rPr>
              <w:t>$66B</w:t>
            </w:r>
          </w:p>
        </w:tc>
        <w:tc>
          <w:tcPr>
            <w:tcW w:w="180" w:type="dxa"/>
            <w:vAlign w:val="bottom"/>
          </w:tcPr>
          <w:p>
            <w:pPr>
              <w:spacing w:after="0"/>
              <w:rPr>
                <w:sz w:val="18"/>
                <w:szCs w:val="18"/>
                <w:color w:val="auto"/>
              </w:rPr>
            </w:pPr>
          </w:p>
        </w:tc>
        <w:tc>
          <w:tcPr>
            <w:tcW w:w="2040" w:type="dxa"/>
            <w:vAlign w:val="bottom"/>
            <w:shd w:val="clear" w:color="auto" w:fill="E5EAF0"/>
          </w:tcPr>
          <w:p>
            <w:pPr>
              <w:ind w:left="20"/>
              <w:spacing w:after="0"/>
              <w:rPr>
                <w:sz w:val="20"/>
                <w:szCs w:val="20"/>
                <w:color w:val="auto"/>
              </w:rPr>
            </w:pPr>
            <w:r>
              <w:rPr>
                <w:rFonts w:ascii="Calibri" w:cs="Calibri" w:eastAsia="Calibri" w:hAnsi="Calibri"/>
                <w:sz w:val="17"/>
                <w:szCs w:val="17"/>
                <w:color w:val="auto"/>
              </w:rPr>
              <w:t>Operatng</w:t>
            </w:r>
          </w:p>
        </w:tc>
        <w:tc>
          <w:tcPr>
            <w:tcW w:w="0" w:type="dxa"/>
            <w:vAlign w:val="bottom"/>
          </w:tcPr>
          <w:p>
            <w:pPr>
              <w:spacing w:after="0"/>
              <w:rPr>
                <w:sz w:val="1"/>
                <w:szCs w:val="1"/>
                <w:color w:val="auto"/>
              </w:rPr>
            </w:pPr>
          </w:p>
        </w:tc>
      </w:tr>
      <w:tr>
        <w:trPr>
          <w:trHeight w:val="229"/>
        </w:trPr>
        <w:tc>
          <w:tcPr>
            <w:tcW w:w="2060" w:type="dxa"/>
            <w:vAlign w:val="bottom"/>
            <w:vMerge w:val="continue"/>
            <w:shd w:val="clear" w:color="auto" w:fill="E5EAF0"/>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shd w:val="clear" w:color="auto" w:fill="E5EAF0"/>
          </w:tcPr>
          <w:p>
            <w:pPr>
              <w:ind w:left="20"/>
              <w:spacing w:after="0"/>
              <w:rPr>
                <w:sz w:val="20"/>
                <w:szCs w:val="20"/>
                <w:color w:val="auto"/>
              </w:rPr>
            </w:pPr>
            <w:r>
              <w:rPr>
                <w:rFonts w:ascii="Calibri" w:cs="Calibri" w:eastAsia="Calibri" w:hAnsi="Calibri"/>
                <w:sz w:val="17"/>
                <w:szCs w:val="17"/>
                <w:color w:val="auto"/>
              </w:rPr>
              <w:t>Proft* of</w:t>
            </w:r>
          </w:p>
        </w:tc>
        <w:tc>
          <w:tcPr>
            <w:tcW w:w="0" w:type="dxa"/>
            <w:vAlign w:val="bottom"/>
          </w:tcPr>
          <w:p>
            <w:pPr>
              <w:spacing w:after="0"/>
              <w:rPr>
                <w:sz w:val="1"/>
                <w:szCs w:val="1"/>
                <w:color w:val="auto"/>
              </w:rPr>
            </w:pPr>
          </w:p>
        </w:tc>
      </w:tr>
      <w:tr>
        <w:trPr>
          <w:trHeight w:val="388"/>
        </w:trPr>
        <w:tc>
          <w:tcPr>
            <w:tcW w:w="2060" w:type="dxa"/>
            <w:vAlign w:val="bottom"/>
            <w:shd w:val="clear" w:color="auto" w:fill="E5EAF0"/>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shd w:val="clear" w:color="auto" w:fill="E5EAF0"/>
          </w:tcPr>
          <w:p>
            <w:pPr>
              <w:ind w:left="20"/>
              <w:spacing w:after="0"/>
              <w:rPr>
                <w:sz w:val="20"/>
                <w:szCs w:val="20"/>
                <w:color w:val="auto"/>
              </w:rPr>
            </w:pPr>
            <w:r>
              <w:rPr>
                <w:rFonts w:ascii="Arial" w:cs="Arial" w:eastAsia="Arial" w:hAnsi="Arial"/>
                <w:sz w:val="29"/>
                <w:szCs w:val="29"/>
                <w:color w:val="003478"/>
              </w:rPr>
              <w:t>$7.2B</w:t>
            </w:r>
          </w:p>
        </w:tc>
        <w:tc>
          <w:tcPr>
            <w:tcW w:w="0" w:type="dxa"/>
            <w:vAlign w:val="bottom"/>
          </w:tcPr>
          <w:p>
            <w:pPr>
              <w:spacing w:after="0"/>
              <w:rPr>
                <w:sz w:val="1"/>
                <w:szCs w:val="1"/>
                <w:color w:val="auto"/>
              </w:rPr>
            </w:pPr>
          </w:p>
        </w:tc>
      </w:tr>
      <w:tr>
        <w:trPr>
          <w:trHeight w:val="192"/>
        </w:trPr>
        <w:tc>
          <w:tcPr>
            <w:tcW w:w="2060" w:type="dxa"/>
            <w:vAlign w:val="bottom"/>
            <w:shd w:val="clear" w:color="auto" w:fill="E5EAF0"/>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shd w:val="clear" w:color="auto" w:fill="E5EAF0"/>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60" w:type="dxa"/>
            <w:vAlign w:val="bottom"/>
            <w:shd w:val="clear" w:color="auto" w:fill="003478"/>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shd w:val="clear" w:color="auto" w:fill="003478"/>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60" w:type="dxa"/>
            <w:vAlign w:val="bottom"/>
            <w:shd w:val="clear" w:color="auto" w:fill="E5EAF0"/>
          </w:tcPr>
          <w:p>
            <w:pPr>
              <w:ind w:left="20"/>
              <w:spacing w:after="0"/>
              <w:rPr>
                <w:sz w:val="20"/>
                <w:szCs w:val="20"/>
                <w:color w:val="auto"/>
              </w:rPr>
            </w:pPr>
            <w:r>
              <w:rPr>
                <w:rFonts w:ascii="Calibri" w:cs="Calibri" w:eastAsia="Calibri" w:hAnsi="Calibri"/>
                <w:sz w:val="17"/>
                <w:szCs w:val="17"/>
                <w:color w:val="auto"/>
              </w:rPr>
              <w:t>Free Cash Flow*</w:t>
            </w:r>
          </w:p>
        </w:tc>
        <w:tc>
          <w:tcPr>
            <w:tcW w:w="180" w:type="dxa"/>
            <w:vAlign w:val="bottom"/>
          </w:tcPr>
          <w:p>
            <w:pPr>
              <w:spacing w:after="0"/>
              <w:rPr>
                <w:sz w:val="18"/>
                <w:szCs w:val="18"/>
                <w:color w:val="auto"/>
              </w:rPr>
            </w:pPr>
          </w:p>
        </w:tc>
        <w:tc>
          <w:tcPr>
            <w:tcW w:w="2040" w:type="dxa"/>
            <w:vAlign w:val="bottom"/>
            <w:shd w:val="clear" w:color="auto" w:fill="E5EAF0"/>
          </w:tcPr>
          <w:p>
            <w:pPr>
              <w:ind w:left="20"/>
              <w:spacing w:after="0"/>
              <w:rPr>
                <w:sz w:val="20"/>
                <w:szCs w:val="20"/>
                <w:color w:val="auto"/>
              </w:rPr>
            </w:pPr>
            <w:r>
              <w:rPr>
                <w:rFonts w:ascii="Calibri" w:cs="Calibri" w:eastAsia="Calibri" w:hAnsi="Calibri"/>
                <w:sz w:val="17"/>
                <w:szCs w:val="17"/>
                <w:color w:val="auto"/>
              </w:rPr>
              <w:t>Earnings</w:t>
            </w:r>
          </w:p>
        </w:tc>
        <w:tc>
          <w:tcPr>
            <w:tcW w:w="0" w:type="dxa"/>
            <w:vAlign w:val="bottom"/>
          </w:tcPr>
          <w:p>
            <w:pPr>
              <w:spacing w:after="0"/>
              <w:rPr>
                <w:sz w:val="1"/>
                <w:szCs w:val="1"/>
                <w:color w:val="auto"/>
              </w:rPr>
            </w:pPr>
          </w:p>
        </w:tc>
      </w:tr>
      <w:tr>
        <w:trPr>
          <w:trHeight w:val="216"/>
        </w:trPr>
        <w:tc>
          <w:tcPr>
            <w:tcW w:w="2060" w:type="dxa"/>
            <w:vAlign w:val="bottom"/>
            <w:shd w:val="clear" w:color="auto" w:fill="E5EAF0"/>
          </w:tcPr>
          <w:p>
            <w:pPr>
              <w:ind w:left="20"/>
              <w:spacing w:after="0"/>
              <w:rPr>
                <w:sz w:val="20"/>
                <w:szCs w:val="20"/>
                <w:color w:val="auto"/>
              </w:rPr>
            </w:pPr>
            <w:r>
              <w:rPr>
                <w:rFonts w:ascii="Calibri" w:cs="Calibri" w:eastAsia="Calibri" w:hAnsi="Calibri"/>
                <w:sz w:val="17"/>
                <w:szCs w:val="17"/>
                <w:color w:val="auto"/>
              </w:rPr>
              <w:t>of</w:t>
            </w:r>
          </w:p>
        </w:tc>
        <w:tc>
          <w:tcPr>
            <w:tcW w:w="180" w:type="dxa"/>
            <w:vAlign w:val="bottom"/>
          </w:tcPr>
          <w:p>
            <w:pPr>
              <w:spacing w:after="0"/>
              <w:rPr>
                <w:sz w:val="18"/>
                <w:szCs w:val="18"/>
                <w:color w:val="auto"/>
              </w:rPr>
            </w:pPr>
          </w:p>
        </w:tc>
        <w:tc>
          <w:tcPr>
            <w:tcW w:w="2040" w:type="dxa"/>
            <w:vAlign w:val="bottom"/>
            <w:shd w:val="clear" w:color="auto" w:fill="E5EAF0"/>
          </w:tcPr>
          <w:p>
            <w:pPr>
              <w:ind w:left="20"/>
              <w:spacing w:after="0"/>
              <w:rPr>
                <w:sz w:val="20"/>
                <w:szCs w:val="20"/>
                <w:color w:val="auto"/>
              </w:rPr>
            </w:pPr>
            <w:r>
              <w:rPr>
                <w:rFonts w:ascii="Calibri" w:cs="Calibri" w:eastAsia="Calibri" w:hAnsi="Calibri"/>
                <w:sz w:val="17"/>
                <w:szCs w:val="17"/>
                <w:color w:val="auto"/>
              </w:rPr>
              <w:t>per Share of</w:t>
            </w:r>
          </w:p>
        </w:tc>
        <w:tc>
          <w:tcPr>
            <w:tcW w:w="0" w:type="dxa"/>
            <w:vAlign w:val="bottom"/>
          </w:tcPr>
          <w:p>
            <w:pPr>
              <w:spacing w:after="0"/>
              <w:rPr>
                <w:sz w:val="1"/>
                <w:szCs w:val="1"/>
                <w:color w:val="auto"/>
              </w:rPr>
            </w:pPr>
          </w:p>
        </w:tc>
      </w:tr>
      <w:tr>
        <w:trPr>
          <w:trHeight w:val="401"/>
        </w:trPr>
        <w:tc>
          <w:tcPr>
            <w:tcW w:w="2060" w:type="dxa"/>
            <w:vAlign w:val="bottom"/>
            <w:shd w:val="clear" w:color="auto" w:fill="E5EAF0"/>
          </w:tcPr>
          <w:p>
            <w:pPr>
              <w:ind w:left="20"/>
              <w:spacing w:after="0"/>
              <w:rPr>
                <w:sz w:val="20"/>
                <w:szCs w:val="20"/>
                <w:color w:val="auto"/>
              </w:rPr>
            </w:pPr>
            <w:r>
              <w:rPr>
                <w:rFonts w:ascii="Arial" w:cs="Arial" w:eastAsia="Arial" w:hAnsi="Arial"/>
                <w:sz w:val="29"/>
                <w:szCs w:val="29"/>
                <w:color w:val="003478"/>
              </w:rPr>
              <w:t>$6.1B</w:t>
            </w:r>
          </w:p>
        </w:tc>
        <w:tc>
          <w:tcPr>
            <w:tcW w:w="180" w:type="dxa"/>
            <w:vAlign w:val="bottom"/>
          </w:tcPr>
          <w:p>
            <w:pPr>
              <w:spacing w:after="0"/>
              <w:rPr>
                <w:sz w:val="24"/>
                <w:szCs w:val="24"/>
                <w:color w:val="auto"/>
              </w:rPr>
            </w:pPr>
          </w:p>
        </w:tc>
        <w:tc>
          <w:tcPr>
            <w:tcW w:w="2040" w:type="dxa"/>
            <w:vAlign w:val="bottom"/>
            <w:shd w:val="clear" w:color="auto" w:fill="E5EAF0"/>
          </w:tcPr>
          <w:p>
            <w:pPr>
              <w:ind w:left="20"/>
              <w:spacing w:after="0"/>
              <w:rPr>
                <w:sz w:val="20"/>
                <w:szCs w:val="20"/>
                <w:color w:val="auto"/>
              </w:rPr>
            </w:pPr>
            <w:r>
              <w:rPr>
                <w:rFonts w:ascii="Arial" w:cs="Arial" w:eastAsia="Arial" w:hAnsi="Arial"/>
                <w:sz w:val="29"/>
                <w:szCs w:val="29"/>
                <w:color w:val="003478"/>
              </w:rPr>
              <w:t>$21.66</w:t>
            </w:r>
          </w:p>
        </w:tc>
        <w:tc>
          <w:tcPr>
            <w:tcW w:w="0" w:type="dxa"/>
            <w:vAlign w:val="bottom"/>
          </w:tcPr>
          <w:p>
            <w:pPr>
              <w:spacing w:after="0"/>
              <w:rPr>
                <w:sz w:val="1"/>
                <w:szCs w:val="1"/>
                <w:color w:val="auto"/>
              </w:rPr>
            </w:pPr>
          </w:p>
        </w:tc>
      </w:tr>
      <w:tr>
        <w:trPr>
          <w:trHeight w:val="246"/>
        </w:trPr>
        <w:tc>
          <w:tcPr>
            <w:tcW w:w="2060" w:type="dxa"/>
            <w:vAlign w:val="bottom"/>
            <w:shd w:val="clear" w:color="auto" w:fill="E5EAF0"/>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shd w:val="clear" w:color="auto" w:fill="E5EAF0"/>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488950</wp:posOffset>
            </wp:positionV>
            <wp:extent cx="27171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7171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-1988185</wp:posOffset>
            </wp:positionV>
            <wp:extent cx="27171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717165" cy="8255"/>
                    </a:xfrm>
                    <a:prstGeom prst="rect">
                      <a:avLst/>
                    </a:prstGeom>
                    <a:noFill/>
                  </pic:spPr>
                </pic:pic>
              </a:graphicData>
            </a:graphic>
          </wp:anchor>
        </w:drawing>
        <w:drawing>
          <wp:anchor simplePos="0" relativeHeight="251657728" behindDoc="1" locked="0" layoutInCell="0" allowOverlap="1">
            <wp:simplePos x="0" y="0"/>
            <wp:positionH relativeFrom="column">
              <wp:posOffset>834390</wp:posOffset>
            </wp:positionH>
            <wp:positionV relativeFrom="paragraph">
              <wp:posOffset>-1551305</wp:posOffset>
            </wp:positionV>
            <wp:extent cx="428625" cy="4286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-1551305</wp:posOffset>
            </wp:positionV>
            <wp:extent cx="428625" cy="4286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-591185</wp:posOffset>
            </wp:positionV>
            <wp:extent cx="428625" cy="4286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-591185</wp:posOffset>
            </wp:positionV>
            <wp:extent cx="428625" cy="4286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6"/>
          <w:szCs w:val="16"/>
          <w:color w:val="003478"/>
        </w:rPr>
        <w:t>3-Year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2249805</wp:posOffset>
            </wp:positionV>
            <wp:extent cx="271716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7171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234950</wp:posOffset>
            </wp:positionV>
            <wp:extent cx="2468880" cy="17913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68880" cy="1791335"/>
                    </a:xfrm>
                    <a:prstGeom prst="rect">
                      <a:avLst/>
                    </a:prstGeom>
                    <a:noFill/>
                  </pic:spPr>
                </pic:pic>
              </a:graphicData>
            </a:graphic>
          </wp:anchor>
        </w:drawing>
      </w:r>
    </w:p>
    <w:p>
      <w:pPr>
        <w:spacing w:after="0" w:line="3731" w:lineRule="exact"/>
        <w:rPr>
          <w:sz w:val="20"/>
          <w:szCs w:val="20"/>
          <w:color w:val="auto"/>
        </w:rPr>
      </w:pPr>
    </w:p>
    <w:p>
      <w:pPr>
        <w:sectPr>
          <w:pgSz w:w="11900" w:h="16838" w:orient="portrait"/>
          <w:cols w:equalWidth="0" w:num="2">
            <w:col w:w="4880" w:space="240"/>
            <w:col w:w="6120"/>
          </w:cols>
          <w:pgMar w:left="320" w:top="231" w:right="339" w:bottom="825" w:gutter="0" w:footer="0" w:header="0"/>
          <w:type w:val="continuous"/>
        </w:sectPr>
      </w:pPr>
    </w:p>
    <w:p>
      <w:pPr>
        <w:ind w:left="20" w:right="1940"/>
        <w:spacing w:after="0" w:line="237" w:lineRule="auto"/>
        <w:rPr>
          <w:sz w:val="20"/>
          <w:szCs w:val="20"/>
          <w:color w:val="auto"/>
        </w:rPr>
      </w:pPr>
      <w:r>
        <w:rPr>
          <w:rFonts w:ascii="Calibri" w:cs="Calibri" w:eastAsia="Calibri" w:hAnsi="Calibri"/>
          <w:sz w:val="17"/>
          <w:szCs w:val="17"/>
          <w:color w:val="auto"/>
        </w:rPr>
        <w:t>work to advance our strategic vision for the future of the defense enterprise, we are also implementng a sweeping internal business and digital transformaton efort (our OneLM Transformaton) to positon the Company for future growth. Based on our actual results relatve to the pre-established goals under our incentve programs, the 2022 annual incentve program paid out at 116% of target and the 2020-2022 Long-Term Incentve Performance awards (LTIP) and Performance Stock Units (PSUs) paid out at 147.5% of target for all NEOs.</w:t>
      </w:r>
    </w:p>
    <w:p>
      <w:pPr>
        <w:spacing w:after="0" w:line="23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w:t>
      </w:r>
      <w:r>
        <w:rPr>
          <w:sz w:val="20"/>
          <w:szCs w:val="20"/>
          <w:color w:val="auto"/>
        </w:rPr>
        <w:tab/>
      </w:r>
      <w:r>
        <w:rPr>
          <w:rFonts w:ascii="Calibri" w:cs="Calibri" w:eastAsia="Calibri" w:hAnsi="Calibri"/>
          <w:sz w:val="14"/>
          <w:szCs w:val="14"/>
          <w:color w:val="auto"/>
        </w:rPr>
        <w:t>See Appendix A for an explanaton of Non-GAAP measures.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818EB4"/>
        </w:rPr>
        <w:t>2022 Say-on-Pay Results and Investor Feedback</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20" w:type="dxa"/>
            <w:vAlign w:val="bottom"/>
          </w:tcPr>
          <w:p>
            <w:pPr>
              <w:ind w:left="20"/>
              <w:spacing w:after="0"/>
              <w:rPr>
                <w:sz w:val="20"/>
                <w:szCs w:val="20"/>
                <w:color w:val="auto"/>
              </w:rPr>
            </w:pPr>
            <w:r>
              <w:rPr>
                <w:rFonts w:ascii="Calibri" w:cs="Calibri" w:eastAsia="Calibri" w:hAnsi="Calibri"/>
                <w:sz w:val="17"/>
                <w:szCs w:val="17"/>
                <w:color w:val="auto"/>
              </w:rPr>
              <w:t>At our 2022 Annual Meetng, more than 93% of the votes cast by our stockholders</w:t>
            </w:r>
          </w:p>
        </w:tc>
        <w:tc>
          <w:tcPr>
            <w:tcW w:w="4720" w:type="dxa"/>
            <w:vAlign w:val="bottom"/>
          </w:tcPr>
          <w:p>
            <w:pPr>
              <w:ind w:left="420"/>
              <w:spacing w:after="0"/>
              <w:rPr>
                <w:sz w:val="20"/>
                <w:szCs w:val="20"/>
                <w:color w:val="auto"/>
              </w:rPr>
            </w:pPr>
            <w:r>
              <w:rPr>
                <w:rFonts w:ascii="Arial" w:cs="Arial" w:eastAsia="Arial" w:hAnsi="Arial"/>
                <w:sz w:val="16"/>
                <w:szCs w:val="16"/>
                <w:color w:val="003478"/>
              </w:rPr>
              <w:t>3-Year Say-on-Pay Results</w:t>
            </w:r>
          </w:p>
        </w:tc>
      </w:tr>
      <w:tr>
        <w:trPr>
          <w:trHeight w:val="203"/>
        </w:trPr>
        <w:tc>
          <w:tcPr>
            <w:tcW w:w="6520" w:type="dxa"/>
            <w:vAlign w:val="bottom"/>
          </w:tcPr>
          <w:p>
            <w:pPr>
              <w:ind w:left="20"/>
              <w:spacing w:after="0" w:line="203" w:lineRule="exact"/>
              <w:rPr>
                <w:sz w:val="20"/>
                <w:szCs w:val="20"/>
                <w:color w:val="auto"/>
              </w:rPr>
            </w:pPr>
            <w:r>
              <w:rPr>
                <w:rFonts w:ascii="Calibri" w:cs="Calibri" w:eastAsia="Calibri" w:hAnsi="Calibri"/>
                <w:sz w:val="17"/>
                <w:szCs w:val="17"/>
                <w:color w:val="auto"/>
              </w:rPr>
              <w:t>approved our Say-on-Pay proposal. We meet with our investors throughout the year</w:t>
            </w:r>
          </w:p>
        </w:tc>
        <w:tc>
          <w:tcPr>
            <w:tcW w:w="4720" w:type="dxa"/>
            <w:vAlign w:val="bottom"/>
          </w:tcPr>
          <w:p>
            <w:pPr>
              <w:spacing w:after="0"/>
              <w:rPr>
                <w:sz w:val="17"/>
                <w:szCs w:val="17"/>
                <w:color w:val="auto"/>
              </w:rPr>
            </w:pPr>
          </w:p>
        </w:tc>
      </w:tr>
      <w:tr>
        <w:trPr>
          <w:trHeight w:val="203"/>
        </w:trPr>
        <w:tc>
          <w:tcPr>
            <w:tcW w:w="6520" w:type="dxa"/>
            <w:vAlign w:val="bottom"/>
          </w:tcPr>
          <w:p>
            <w:pPr>
              <w:ind w:left="20"/>
              <w:spacing w:after="0" w:line="203" w:lineRule="exact"/>
              <w:rPr>
                <w:sz w:val="20"/>
                <w:szCs w:val="20"/>
                <w:color w:val="auto"/>
              </w:rPr>
            </w:pPr>
            <w:r>
              <w:rPr>
                <w:rFonts w:ascii="Calibri" w:cs="Calibri" w:eastAsia="Calibri" w:hAnsi="Calibri"/>
                <w:sz w:val="17"/>
                <w:szCs w:val="17"/>
                <w:color w:val="auto"/>
              </w:rPr>
              <w:t>to understand the executve compensaton topics that mater most to them and to</w:t>
            </w:r>
          </w:p>
        </w:tc>
        <w:tc>
          <w:tcPr>
            <w:tcW w:w="4720" w:type="dxa"/>
            <w:vAlign w:val="bottom"/>
          </w:tcPr>
          <w:p>
            <w:pPr>
              <w:spacing w:after="0"/>
              <w:rPr>
                <w:sz w:val="17"/>
                <w:szCs w:val="17"/>
                <w:color w:val="auto"/>
              </w:rPr>
            </w:pPr>
          </w:p>
        </w:tc>
      </w:tr>
      <w:tr>
        <w:trPr>
          <w:trHeight w:val="203"/>
        </w:trPr>
        <w:tc>
          <w:tcPr>
            <w:tcW w:w="6520" w:type="dxa"/>
            <w:vAlign w:val="bottom"/>
          </w:tcPr>
          <w:p>
            <w:pPr>
              <w:ind w:left="20"/>
              <w:spacing w:after="0" w:line="203" w:lineRule="exact"/>
              <w:rPr>
                <w:sz w:val="20"/>
                <w:szCs w:val="20"/>
                <w:color w:val="auto"/>
              </w:rPr>
            </w:pPr>
            <w:r>
              <w:rPr>
                <w:rFonts w:ascii="Calibri" w:cs="Calibri" w:eastAsia="Calibri" w:hAnsi="Calibri"/>
                <w:sz w:val="17"/>
                <w:szCs w:val="17"/>
                <w:color w:val="auto"/>
              </w:rPr>
              <w:t>seek their views on our existng policies and practces (please see “Our Stockholder</w:t>
            </w:r>
          </w:p>
        </w:tc>
        <w:tc>
          <w:tcPr>
            <w:tcW w:w="4720" w:type="dxa"/>
            <w:vAlign w:val="bottom"/>
          </w:tcPr>
          <w:p>
            <w:pPr>
              <w:spacing w:after="0"/>
              <w:rPr>
                <w:sz w:val="17"/>
                <w:szCs w:val="17"/>
                <w:color w:val="auto"/>
              </w:rPr>
            </w:pPr>
          </w:p>
        </w:tc>
      </w:tr>
      <w:tr>
        <w:trPr>
          <w:trHeight w:val="203"/>
        </w:trPr>
        <w:tc>
          <w:tcPr>
            <w:tcW w:w="6520" w:type="dxa"/>
            <w:vAlign w:val="bottom"/>
          </w:tcPr>
          <w:p>
            <w:pPr>
              <w:ind w:left="20"/>
              <w:spacing w:after="0" w:line="203" w:lineRule="exact"/>
              <w:rPr>
                <w:sz w:val="20"/>
                <w:szCs w:val="20"/>
                <w:color w:val="auto"/>
              </w:rPr>
            </w:pPr>
            <w:r>
              <w:rPr>
                <w:rFonts w:ascii="Calibri" w:cs="Calibri" w:eastAsia="Calibri" w:hAnsi="Calibri"/>
                <w:sz w:val="17"/>
                <w:szCs w:val="17"/>
                <w:color w:val="auto"/>
              </w:rPr>
              <w:t>Engagement Program” on page 24 for more specifc details). Investors we engaged</w:t>
            </w:r>
          </w:p>
        </w:tc>
        <w:tc>
          <w:tcPr>
            <w:tcW w:w="4720" w:type="dxa"/>
            <w:vAlign w:val="bottom"/>
          </w:tcPr>
          <w:p>
            <w:pPr>
              <w:spacing w:after="0"/>
              <w:rPr>
                <w:sz w:val="17"/>
                <w:szCs w:val="17"/>
                <w:color w:val="auto"/>
              </w:rPr>
            </w:pPr>
          </w:p>
        </w:tc>
      </w:tr>
      <w:tr>
        <w:trPr>
          <w:trHeight w:val="204"/>
        </w:trPr>
        <w:tc>
          <w:tcPr>
            <w:tcW w:w="6520" w:type="dxa"/>
            <w:vAlign w:val="bottom"/>
          </w:tcPr>
          <w:p>
            <w:pPr>
              <w:ind w:left="20"/>
              <w:spacing w:after="0" w:line="205" w:lineRule="exact"/>
              <w:rPr>
                <w:sz w:val="20"/>
                <w:szCs w:val="20"/>
                <w:color w:val="auto"/>
              </w:rPr>
            </w:pPr>
            <w:r>
              <w:rPr>
                <w:rFonts w:ascii="Calibri" w:cs="Calibri" w:eastAsia="Calibri" w:hAnsi="Calibri"/>
                <w:sz w:val="17"/>
                <w:szCs w:val="17"/>
                <w:color w:val="auto"/>
              </w:rPr>
              <w:t>with during 2022 reacted positvely to our pay governance and executve</w:t>
            </w:r>
          </w:p>
        </w:tc>
        <w:tc>
          <w:tcPr>
            <w:tcW w:w="4720" w:type="dxa"/>
            <w:vAlign w:val="bottom"/>
          </w:tcPr>
          <w:p>
            <w:pPr>
              <w:spacing w:after="0"/>
              <w:rPr>
                <w:sz w:val="17"/>
                <w:szCs w:val="17"/>
                <w:color w:val="auto"/>
              </w:rPr>
            </w:pPr>
          </w:p>
        </w:tc>
      </w:tr>
      <w:tr>
        <w:trPr>
          <w:trHeight w:val="214"/>
        </w:trPr>
        <w:tc>
          <w:tcPr>
            <w:tcW w:w="6520" w:type="dxa"/>
            <w:vAlign w:val="bottom"/>
          </w:tcPr>
          <w:p>
            <w:pPr>
              <w:ind w:left="20"/>
              <w:spacing w:after="0"/>
              <w:rPr>
                <w:sz w:val="20"/>
                <w:szCs w:val="20"/>
                <w:color w:val="auto"/>
              </w:rPr>
            </w:pPr>
            <w:r>
              <w:rPr>
                <w:rFonts w:ascii="Calibri" w:cs="Calibri" w:eastAsia="Calibri" w:hAnsi="Calibri"/>
                <w:sz w:val="17"/>
                <w:szCs w:val="17"/>
                <w:color w:val="auto"/>
              </w:rPr>
              <w:t>compensaton programs. These investors overall indicated that they appreciate our</w:t>
            </w:r>
          </w:p>
        </w:tc>
        <w:tc>
          <w:tcPr>
            <w:tcW w:w="4720" w:type="dxa"/>
            <w:vAlign w:val="bottom"/>
          </w:tcPr>
          <w:p>
            <w:pPr>
              <w:spacing w:after="0"/>
              <w:rPr>
                <w:sz w:val="18"/>
                <w:szCs w:val="18"/>
                <w:color w:val="auto"/>
              </w:rPr>
            </w:pPr>
          </w:p>
        </w:tc>
      </w:tr>
      <w:tr>
        <w:trPr>
          <w:trHeight w:val="203"/>
        </w:trPr>
        <w:tc>
          <w:tcPr>
            <w:tcW w:w="6520" w:type="dxa"/>
            <w:vAlign w:val="bottom"/>
          </w:tcPr>
          <w:p>
            <w:pPr>
              <w:ind w:left="20"/>
              <w:spacing w:after="0" w:line="203" w:lineRule="exact"/>
              <w:rPr>
                <w:sz w:val="20"/>
                <w:szCs w:val="20"/>
                <w:color w:val="auto"/>
              </w:rPr>
            </w:pPr>
            <w:r>
              <w:rPr>
                <w:rFonts w:ascii="Calibri" w:cs="Calibri" w:eastAsia="Calibri" w:hAnsi="Calibri"/>
                <w:sz w:val="17"/>
                <w:szCs w:val="17"/>
                <w:color w:val="auto"/>
              </w:rPr>
              <w:t>current compensaton structure, including our pay mix, and transparency as disclosed</w:t>
            </w:r>
          </w:p>
        </w:tc>
        <w:tc>
          <w:tcPr>
            <w:tcW w:w="4720" w:type="dxa"/>
            <w:vAlign w:val="bottom"/>
          </w:tcPr>
          <w:p>
            <w:pPr>
              <w:spacing w:after="0"/>
              <w:rPr>
                <w:sz w:val="17"/>
                <w:szCs w:val="17"/>
                <w:color w:val="auto"/>
              </w:rPr>
            </w:pPr>
          </w:p>
        </w:tc>
      </w:tr>
      <w:tr>
        <w:trPr>
          <w:trHeight w:val="202"/>
        </w:trPr>
        <w:tc>
          <w:tcPr>
            <w:tcW w:w="6520" w:type="dxa"/>
            <w:vAlign w:val="bottom"/>
          </w:tcPr>
          <w:p>
            <w:pPr>
              <w:ind w:left="20"/>
              <w:spacing w:after="0" w:line="203" w:lineRule="exact"/>
              <w:rPr>
                <w:sz w:val="20"/>
                <w:szCs w:val="20"/>
                <w:color w:val="auto"/>
              </w:rPr>
            </w:pPr>
            <w:r>
              <w:rPr>
                <w:rFonts w:ascii="Calibri" w:cs="Calibri" w:eastAsia="Calibri" w:hAnsi="Calibri"/>
                <w:sz w:val="17"/>
                <w:szCs w:val="17"/>
                <w:color w:val="auto"/>
              </w:rPr>
              <w:t>in our Proxy Statement. We consider the input of our stockholders, along with</w:t>
            </w:r>
          </w:p>
        </w:tc>
        <w:tc>
          <w:tcPr>
            <w:tcW w:w="4720" w:type="dxa"/>
            <w:vAlign w:val="bottom"/>
          </w:tcPr>
          <w:p>
            <w:pPr>
              <w:spacing w:after="0"/>
              <w:rPr>
                <w:sz w:val="17"/>
                <w:szCs w:val="17"/>
                <w:color w:val="auto"/>
              </w:rPr>
            </w:pPr>
          </w:p>
        </w:tc>
      </w:tr>
      <w:tr>
        <w:trPr>
          <w:trHeight w:val="203"/>
        </w:trPr>
        <w:tc>
          <w:tcPr>
            <w:tcW w:w="6520" w:type="dxa"/>
            <w:vAlign w:val="bottom"/>
          </w:tcPr>
          <w:p>
            <w:pPr>
              <w:ind w:left="20"/>
              <w:spacing w:after="0" w:line="203" w:lineRule="exact"/>
              <w:rPr>
                <w:sz w:val="20"/>
                <w:szCs w:val="20"/>
                <w:color w:val="auto"/>
              </w:rPr>
            </w:pPr>
            <w:r>
              <w:rPr>
                <w:rFonts w:ascii="Calibri" w:cs="Calibri" w:eastAsia="Calibri" w:hAnsi="Calibri"/>
                <w:sz w:val="17"/>
                <w:szCs w:val="17"/>
                <w:color w:val="auto"/>
              </w:rPr>
              <w:t>emerging best practces, to ensure alignment with our executve pay programs. We</w:t>
            </w:r>
          </w:p>
        </w:tc>
        <w:tc>
          <w:tcPr>
            <w:tcW w:w="4720" w:type="dxa"/>
            <w:vAlign w:val="bottom"/>
          </w:tcPr>
          <w:p>
            <w:pPr>
              <w:spacing w:after="0"/>
              <w:rPr>
                <w:sz w:val="17"/>
                <w:szCs w:val="17"/>
                <w:color w:val="auto"/>
              </w:rPr>
            </w:pPr>
          </w:p>
        </w:tc>
      </w:tr>
      <w:tr>
        <w:trPr>
          <w:trHeight w:val="204"/>
        </w:trPr>
        <w:tc>
          <w:tcPr>
            <w:tcW w:w="6520" w:type="dxa"/>
            <w:vAlign w:val="bottom"/>
          </w:tcPr>
          <w:p>
            <w:pPr>
              <w:ind w:left="20"/>
              <w:spacing w:after="0" w:line="205" w:lineRule="exact"/>
              <w:rPr>
                <w:sz w:val="20"/>
                <w:szCs w:val="20"/>
                <w:color w:val="auto"/>
              </w:rPr>
            </w:pPr>
            <w:r>
              <w:rPr>
                <w:rFonts w:ascii="Calibri" w:cs="Calibri" w:eastAsia="Calibri" w:hAnsi="Calibri"/>
                <w:sz w:val="17"/>
                <w:szCs w:val="17"/>
                <w:color w:val="auto"/>
              </w:rPr>
              <w:t>welcome feedback regarding our executve compensaton programs and will contnue</w:t>
            </w:r>
          </w:p>
        </w:tc>
        <w:tc>
          <w:tcPr>
            <w:tcW w:w="4720" w:type="dxa"/>
            <w:vAlign w:val="bottom"/>
          </w:tcPr>
          <w:p>
            <w:pPr>
              <w:spacing w:after="0"/>
              <w:rPr>
                <w:sz w:val="17"/>
                <w:szCs w:val="17"/>
                <w:color w:val="auto"/>
              </w:rPr>
            </w:pPr>
          </w:p>
        </w:tc>
      </w:tr>
      <w:tr>
        <w:trPr>
          <w:trHeight w:val="216"/>
        </w:trPr>
        <w:tc>
          <w:tcPr>
            <w:tcW w:w="6520" w:type="dxa"/>
            <w:vAlign w:val="bottom"/>
          </w:tcPr>
          <w:p>
            <w:pPr>
              <w:ind w:left="20"/>
              <w:spacing w:after="0"/>
              <w:rPr>
                <w:sz w:val="20"/>
                <w:szCs w:val="20"/>
                <w:color w:val="auto"/>
              </w:rPr>
            </w:pPr>
            <w:r>
              <w:rPr>
                <w:rFonts w:ascii="Calibri" w:cs="Calibri" w:eastAsia="Calibri" w:hAnsi="Calibri"/>
                <w:sz w:val="17"/>
                <w:szCs w:val="17"/>
                <w:color w:val="auto"/>
              </w:rPr>
              <w:t>to engage with our stockholders in 2023.</w:t>
            </w:r>
          </w:p>
        </w:tc>
        <w:tc>
          <w:tcPr>
            <w:tcW w:w="4720" w:type="dxa"/>
            <w:vAlign w:val="bottom"/>
          </w:tcPr>
          <w:p>
            <w:pPr>
              <w:spacing w:after="0"/>
              <w:rPr>
                <w:sz w:val="18"/>
                <w:szCs w:val="18"/>
                <w:color w:val="auto"/>
              </w:rPr>
            </w:pPr>
          </w:p>
        </w:tc>
      </w:tr>
      <w:tr>
        <w:trPr>
          <w:trHeight w:val="806"/>
        </w:trPr>
        <w:tc>
          <w:tcPr>
            <w:tcW w:w="6520" w:type="dxa"/>
            <w:vAlign w:val="bottom"/>
          </w:tcPr>
          <w:p>
            <w:pPr>
              <w:ind w:left="20"/>
              <w:spacing w:after="0"/>
              <w:rPr>
                <w:sz w:val="20"/>
                <w:szCs w:val="20"/>
                <w:color w:val="auto"/>
              </w:rPr>
            </w:pPr>
            <w:r>
              <w:rPr>
                <w:rFonts w:ascii="Arial" w:cs="Arial" w:eastAsia="Arial" w:hAnsi="Arial"/>
                <w:sz w:val="14"/>
                <w:szCs w:val="14"/>
                <w:b w:val="1"/>
                <w:bCs w:val="1"/>
                <w:color w:val="959595"/>
              </w:rPr>
              <w:t>42</w:t>
            </w:r>
          </w:p>
        </w:tc>
        <w:tc>
          <w:tcPr>
            <w:tcW w:w="4720" w:type="dxa"/>
            <w:vAlign w:val="bottom"/>
          </w:tcPr>
          <w:p>
            <w:pPr>
              <w:spacing w:after="0"/>
              <w:rPr>
                <w:sz w:val="24"/>
                <w:szCs w:val="24"/>
                <w:color w:val="auto"/>
              </w:rPr>
            </w:pPr>
          </w:p>
        </w:tc>
      </w:tr>
      <w:tr>
        <w:trPr>
          <w:trHeight w:val="414"/>
        </w:trPr>
        <w:tc>
          <w:tcPr>
            <w:tcW w:w="65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-2134235</wp:posOffset>
            </wp:positionV>
            <wp:extent cx="1200150" cy="11658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0" cy="116586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-454025</wp:posOffset>
            </wp:positionV>
            <wp:extent cx="1071880" cy="1797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ectPr>
          <w:pgSz w:w="11900" w:h="16838" w:orient="portrait"/>
          <w:cols w:equalWidth="0" w:num="1">
            <w:col w:w="11240"/>
          </w:cols>
          <w:pgMar w:left="320" w:top="231" w:right="339" w:bottom="825" w:gutter="0" w:footer="0" w:header="0"/>
          <w:type w:val="continuous"/>
        </w:sectPr>
      </w:pPr>
    </w:p>
    <w:bookmarkStart w:id="48" w:name="page49"/>
    <w:bookmarkEnd w:id="48"/>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818EB4"/>
        </w:rPr>
        <w:t>Compensation Overview</w:t>
      </w:r>
    </w:p>
    <w:p>
      <w:pPr>
        <w:spacing w:after="0" w:line="111" w:lineRule="exact"/>
        <w:rPr>
          <w:sz w:val="20"/>
          <w:szCs w:val="20"/>
          <w:color w:val="auto"/>
        </w:rPr>
      </w:pPr>
    </w:p>
    <w:p>
      <w:pPr>
        <w:ind w:right="60"/>
        <w:spacing w:after="0" w:line="230" w:lineRule="auto"/>
        <w:rPr>
          <w:sz w:val="20"/>
          <w:szCs w:val="20"/>
          <w:color w:val="auto"/>
        </w:rPr>
      </w:pPr>
      <w:r>
        <w:rPr>
          <w:rFonts w:ascii="Calibri" w:cs="Calibri" w:eastAsia="Calibri" w:hAnsi="Calibri"/>
          <w:sz w:val="17"/>
          <w:szCs w:val="17"/>
          <w:color w:val="auto"/>
        </w:rPr>
        <w:t>Our executve compensaton programs covering our NEOs are designed to atract and retain critcal executve talent, to motvate behaviors that align with stockholders’ interests and to pay for performance. We use the 50</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percentle of our comparator group (shown on page 45) as a benchmark to set target total compensaton around the 50</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percentle with modest variatons due to market data fuctuatons year-over-year. The Compensaton Commitee also considers experience, performance and value in role when setng target compensaton levels for our NEOs, while allowing incentve payouts to exceed or fall below the target levels based upon actual performance. This outcome is consistent with our pay-for-performance philosophy to set pay and targets at market levels, but pay incentve compensaton that refects actual performance.</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818EB4"/>
        </w:rPr>
        <w:t>2022 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96520</wp:posOffset>
            </wp:positionV>
            <wp:extent cx="33261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vMerge w:val="restart"/>
          </w:tcPr>
          <w:p>
            <w:pPr>
              <w:ind w:left="20"/>
              <w:spacing w:after="0"/>
              <w:rPr>
                <w:sz w:val="20"/>
                <w:szCs w:val="20"/>
                <w:color w:val="auto"/>
              </w:rPr>
            </w:pPr>
            <w:r>
              <w:rPr>
                <w:rFonts w:ascii="Calibri" w:cs="Calibri" w:eastAsia="Calibri" w:hAnsi="Calibri"/>
                <w:sz w:val="17"/>
                <w:szCs w:val="17"/>
                <w:b w:val="1"/>
                <w:bCs w:val="1"/>
                <w:color w:val="auto"/>
              </w:rPr>
              <w:t xml:space="preserve">2022 CEO Target Pay Mix. </w:t>
            </w:r>
            <w:r>
              <w:rPr>
                <w:rFonts w:ascii="Calibri" w:cs="Calibri" w:eastAsia="Calibri" w:hAnsi="Calibri"/>
                <w:sz w:val="17"/>
                <w:szCs w:val="17"/>
                <w:color w:val="auto"/>
              </w:rPr>
              <w:t>We believe that the compensaton opportunites of</w:t>
            </w:r>
          </w:p>
        </w:tc>
        <w:tc>
          <w:tcPr>
            <w:tcW w:w="5160" w:type="dxa"/>
            <w:vAlign w:val="bottom"/>
          </w:tcPr>
          <w:p>
            <w:pPr>
              <w:ind w:left="140"/>
              <w:spacing w:after="0"/>
              <w:rPr>
                <w:sz w:val="20"/>
                <w:szCs w:val="20"/>
                <w:color w:val="auto"/>
              </w:rPr>
            </w:pPr>
            <w:r>
              <w:rPr>
                <w:rFonts w:ascii="Arial" w:cs="Arial" w:eastAsia="Arial" w:hAnsi="Arial"/>
                <w:sz w:val="16"/>
                <w:szCs w:val="16"/>
                <w:color w:val="475C90"/>
              </w:rPr>
              <w:t>CEO Target Opportunity Mix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5880" w:type="dxa"/>
            <w:vAlign w:val="bottom"/>
            <w:vMerge w:val="continue"/>
          </w:tcPr>
          <w:p>
            <w:pPr>
              <w:spacing w:after="0"/>
              <w:rPr>
                <w:sz w:val="7"/>
                <w:szCs w:val="7"/>
                <w:color w:val="auto"/>
              </w:rPr>
            </w:pPr>
          </w:p>
        </w:tc>
        <w:tc>
          <w:tcPr>
            <w:tcW w:w="5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Calibri" w:cs="Calibri" w:eastAsia="Calibri" w:hAnsi="Calibri"/>
                <w:sz w:val="17"/>
                <w:szCs w:val="17"/>
                <w:color w:val="auto"/>
              </w:rPr>
              <w:t>our CEO should be predominantly variable, and the variable elements of the</w:t>
            </w:r>
          </w:p>
        </w:tc>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Calibri" w:cs="Calibri" w:eastAsia="Calibri" w:hAnsi="Calibri"/>
                <w:sz w:val="17"/>
                <w:szCs w:val="17"/>
                <w:color w:val="auto"/>
              </w:rPr>
              <w:t>compensaton package should te to the Company’s long-term success and</w:t>
            </w: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Calibri" w:cs="Calibri" w:eastAsia="Calibri" w:hAnsi="Calibri"/>
                <w:sz w:val="17"/>
                <w:szCs w:val="17"/>
                <w:color w:val="auto"/>
              </w:rPr>
              <w:t>sustainable long-term total returns to our stockholders. As shown in the chart to</w:t>
            </w: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Calibri" w:cs="Calibri" w:eastAsia="Calibri" w:hAnsi="Calibri"/>
                <w:sz w:val="17"/>
                <w:szCs w:val="17"/>
                <w:color w:val="auto"/>
              </w:rPr>
              <w:t>the right, a signifcant porton of our CEO’s target compensaton is variable and</w:t>
            </w:r>
          </w:p>
        </w:tc>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Calibri" w:cs="Calibri" w:eastAsia="Calibri" w:hAnsi="Calibri"/>
                <w:sz w:val="17"/>
                <w:szCs w:val="17"/>
                <w:color w:val="auto"/>
              </w:rPr>
              <w:t>in the form of long-term incentves (LTI) with more than half of total target pay</w:t>
            </w: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Calibri" w:cs="Calibri" w:eastAsia="Calibri" w:hAnsi="Calibri"/>
                <w:sz w:val="17"/>
                <w:szCs w:val="17"/>
                <w:color w:val="auto"/>
              </w:rPr>
              <w:t>in the form of equity-based incentves.</w:t>
            </w:r>
          </w:p>
        </w:tc>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880" w:type="dxa"/>
            <w:vAlign w:val="bottom"/>
          </w:tcPr>
          <w:p>
            <w:pPr>
              <w:ind w:left="20"/>
              <w:spacing w:after="0"/>
              <w:rPr>
                <w:sz w:val="20"/>
                <w:szCs w:val="20"/>
                <w:color w:val="auto"/>
              </w:rPr>
            </w:pPr>
            <w:r>
              <w:rPr>
                <w:rFonts w:ascii="Calibri" w:cs="Calibri" w:eastAsia="Calibri" w:hAnsi="Calibri"/>
                <w:sz w:val="17"/>
                <w:szCs w:val="17"/>
                <w:b w:val="1"/>
                <w:bCs w:val="1"/>
                <w:color w:val="auto"/>
              </w:rPr>
              <w:t xml:space="preserve">Base Salary. </w:t>
            </w:r>
            <w:r>
              <w:rPr>
                <w:rFonts w:ascii="Calibri" w:cs="Calibri" w:eastAsia="Calibri" w:hAnsi="Calibri"/>
                <w:sz w:val="17"/>
                <w:szCs w:val="17"/>
                <w:color w:val="auto"/>
              </w:rPr>
              <w:t>In 2022, Mr. Taiclet’s annual base salary was set at $1,751,000,</w:t>
            </w:r>
          </w:p>
        </w:tc>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Calibri" w:cs="Calibri" w:eastAsia="Calibri" w:hAnsi="Calibri"/>
                <w:sz w:val="17"/>
                <w:szCs w:val="17"/>
                <w:color w:val="auto"/>
              </w:rPr>
              <w:t>which remained unchanged from 2021.</w:t>
            </w:r>
          </w:p>
        </w:tc>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880" w:type="dxa"/>
            <w:vAlign w:val="bottom"/>
          </w:tcPr>
          <w:p>
            <w:pPr>
              <w:ind w:left="20"/>
              <w:spacing w:after="0"/>
              <w:rPr>
                <w:sz w:val="20"/>
                <w:szCs w:val="20"/>
                <w:color w:val="auto"/>
              </w:rPr>
            </w:pPr>
            <w:r>
              <w:rPr>
                <w:rFonts w:ascii="Calibri" w:cs="Calibri" w:eastAsia="Calibri" w:hAnsi="Calibri"/>
                <w:sz w:val="17"/>
                <w:szCs w:val="17"/>
                <w:b w:val="1"/>
                <w:bCs w:val="1"/>
                <w:color w:val="auto"/>
              </w:rPr>
              <w:t xml:space="preserve">2022 Annual Incentve. </w:t>
            </w:r>
            <w:r>
              <w:rPr>
                <w:rFonts w:ascii="Calibri" w:cs="Calibri" w:eastAsia="Calibri" w:hAnsi="Calibri"/>
                <w:sz w:val="17"/>
                <w:szCs w:val="17"/>
                <w:color w:val="auto"/>
              </w:rPr>
              <w:t>Mr. Taiclet’s target annual incentve amount for 2022</w:t>
            </w:r>
          </w:p>
        </w:tc>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Calibri" w:cs="Calibri" w:eastAsia="Calibri" w:hAnsi="Calibri"/>
                <w:sz w:val="17"/>
                <w:szCs w:val="17"/>
                <w:color w:val="auto"/>
              </w:rPr>
              <w:t>was 190% of salary, or $3,326,900.</w:t>
            </w:r>
          </w:p>
        </w:tc>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880" w:type="dxa"/>
            <w:vAlign w:val="bottom"/>
          </w:tcPr>
          <w:p>
            <w:pPr>
              <w:ind w:left="20"/>
              <w:spacing w:after="0"/>
              <w:rPr>
                <w:sz w:val="20"/>
                <w:szCs w:val="20"/>
                <w:color w:val="auto"/>
              </w:rPr>
            </w:pPr>
            <w:r>
              <w:rPr>
                <w:rFonts w:ascii="Calibri" w:cs="Calibri" w:eastAsia="Calibri" w:hAnsi="Calibri"/>
                <w:sz w:val="17"/>
                <w:szCs w:val="17"/>
                <w:b w:val="1"/>
                <w:bCs w:val="1"/>
                <w:color w:val="auto"/>
              </w:rPr>
              <w:t xml:space="preserve">2022-2024 Long-Term Incentves. </w:t>
            </w:r>
            <w:r>
              <w:rPr>
                <w:rFonts w:ascii="Calibri" w:cs="Calibri" w:eastAsia="Calibri" w:hAnsi="Calibri"/>
                <w:sz w:val="17"/>
                <w:szCs w:val="17"/>
                <w:color w:val="auto"/>
              </w:rPr>
              <w:t>In 2022, Mr. Taiclet was granted an annual LTI</w:t>
            </w:r>
          </w:p>
        </w:tc>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Calibri" w:cs="Calibri" w:eastAsia="Calibri" w:hAnsi="Calibri"/>
                <w:sz w:val="17"/>
                <w:szCs w:val="17"/>
                <w:color w:val="auto"/>
              </w:rPr>
              <w:t>award of $15,000,287, which was allocated 50% in PSUs, 30% in Restricted Stock</w:t>
            </w:r>
          </w:p>
        </w:tc>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Calibri" w:cs="Calibri" w:eastAsia="Calibri" w:hAnsi="Calibri"/>
                <w:sz w:val="17"/>
                <w:szCs w:val="17"/>
                <w:color w:val="auto"/>
              </w:rPr>
              <w:t>Units (RSUs) and 20% in the cash-based LTIP. RSUs will clif-vest afer three years,</w:t>
            </w: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Calibri" w:cs="Calibri" w:eastAsia="Calibri" w:hAnsi="Calibri"/>
                <w:sz w:val="17"/>
                <w:szCs w:val="17"/>
                <w:color w:val="auto"/>
              </w:rPr>
              <w:t>while the payout of PSUs and LTIP will be based upon our results at the end of</w:t>
            </w: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Calibri" w:cs="Calibri" w:eastAsia="Calibri" w:hAnsi="Calibri"/>
                <w:sz w:val="17"/>
                <w:szCs w:val="17"/>
                <w:color w:val="auto"/>
              </w:rPr>
              <w:t>the three-year performance period relatve to the three-year performance goals</w:t>
            </w:r>
          </w:p>
        </w:tc>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Calibri" w:cs="Calibri" w:eastAsia="Calibri" w:hAnsi="Calibri"/>
                <w:sz w:val="17"/>
                <w:szCs w:val="17"/>
                <w:color w:val="auto"/>
              </w:rPr>
              <w:t>that were established in the beginning of 2022.</w:t>
            </w: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880" w:type="dxa"/>
            <w:vAlign w:val="bottom"/>
          </w:tcPr>
          <w:p>
            <w:pPr>
              <w:ind w:left="20"/>
              <w:spacing w:after="0"/>
              <w:rPr>
                <w:sz w:val="20"/>
                <w:szCs w:val="20"/>
                <w:color w:val="auto"/>
              </w:rPr>
            </w:pPr>
            <w:r>
              <w:rPr>
                <w:rFonts w:ascii="Calibri" w:cs="Calibri" w:eastAsia="Calibri" w:hAnsi="Calibri"/>
                <w:sz w:val="17"/>
                <w:szCs w:val="17"/>
                <w:b w:val="1"/>
                <w:bCs w:val="1"/>
                <w:color w:val="auto"/>
              </w:rPr>
              <w:t xml:space="preserve">Beneft and Retrement Plans. </w:t>
            </w:r>
            <w:r>
              <w:rPr>
                <w:rFonts w:ascii="Calibri" w:cs="Calibri" w:eastAsia="Calibri" w:hAnsi="Calibri"/>
                <w:sz w:val="17"/>
                <w:szCs w:val="17"/>
                <w:color w:val="auto"/>
              </w:rPr>
              <w:t>Mr. Taiclet is eligible for beneft and retrement</w:t>
            </w:r>
          </w:p>
        </w:tc>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Calibri" w:cs="Calibri" w:eastAsia="Calibri" w:hAnsi="Calibri"/>
                <w:sz w:val="17"/>
                <w:szCs w:val="17"/>
                <w:color w:val="auto"/>
              </w:rPr>
              <w:t>programs, similar to other salaried employees. None of our NEOs received</w:t>
            </w: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Calibri" w:cs="Calibri" w:eastAsia="Calibri" w:hAnsi="Calibri"/>
                <w:sz w:val="17"/>
                <w:szCs w:val="17"/>
                <w:color w:val="auto"/>
              </w:rPr>
              <w:t>additonal years of service credits or other forms of formula enhancements</w:t>
            </w:r>
          </w:p>
        </w:tc>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Calibri" w:cs="Calibri" w:eastAsia="Calibri" w:hAnsi="Calibri"/>
                <w:sz w:val="17"/>
                <w:szCs w:val="17"/>
                <w:color w:val="auto"/>
              </w:rPr>
              <w:t>under our beneft or retrement plans. Mr. Taiclet does not partcipate in our</w:t>
            </w:r>
          </w:p>
        </w:tc>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0"/>
              <w:spacing w:after="0"/>
              <w:rPr>
                <w:sz w:val="20"/>
                <w:szCs w:val="20"/>
                <w:color w:val="auto"/>
              </w:rPr>
            </w:pPr>
            <w:r>
              <w:rPr>
                <w:rFonts w:ascii="Calibri" w:cs="Calibri" w:eastAsia="Calibri" w:hAnsi="Calibri"/>
                <w:sz w:val="17"/>
                <w:szCs w:val="17"/>
                <w:color w:val="auto"/>
              </w:rPr>
              <w:t>pension plan.</w:t>
            </w:r>
          </w:p>
        </w:tc>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3"/>
        </w:trPr>
        <w:tc>
          <w:tcPr>
            <w:tcW w:w="5880" w:type="dxa"/>
            <w:vAlign w:val="bottom"/>
          </w:tcPr>
          <w:p>
            <w:pPr>
              <w:spacing w:after="0"/>
              <w:rPr>
                <w:sz w:val="24"/>
                <w:szCs w:val="24"/>
                <w:color w:val="auto"/>
              </w:rPr>
            </w:pPr>
          </w:p>
        </w:tc>
        <w:tc>
          <w:tcPr>
            <w:tcW w:w="5160" w:type="dxa"/>
            <w:vAlign w:val="bottom"/>
          </w:tcPr>
          <w:p>
            <w:pPr>
              <w:ind w:left="140"/>
              <w:spacing w:after="0"/>
              <w:rPr>
                <w:sz w:val="20"/>
                <w:szCs w:val="20"/>
                <w:color w:val="auto"/>
              </w:rPr>
            </w:pPr>
            <w:r>
              <w:rPr>
                <w:rFonts w:ascii="Calibri" w:cs="Calibri" w:eastAsia="Calibri" w:hAnsi="Calibri"/>
                <w:sz w:val="14"/>
                <w:szCs w:val="14"/>
                <w:color w:val="auto"/>
              </w:rPr>
              <w:t>*   Fixed vs. variable and cash vs. equity components are designated in the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5160" w:type="dxa"/>
            <w:vAlign w:val="bottom"/>
          </w:tcPr>
          <w:p>
            <w:pPr>
              <w:ind w:left="400"/>
              <w:spacing w:after="0"/>
              <w:rPr>
                <w:sz w:val="20"/>
                <w:szCs w:val="20"/>
                <w:color w:val="auto"/>
              </w:rPr>
            </w:pPr>
            <w:r>
              <w:rPr>
                <w:rFonts w:ascii="Calibri" w:cs="Calibri" w:eastAsia="Calibri" w:hAnsi="Calibri"/>
                <w:sz w:val="14"/>
                <w:szCs w:val="14"/>
                <w:color w:val="auto"/>
              </w:rPr>
              <w:t>Compensaton Elements table on page 47. We consider base salary and annual</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5160" w:type="dxa"/>
            <w:vAlign w:val="bottom"/>
          </w:tcPr>
          <w:p>
            <w:pPr>
              <w:ind w:left="400"/>
              <w:spacing w:after="0"/>
              <w:rPr>
                <w:sz w:val="20"/>
                <w:szCs w:val="20"/>
                <w:color w:val="auto"/>
              </w:rPr>
            </w:pPr>
            <w:r>
              <w:rPr>
                <w:rFonts w:ascii="Calibri" w:cs="Calibri" w:eastAsia="Calibri" w:hAnsi="Calibri"/>
                <w:sz w:val="14"/>
                <w:szCs w:val="14"/>
                <w:color w:val="auto"/>
              </w:rPr>
              <w:t>incentves as short-term pay and PSUs, LTIP and RSUs as long-term pay. Cash</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5160" w:type="dxa"/>
            <w:vAlign w:val="bottom"/>
          </w:tcPr>
          <w:p>
            <w:pPr>
              <w:ind w:left="400"/>
              <w:spacing w:after="0"/>
              <w:rPr>
                <w:sz w:val="20"/>
                <w:szCs w:val="20"/>
                <w:color w:val="auto"/>
              </w:rPr>
            </w:pPr>
            <w:r>
              <w:rPr>
                <w:rFonts w:ascii="Calibri" w:cs="Calibri" w:eastAsia="Calibri" w:hAnsi="Calibri"/>
                <w:sz w:val="14"/>
                <w:szCs w:val="14"/>
                <w:color w:val="auto"/>
              </w:rPr>
              <w:t>represents base salary, annual incentve target and LTIP target. We do not include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5160" w:type="dxa"/>
            <w:vAlign w:val="bottom"/>
          </w:tcPr>
          <w:p>
            <w:pPr>
              <w:ind w:left="400"/>
              <w:spacing w:after="0"/>
              <w:rPr>
                <w:sz w:val="20"/>
                <w:szCs w:val="20"/>
                <w:color w:val="auto"/>
              </w:rPr>
            </w:pPr>
            <w:r>
              <w:rPr>
                <w:rFonts w:ascii="Calibri" w:cs="Calibri" w:eastAsia="Calibri" w:hAnsi="Calibri"/>
                <w:sz w:val="14"/>
                <w:szCs w:val="14"/>
                <w:color w:val="auto"/>
              </w:rPr>
              <w:t>retrement or other compensaton components in the chart.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5"/>
        </w:trPr>
        <w:tc>
          <w:tcPr>
            <w:tcW w:w="5880" w:type="dxa"/>
            <w:vAlign w:val="bottom"/>
          </w:tcPr>
          <w:p>
            <w:pPr>
              <w:ind w:left="20"/>
              <w:spacing w:after="0"/>
              <w:rPr>
                <w:sz w:val="20"/>
                <w:szCs w:val="20"/>
                <w:color w:val="auto"/>
              </w:rPr>
            </w:pPr>
            <w:r>
              <w:rPr>
                <w:rFonts w:ascii="Arial" w:cs="Arial" w:eastAsia="Arial" w:hAnsi="Arial"/>
                <w:sz w:val="14"/>
                <w:szCs w:val="14"/>
                <w:color w:val="003478"/>
              </w:rPr>
              <w:t>www.lockheedmartin.com</w:t>
            </w:r>
          </w:p>
        </w:tc>
        <w:tc>
          <w:tcPr>
            <w:tcW w:w="5160" w:type="dxa"/>
            <w:vAlign w:val="bottom"/>
          </w:tcPr>
          <w:p>
            <w:pPr>
              <w:ind w:left="3480"/>
              <w:spacing w:after="0"/>
              <w:rPr>
                <w:sz w:val="20"/>
                <w:szCs w:val="20"/>
                <w:color w:val="auto"/>
              </w:rPr>
            </w:pPr>
            <w:r>
              <w:rPr>
                <w:rFonts w:ascii="Arial" w:cs="Arial" w:eastAsia="Arial" w:hAnsi="Arial"/>
                <w:sz w:val="14"/>
                <w:szCs w:val="14"/>
                <w:color w:val="003478"/>
              </w:rPr>
              <w:t>2023 Proxy Statement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959595"/>
              </w:rPr>
              <w:t>43</w:t>
            </w:r>
          </w:p>
        </w:tc>
        <w:tc>
          <w:tcPr>
            <w:tcW w:w="0" w:type="dxa"/>
            <w:vAlign w:val="bottom"/>
          </w:tcPr>
          <w:p>
            <w:pPr>
              <w:spacing w:after="0"/>
              <w:rPr>
                <w:sz w:val="1"/>
                <w:szCs w:val="1"/>
                <w:color w:val="auto"/>
              </w:rPr>
            </w:pPr>
          </w:p>
        </w:tc>
      </w:tr>
      <w:tr>
        <w:trPr>
          <w:trHeight w:val="319"/>
        </w:trPr>
        <w:tc>
          <w:tcPr>
            <w:tcW w:w="58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-5245735</wp:posOffset>
            </wp:positionV>
            <wp:extent cx="2194560" cy="35572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94560" cy="355727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49" w:name="page50"/>
    <w:bookmarkEnd w:id="49"/>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818EB4"/>
        </w:rPr>
        <w:t>Summary of Compensation Approach</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818EB4"/>
        </w:rPr>
        <w:t>Guiding Pay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104775</wp:posOffset>
            </wp:positionV>
            <wp:extent cx="1337310" cy="685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37310" cy="6858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104775</wp:posOffset>
            </wp:positionV>
            <wp:extent cx="137160" cy="685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6858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104775</wp:posOffset>
            </wp:positionV>
            <wp:extent cx="137160" cy="685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6858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040" w:type="dxa"/>
            <w:vAlign w:val="bottom"/>
            <w:shd w:val="clear" w:color="auto" w:fill="003478"/>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shd w:val="clear" w:color="auto" w:fill="003478"/>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shd w:val="clear" w:color="auto" w:fill="003478"/>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shd w:val="clear" w:color="auto" w:fill="003478"/>
          </w:tcPr>
          <w:p>
            <w:pPr>
              <w:spacing w:after="0"/>
              <w:rPr>
                <w:sz w:val="9"/>
                <w:szCs w:val="9"/>
                <w:color w:val="auto"/>
              </w:rPr>
            </w:pPr>
          </w:p>
        </w:tc>
      </w:tr>
      <w:tr>
        <w:trPr>
          <w:trHeight w:val="283"/>
        </w:trPr>
        <w:tc>
          <w:tcPr>
            <w:tcW w:w="2040" w:type="dxa"/>
            <w:vAlign w:val="bottom"/>
            <w:shd w:val="clear" w:color="auto" w:fill="E4E6EF"/>
          </w:tcPr>
          <w:p>
            <w:pPr>
              <w:ind w:left="60"/>
              <w:spacing w:after="0"/>
              <w:rPr>
                <w:sz w:val="20"/>
                <w:szCs w:val="20"/>
                <w:color w:val="auto"/>
              </w:rPr>
            </w:pPr>
            <w:r>
              <w:rPr>
                <w:rFonts w:ascii="Calibri" w:cs="Calibri" w:eastAsia="Calibri" w:hAnsi="Calibri"/>
                <w:sz w:val="17"/>
                <w:szCs w:val="17"/>
                <w:b w:val="1"/>
                <w:bCs w:val="1"/>
                <w:color w:val="002E6D"/>
              </w:rPr>
              <w:t>Atract, motvate and</w:t>
            </w:r>
          </w:p>
        </w:tc>
        <w:tc>
          <w:tcPr>
            <w:tcW w:w="200" w:type="dxa"/>
            <w:vAlign w:val="bottom"/>
          </w:tcPr>
          <w:p>
            <w:pPr>
              <w:spacing w:after="0"/>
              <w:rPr>
                <w:sz w:val="24"/>
                <w:szCs w:val="24"/>
                <w:color w:val="auto"/>
              </w:rPr>
            </w:pPr>
          </w:p>
        </w:tc>
        <w:tc>
          <w:tcPr>
            <w:tcW w:w="2100" w:type="dxa"/>
            <w:vAlign w:val="bottom"/>
            <w:shd w:val="clear" w:color="auto" w:fill="E4E6EF"/>
          </w:tcPr>
          <w:p>
            <w:pPr>
              <w:ind w:left="60"/>
              <w:spacing w:after="0"/>
              <w:rPr>
                <w:sz w:val="20"/>
                <w:szCs w:val="20"/>
                <w:color w:val="auto"/>
              </w:rPr>
            </w:pPr>
            <w:r>
              <w:rPr>
                <w:rFonts w:ascii="Calibri" w:cs="Calibri" w:eastAsia="Calibri" w:hAnsi="Calibri"/>
                <w:sz w:val="17"/>
                <w:szCs w:val="17"/>
                <w:b w:val="1"/>
                <w:bCs w:val="1"/>
                <w:color w:val="002E6D"/>
              </w:rPr>
              <w:t>Market-based 50</w:t>
            </w:r>
            <w:r>
              <w:rPr>
                <w:rFonts w:ascii="Calibri" w:cs="Calibri" w:eastAsia="Calibri" w:hAnsi="Calibri"/>
                <w:sz w:val="22"/>
                <w:szCs w:val="22"/>
                <w:b w:val="1"/>
                <w:bCs w:val="1"/>
                <w:color w:val="002E6D"/>
                <w:vertAlign w:val="superscript"/>
              </w:rPr>
              <w:t>th</w:t>
            </w:r>
          </w:p>
        </w:tc>
        <w:tc>
          <w:tcPr>
            <w:tcW w:w="200" w:type="dxa"/>
            <w:vAlign w:val="bottom"/>
          </w:tcPr>
          <w:p>
            <w:pPr>
              <w:spacing w:after="0"/>
              <w:rPr>
                <w:sz w:val="24"/>
                <w:szCs w:val="24"/>
                <w:color w:val="auto"/>
              </w:rPr>
            </w:pPr>
          </w:p>
        </w:tc>
        <w:tc>
          <w:tcPr>
            <w:tcW w:w="2100" w:type="dxa"/>
            <w:vAlign w:val="bottom"/>
            <w:shd w:val="clear" w:color="auto" w:fill="E4E6EF"/>
          </w:tcPr>
          <w:p>
            <w:pPr>
              <w:ind w:left="60"/>
              <w:spacing w:after="0"/>
              <w:rPr>
                <w:sz w:val="20"/>
                <w:szCs w:val="20"/>
                <w:color w:val="auto"/>
              </w:rPr>
            </w:pPr>
            <w:r>
              <w:rPr>
                <w:rFonts w:ascii="Calibri" w:cs="Calibri" w:eastAsia="Calibri" w:hAnsi="Calibri"/>
                <w:sz w:val="17"/>
                <w:szCs w:val="17"/>
                <w:b w:val="1"/>
                <w:bCs w:val="1"/>
                <w:color w:val="002E6D"/>
              </w:rPr>
              <w:t xml:space="preserve">Link executve pay </w:t>
            </w:r>
            <w:r>
              <w:rPr>
                <w:rFonts w:ascii="Calibri" w:cs="Calibri" w:eastAsia="Calibri" w:hAnsi="Calibri"/>
                <w:sz w:val="17"/>
                <w:szCs w:val="17"/>
                <w:color w:val="000000"/>
              </w:rPr>
              <w:t>to</w:t>
            </w:r>
          </w:p>
        </w:tc>
        <w:tc>
          <w:tcPr>
            <w:tcW w:w="200" w:type="dxa"/>
            <w:vAlign w:val="bottom"/>
          </w:tcPr>
          <w:p>
            <w:pPr>
              <w:spacing w:after="0"/>
              <w:rPr>
                <w:sz w:val="24"/>
                <w:szCs w:val="24"/>
                <w:color w:val="auto"/>
              </w:rPr>
            </w:pPr>
          </w:p>
        </w:tc>
        <w:tc>
          <w:tcPr>
            <w:tcW w:w="2100" w:type="dxa"/>
            <w:vAlign w:val="bottom"/>
            <w:shd w:val="clear" w:color="auto" w:fill="E4E6EF"/>
          </w:tcPr>
          <w:p>
            <w:pPr>
              <w:ind w:left="60"/>
              <w:spacing w:after="0"/>
              <w:rPr>
                <w:sz w:val="20"/>
                <w:szCs w:val="20"/>
                <w:color w:val="auto"/>
              </w:rPr>
            </w:pPr>
            <w:r>
              <w:rPr>
                <w:rFonts w:ascii="Calibri" w:cs="Calibri" w:eastAsia="Calibri" w:hAnsi="Calibri"/>
                <w:sz w:val="17"/>
                <w:szCs w:val="17"/>
                <w:b w:val="1"/>
                <w:bCs w:val="1"/>
                <w:color w:val="002E6D"/>
              </w:rPr>
              <w:t>Provide an appropriate mix</w:t>
            </w:r>
          </w:p>
        </w:tc>
      </w:tr>
      <w:tr>
        <w:trPr>
          <w:trHeight w:val="204"/>
        </w:trPr>
        <w:tc>
          <w:tcPr>
            <w:tcW w:w="2040" w:type="dxa"/>
            <w:vAlign w:val="bottom"/>
            <w:shd w:val="clear" w:color="auto" w:fill="E4E6EF"/>
          </w:tcPr>
          <w:p>
            <w:pPr>
              <w:ind w:left="60"/>
              <w:spacing w:after="0" w:line="205" w:lineRule="exact"/>
              <w:rPr>
                <w:sz w:val="20"/>
                <w:szCs w:val="20"/>
                <w:color w:val="auto"/>
              </w:rPr>
            </w:pPr>
            <w:r>
              <w:rPr>
                <w:rFonts w:ascii="Calibri" w:cs="Calibri" w:eastAsia="Calibri" w:hAnsi="Calibri"/>
                <w:sz w:val="17"/>
                <w:szCs w:val="17"/>
                <w:b w:val="1"/>
                <w:bCs w:val="1"/>
                <w:color w:val="002E6D"/>
              </w:rPr>
              <w:t xml:space="preserve">retain </w:t>
            </w:r>
            <w:r>
              <w:rPr>
                <w:rFonts w:ascii="Calibri" w:cs="Calibri" w:eastAsia="Calibri" w:hAnsi="Calibri"/>
                <w:sz w:val="17"/>
                <w:szCs w:val="17"/>
                <w:color w:val="000000"/>
              </w:rPr>
              <w:t>executve talent</w:t>
            </w:r>
          </w:p>
        </w:tc>
        <w:tc>
          <w:tcPr>
            <w:tcW w:w="200" w:type="dxa"/>
            <w:vAlign w:val="bottom"/>
          </w:tcPr>
          <w:p>
            <w:pPr>
              <w:spacing w:after="0"/>
              <w:rPr>
                <w:sz w:val="17"/>
                <w:szCs w:val="17"/>
                <w:color w:val="auto"/>
              </w:rPr>
            </w:pPr>
          </w:p>
        </w:tc>
        <w:tc>
          <w:tcPr>
            <w:tcW w:w="2100" w:type="dxa"/>
            <w:vAlign w:val="bottom"/>
            <w:shd w:val="clear" w:color="auto" w:fill="E4E6EF"/>
          </w:tcPr>
          <w:p>
            <w:pPr>
              <w:ind w:left="60"/>
              <w:spacing w:after="0" w:line="205" w:lineRule="exact"/>
              <w:rPr>
                <w:sz w:val="20"/>
                <w:szCs w:val="20"/>
                <w:color w:val="auto"/>
              </w:rPr>
            </w:pPr>
            <w:r>
              <w:rPr>
                <w:rFonts w:ascii="Calibri" w:cs="Calibri" w:eastAsia="Calibri" w:hAnsi="Calibri"/>
                <w:sz w:val="17"/>
                <w:szCs w:val="17"/>
                <w:b w:val="1"/>
                <w:bCs w:val="1"/>
                <w:color w:val="002E6D"/>
              </w:rPr>
              <w:t xml:space="preserve">percentle approach </w:t>
            </w:r>
            <w:r>
              <w:rPr>
                <w:rFonts w:ascii="Calibri" w:cs="Calibri" w:eastAsia="Calibri" w:hAnsi="Calibri"/>
                <w:sz w:val="17"/>
                <w:szCs w:val="17"/>
                <w:color w:val="000000"/>
              </w:rPr>
              <w:t>on</w:t>
            </w:r>
          </w:p>
        </w:tc>
        <w:tc>
          <w:tcPr>
            <w:tcW w:w="200" w:type="dxa"/>
            <w:vAlign w:val="bottom"/>
          </w:tcPr>
          <w:p>
            <w:pPr>
              <w:spacing w:after="0"/>
              <w:rPr>
                <w:sz w:val="17"/>
                <w:szCs w:val="17"/>
                <w:color w:val="auto"/>
              </w:rPr>
            </w:pPr>
          </w:p>
        </w:tc>
        <w:tc>
          <w:tcPr>
            <w:tcW w:w="2100" w:type="dxa"/>
            <w:vAlign w:val="bottom"/>
            <w:shd w:val="clear" w:color="auto" w:fill="E4E6EF"/>
          </w:tcPr>
          <w:p>
            <w:pPr>
              <w:ind w:left="60"/>
              <w:spacing w:after="0" w:line="205" w:lineRule="exact"/>
              <w:rPr>
                <w:sz w:val="20"/>
                <w:szCs w:val="20"/>
                <w:color w:val="auto"/>
              </w:rPr>
            </w:pPr>
            <w:r>
              <w:rPr>
                <w:rFonts w:ascii="Calibri" w:cs="Calibri" w:eastAsia="Calibri" w:hAnsi="Calibri"/>
                <w:sz w:val="17"/>
                <w:szCs w:val="17"/>
                <w:color w:val="auto"/>
              </w:rPr>
              <w:t>Company performance</w:t>
            </w:r>
          </w:p>
        </w:tc>
        <w:tc>
          <w:tcPr>
            <w:tcW w:w="200" w:type="dxa"/>
            <w:vAlign w:val="bottom"/>
          </w:tcPr>
          <w:p>
            <w:pPr>
              <w:spacing w:after="0"/>
              <w:rPr>
                <w:sz w:val="17"/>
                <w:szCs w:val="17"/>
                <w:color w:val="auto"/>
              </w:rPr>
            </w:pPr>
          </w:p>
        </w:tc>
        <w:tc>
          <w:tcPr>
            <w:tcW w:w="2100" w:type="dxa"/>
            <w:vAlign w:val="bottom"/>
            <w:shd w:val="clear" w:color="auto" w:fill="E4E6EF"/>
          </w:tcPr>
          <w:p>
            <w:pPr>
              <w:ind w:left="60"/>
              <w:spacing w:after="0" w:line="205" w:lineRule="exact"/>
              <w:rPr>
                <w:sz w:val="20"/>
                <w:szCs w:val="20"/>
                <w:color w:val="auto"/>
              </w:rPr>
            </w:pPr>
            <w:r>
              <w:rPr>
                <w:rFonts w:ascii="Calibri" w:cs="Calibri" w:eastAsia="Calibri" w:hAnsi="Calibri"/>
                <w:sz w:val="17"/>
                <w:szCs w:val="17"/>
                <w:color w:val="auto"/>
              </w:rPr>
              <w:t>of short-term vs. long-term</w:t>
            </w:r>
          </w:p>
        </w:tc>
      </w:tr>
      <w:tr>
        <w:trPr>
          <w:trHeight w:val="216"/>
        </w:trPr>
        <w:tc>
          <w:tcPr>
            <w:tcW w:w="2040" w:type="dxa"/>
            <w:vAlign w:val="bottom"/>
            <w:shd w:val="clear" w:color="auto" w:fill="E4E6EF"/>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shd w:val="clear" w:color="auto" w:fill="E4E6EF"/>
          </w:tcPr>
          <w:p>
            <w:pPr>
              <w:ind w:left="60"/>
              <w:spacing w:after="0"/>
              <w:rPr>
                <w:sz w:val="20"/>
                <w:szCs w:val="20"/>
                <w:color w:val="auto"/>
              </w:rPr>
            </w:pPr>
            <w:r>
              <w:rPr>
                <w:rFonts w:ascii="Calibri" w:cs="Calibri" w:eastAsia="Calibri" w:hAnsi="Calibri"/>
                <w:sz w:val="17"/>
                <w:szCs w:val="17"/>
                <w:color w:val="auto"/>
              </w:rPr>
              <w:t>target total compensaton</w:t>
            </w:r>
          </w:p>
        </w:tc>
        <w:tc>
          <w:tcPr>
            <w:tcW w:w="200" w:type="dxa"/>
            <w:vAlign w:val="bottom"/>
          </w:tcPr>
          <w:p>
            <w:pPr>
              <w:spacing w:after="0"/>
              <w:rPr>
                <w:sz w:val="18"/>
                <w:szCs w:val="18"/>
                <w:color w:val="auto"/>
              </w:rPr>
            </w:pPr>
          </w:p>
        </w:tc>
        <w:tc>
          <w:tcPr>
            <w:tcW w:w="2100" w:type="dxa"/>
            <w:vAlign w:val="bottom"/>
            <w:shd w:val="clear" w:color="auto" w:fill="E4E6EF"/>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shd w:val="clear" w:color="auto" w:fill="E4E6EF"/>
          </w:tcPr>
          <w:p>
            <w:pPr>
              <w:ind w:left="60"/>
              <w:spacing w:after="0"/>
              <w:rPr>
                <w:sz w:val="20"/>
                <w:szCs w:val="20"/>
                <w:color w:val="auto"/>
              </w:rPr>
            </w:pPr>
            <w:r>
              <w:rPr>
                <w:rFonts w:ascii="Calibri" w:cs="Calibri" w:eastAsia="Calibri" w:hAnsi="Calibri"/>
                <w:sz w:val="17"/>
                <w:szCs w:val="17"/>
                <w:color w:val="auto"/>
              </w:rPr>
              <w:t>pay and fxed vs. variable</w:t>
            </w:r>
          </w:p>
        </w:tc>
      </w:tr>
      <w:tr>
        <w:trPr>
          <w:trHeight w:val="230"/>
        </w:trPr>
        <w:tc>
          <w:tcPr>
            <w:tcW w:w="2040" w:type="dxa"/>
            <w:vAlign w:val="bottom"/>
            <w:shd w:val="clear" w:color="auto" w:fill="E4E6EF"/>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shd w:val="clear" w:color="auto" w:fill="E4E6EF"/>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shd w:val="clear" w:color="auto" w:fill="E4E6EF"/>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shd w:val="clear" w:color="auto" w:fill="E4E6EF"/>
          </w:tcPr>
          <w:p>
            <w:pPr>
              <w:ind w:left="60"/>
              <w:spacing w:after="0"/>
              <w:rPr>
                <w:sz w:val="20"/>
                <w:szCs w:val="20"/>
                <w:color w:val="auto"/>
              </w:rPr>
            </w:pPr>
            <w:r>
              <w:rPr>
                <w:rFonts w:ascii="Calibri" w:cs="Calibri" w:eastAsia="Calibri" w:hAnsi="Calibri"/>
                <w:sz w:val="17"/>
                <w:szCs w:val="17"/>
                <w:color w:val="auto"/>
              </w:rPr>
              <w:t>pay</w:t>
            </w:r>
          </w:p>
        </w:tc>
      </w:tr>
      <w:tr>
        <w:trPr>
          <w:trHeight w:val="120"/>
        </w:trPr>
        <w:tc>
          <w:tcPr>
            <w:tcW w:w="2040" w:type="dxa"/>
            <w:vAlign w:val="bottom"/>
            <w:shd w:val="clear" w:color="auto" w:fill="E4E6EF"/>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shd w:val="clear" w:color="auto" w:fill="E4E6EF"/>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shd w:val="clear" w:color="auto" w:fill="E4E6EF"/>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shd w:val="clear" w:color="auto" w:fill="E4E6EF"/>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right="380"/>
        <w:spacing w:after="0" w:line="247" w:lineRule="auto"/>
        <w:rPr>
          <w:sz w:val="20"/>
          <w:szCs w:val="20"/>
          <w:color w:val="auto"/>
        </w:rPr>
      </w:pPr>
      <w:r>
        <w:rPr>
          <w:rFonts w:ascii="Calibri" w:cs="Calibri" w:eastAsia="Calibri" w:hAnsi="Calibri"/>
          <w:sz w:val="17"/>
          <w:szCs w:val="17"/>
          <w:b w:val="1"/>
          <w:bCs w:val="1"/>
          <w:color w:val="002E6D"/>
        </w:rPr>
        <w:t xml:space="preserve">Align </w:t>
      </w:r>
      <w:r>
        <w:rPr>
          <w:rFonts w:ascii="Calibri" w:cs="Calibri" w:eastAsia="Calibri" w:hAnsi="Calibri"/>
          <w:sz w:val="17"/>
          <w:szCs w:val="17"/>
          <w:color w:val="000000"/>
        </w:rPr>
        <w:t>to stockholder</w:t>
      </w:r>
      <w:r>
        <w:rPr>
          <w:rFonts w:ascii="Calibri" w:cs="Calibri" w:eastAsia="Calibri" w:hAnsi="Calibri"/>
          <w:sz w:val="17"/>
          <w:szCs w:val="17"/>
          <w:b w:val="1"/>
          <w:bCs w:val="1"/>
          <w:color w:val="002E6D"/>
        </w:rPr>
        <w:t xml:space="preserve"> </w:t>
      </w:r>
      <w:r>
        <w:rPr>
          <w:rFonts w:ascii="Calibri" w:cs="Calibri" w:eastAsia="Calibri" w:hAnsi="Calibri"/>
          <w:sz w:val="17"/>
          <w:szCs w:val="17"/>
          <w:color w:val="000000"/>
        </w:rPr>
        <w:t>interests and long-term Company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-448945</wp:posOffset>
            </wp:positionV>
            <wp:extent cx="1337310" cy="6686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37310" cy="668655"/>
                    </a:xfrm>
                    <a:prstGeom prst="rect">
                      <a:avLst/>
                    </a:prstGeom>
                    <a:noFill/>
                  </pic:spPr>
                </pic:pic>
              </a:graphicData>
            </a:graphic>
          </wp:anchor>
        </w:drawing>
      </w:r>
    </w:p>
    <w:p>
      <w:pPr>
        <w:spacing w:after="0" w:line="516" w:lineRule="exact"/>
        <w:rPr>
          <w:sz w:val="20"/>
          <w:szCs w:val="20"/>
          <w:color w:val="auto"/>
        </w:rPr>
      </w:pPr>
    </w:p>
    <w:p>
      <w:pPr>
        <w:sectPr>
          <w:pgSz w:w="11900" w:h="16838" w:orient="portrait"/>
          <w:cols w:equalWidth="0" w:num="2">
            <w:col w:w="8940" w:space="260"/>
            <w:col w:w="2040"/>
          </w:cols>
          <w:pgMar w:left="320" w:top="231" w:right="339" w:bottom="1440" w:gutter="0" w:footer="0" w:header="0"/>
          <w:type w:val="continuous"/>
        </w:sectPr>
      </w:pPr>
    </w:p>
    <w:p>
      <w:pPr>
        <w:spacing w:after="0"/>
        <w:rPr>
          <w:sz w:val="20"/>
          <w:szCs w:val="20"/>
          <w:color w:val="auto"/>
        </w:rPr>
      </w:pPr>
      <w:r>
        <w:rPr>
          <w:rFonts w:ascii="Calibri" w:cs="Calibri" w:eastAsia="Calibri" w:hAnsi="Calibri"/>
          <w:sz w:val="17"/>
          <w:szCs w:val="17"/>
          <w:color w:val="auto"/>
        </w:rPr>
        <w:t>The compensaton best practces described on page 4 also guide and shape our compensaton approach.</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818EB4"/>
        </w:rPr>
        <w:t>Our Decision-Making Process</w:t>
      </w:r>
    </w:p>
    <w:p>
      <w:pPr>
        <w:spacing w:after="0" w:line="111" w:lineRule="exact"/>
        <w:rPr>
          <w:sz w:val="20"/>
          <w:szCs w:val="20"/>
          <w:color w:val="auto"/>
        </w:rPr>
      </w:pPr>
    </w:p>
    <w:p>
      <w:pPr>
        <w:ind w:right="240"/>
        <w:spacing w:after="0" w:line="255" w:lineRule="auto"/>
        <w:rPr>
          <w:sz w:val="20"/>
          <w:szCs w:val="20"/>
          <w:color w:val="auto"/>
        </w:rPr>
      </w:pPr>
      <w:r>
        <w:rPr>
          <w:rFonts w:ascii="Calibri" w:cs="Calibri" w:eastAsia="Calibri" w:hAnsi="Calibri"/>
          <w:sz w:val="17"/>
          <w:szCs w:val="17"/>
          <w:color w:val="auto"/>
        </w:rPr>
        <w:t>The Compensaton Commitee seeks input from our CEO and other members of our management team as well as input and advice from an independent compensaton consultant to ensure the Company’s compensaton philosophy and informaton relevant to individual compensaton decisions are taken into account. Mr. Taiclet did not partcipate in the Board’s or the Compensaton Commitee’s deliberatons on his compensaton.</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818EB4"/>
        </w:rPr>
        <w:t>Independent Pay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913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9133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ind w:left="840"/>
        <w:spacing w:after="0" w:line="301" w:lineRule="auto"/>
        <w:rPr>
          <w:sz w:val="20"/>
          <w:szCs w:val="20"/>
          <w:color w:val="auto"/>
        </w:rPr>
      </w:pPr>
      <w:r>
        <w:rPr>
          <w:rFonts w:ascii="Arial" w:cs="Arial" w:eastAsia="Arial" w:hAnsi="Arial"/>
          <w:sz w:val="17"/>
          <w:szCs w:val="17"/>
          <w:color w:val="003478"/>
        </w:rPr>
        <w:t>INDEPENDENT BOARD MEMBERS</w:t>
      </w:r>
    </w:p>
    <w:p>
      <w:pPr>
        <w:spacing w:after="0" w:line="301" w:lineRule="exact"/>
        <w:rPr>
          <w:sz w:val="20"/>
          <w:szCs w:val="20"/>
          <w:color w:val="auto"/>
        </w:rPr>
      </w:pPr>
    </w:p>
    <w:p>
      <w:pPr>
        <w:ind w:left="120"/>
        <w:spacing w:after="0" w:line="256" w:lineRule="auto"/>
        <w:rPr>
          <w:sz w:val="20"/>
          <w:szCs w:val="20"/>
          <w:color w:val="auto"/>
        </w:rPr>
      </w:pPr>
      <w:r>
        <w:rPr>
          <w:rFonts w:ascii="Calibri" w:cs="Calibri" w:eastAsia="Calibri" w:hAnsi="Calibri"/>
          <w:sz w:val="17"/>
          <w:szCs w:val="17"/>
          <w:color w:val="auto"/>
        </w:rPr>
        <w:t>Review and approve compensaton of the CEO and review and ratfy compensaton of other NEOs. Review with management, at least annually, the succession plan for the CEO and other senior positons.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left="740"/>
        <w:spacing w:after="0"/>
        <w:rPr>
          <w:sz w:val="20"/>
          <w:szCs w:val="20"/>
          <w:color w:val="auto"/>
        </w:rPr>
      </w:pPr>
      <w:r>
        <w:rPr>
          <w:rFonts w:ascii="Arial" w:cs="Arial" w:eastAsia="Arial" w:hAnsi="Arial"/>
          <w:sz w:val="17"/>
          <w:szCs w:val="17"/>
          <w:color w:val="003478"/>
        </w:rPr>
        <w:t>INDEPENDENT</w:t>
      </w:r>
    </w:p>
    <w:p>
      <w:pPr>
        <w:spacing w:after="0" w:line="29" w:lineRule="exact"/>
        <w:rPr>
          <w:sz w:val="20"/>
          <w:szCs w:val="20"/>
          <w:color w:val="auto"/>
        </w:rPr>
      </w:pPr>
    </w:p>
    <w:p>
      <w:pPr>
        <w:ind w:left="740"/>
        <w:spacing w:after="0"/>
        <w:rPr>
          <w:sz w:val="20"/>
          <w:szCs w:val="20"/>
          <w:color w:val="auto"/>
        </w:rPr>
      </w:pPr>
      <w:r>
        <w:rPr>
          <w:rFonts w:ascii="Arial" w:cs="Arial" w:eastAsia="Arial" w:hAnsi="Arial"/>
          <w:sz w:val="17"/>
          <w:szCs w:val="17"/>
          <w:color w:val="003478"/>
        </w:rPr>
        <w:t>COMPENSATION</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003478"/>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128270</wp:posOffset>
            </wp:positionV>
            <wp:extent cx="1619885" cy="1054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619885" cy="1054100"/>
                    </a:xfrm>
                    <a:prstGeom prst="rect">
                      <a:avLst/>
                    </a:prstGeom>
                    <a:noFill/>
                  </pic:spPr>
                </pic:pic>
              </a:graphicData>
            </a:graphic>
          </wp:anchor>
        </w:drawing>
      </w:r>
    </w:p>
    <w:p>
      <w:pPr>
        <w:spacing w:after="0" w:line="196" w:lineRule="exact"/>
        <w:rPr>
          <w:sz w:val="20"/>
          <w:szCs w:val="20"/>
          <w:color w:val="auto"/>
        </w:rPr>
      </w:pPr>
    </w:p>
    <w:p>
      <w:pPr>
        <w:spacing w:after="0" w:line="256" w:lineRule="auto"/>
        <w:rPr>
          <w:sz w:val="20"/>
          <w:szCs w:val="20"/>
          <w:color w:val="auto"/>
        </w:rPr>
      </w:pPr>
      <w:r>
        <w:rPr>
          <w:rFonts w:ascii="Calibri" w:cs="Calibri" w:eastAsia="Calibri" w:hAnsi="Calibri"/>
          <w:sz w:val="17"/>
          <w:szCs w:val="17"/>
          <w:color w:val="auto"/>
        </w:rPr>
        <w:t>Reviews and approves incentve goals relevant to NEO compensaton. Reviews and approves the compensaton for each NEO. Recommends CEO compensaton to the independent members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Arial" w:cs="Arial" w:eastAsia="Arial" w:hAnsi="Arial"/>
          <w:sz w:val="17"/>
          <w:szCs w:val="17"/>
          <w:color w:val="003478"/>
        </w:rPr>
        <w:t>INDEPENDENT</w:t>
      </w:r>
    </w:p>
    <w:p>
      <w:pPr>
        <w:spacing w:after="0" w:line="29" w:lineRule="exact"/>
        <w:rPr>
          <w:sz w:val="20"/>
          <w:szCs w:val="20"/>
          <w:color w:val="auto"/>
        </w:rPr>
      </w:pPr>
    </w:p>
    <w:p>
      <w:pPr>
        <w:ind w:left="740"/>
        <w:spacing w:after="0"/>
        <w:rPr>
          <w:sz w:val="20"/>
          <w:szCs w:val="20"/>
          <w:color w:val="auto"/>
        </w:rPr>
      </w:pPr>
      <w:r>
        <w:rPr>
          <w:rFonts w:ascii="Arial" w:cs="Arial" w:eastAsia="Arial" w:hAnsi="Arial"/>
          <w:sz w:val="17"/>
          <w:szCs w:val="17"/>
          <w:color w:val="003478"/>
        </w:rPr>
        <w:t>COMPENSATION</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7"/>
          <w:szCs w:val="17"/>
          <w:color w:val="003478"/>
        </w:rPr>
        <w:t>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162560</wp:posOffset>
            </wp:positionV>
            <wp:extent cx="1637030" cy="1054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637030" cy="1054100"/>
                    </a:xfrm>
                    <a:prstGeom prst="rect">
                      <a:avLst/>
                    </a:prstGeom>
                    <a:noFill/>
                  </pic:spPr>
                </pic:pic>
              </a:graphicData>
            </a:graphic>
          </wp:anchor>
        </w:drawing>
      </w:r>
    </w:p>
    <w:p>
      <w:pPr>
        <w:spacing w:after="0" w:line="250" w:lineRule="exact"/>
        <w:rPr>
          <w:sz w:val="20"/>
          <w:szCs w:val="20"/>
          <w:color w:val="auto"/>
        </w:rPr>
      </w:pPr>
    </w:p>
    <w:p>
      <w:pPr>
        <w:spacing w:after="0" w:line="256" w:lineRule="auto"/>
        <w:rPr>
          <w:sz w:val="20"/>
          <w:szCs w:val="20"/>
          <w:color w:val="auto"/>
        </w:rPr>
      </w:pPr>
      <w:r>
        <w:rPr>
          <w:rFonts w:ascii="Calibri" w:cs="Calibri" w:eastAsia="Calibri" w:hAnsi="Calibri"/>
          <w:sz w:val="17"/>
          <w:szCs w:val="17"/>
          <w:color w:val="auto"/>
        </w:rPr>
        <w:t>Provides advice on executve pay programs, pay levels and best practces. Provides design advice on incentve vehicles and other compensaton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right"/>
        <w:ind w:right="240"/>
        <w:spacing w:after="0"/>
        <w:rPr>
          <w:sz w:val="20"/>
          <w:szCs w:val="20"/>
          <w:color w:val="auto"/>
        </w:rPr>
      </w:pPr>
      <w:r>
        <w:rPr>
          <w:rFonts w:ascii="Arial" w:cs="Arial" w:eastAsia="Arial" w:hAnsi="Arial"/>
          <w:sz w:val="17"/>
          <w:szCs w:val="17"/>
          <w:color w:val="003478"/>
        </w:rPr>
        <w:t>STOCKHOLDERS &amp;</w:t>
      </w:r>
    </w:p>
    <w:p>
      <w:pPr>
        <w:spacing w:after="0" w:line="29" w:lineRule="exact"/>
        <w:rPr>
          <w:sz w:val="20"/>
          <w:szCs w:val="20"/>
          <w:color w:val="auto"/>
        </w:rPr>
      </w:pPr>
    </w:p>
    <w:p>
      <w:pPr>
        <w:ind w:left="760"/>
        <w:spacing w:after="0"/>
        <w:rPr>
          <w:sz w:val="20"/>
          <w:szCs w:val="20"/>
          <w:color w:val="auto"/>
        </w:rPr>
      </w:pPr>
      <w:r>
        <w:rPr>
          <w:rFonts w:ascii="Arial" w:cs="Arial" w:eastAsia="Arial" w:hAnsi="Arial"/>
          <w:sz w:val="17"/>
          <w:szCs w:val="17"/>
          <w:color w:val="003478"/>
        </w:rPr>
        <w:t>OTHER KEY</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7"/>
          <w:szCs w:val="17"/>
          <w:color w:val="003478"/>
        </w:rPr>
        <w:t>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1645920" cy="1054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645920" cy="1054100"/>
                    </a:xfrm>
                    <a:prstGeom prst="rect">
                      <a:avLst/>
                    </a:prstGeom>
                    <a:noFill/>
                  </pic:spPr>
                </pic:pic>
              </a:graphicData>
            </a:graphic>
          </wp:anchor>
        </w:drawing>
      </w:r>
    </w:p>
    <w:p>
      <w:pPr>
        <w:spacing w:after="0" w:line="250" w:lineRule="exact"/>
        <w:rPr>
          <w:sz w:val="20"/>
          <w:szCs w:val="20"/>
          <w:color w:val="auto"/>
        </w:rPr>
      </w:pPr>
    </w:p>
    <w:p>
      <w:pPr>
        <w:ind w:right="300"/>
        <w:spacing w:after="0" w:line="256" w:lineRule="auto"/>
        <w:rPr>
          <w:sz w:val="20"/>
          <w:szCs w:val="20"/>
          <w:color w:val="auto"/>
        </w:rPr>
      </w:pPr>
      <w:r>
        <w:rPr>
          <w:rFonts w:ascii="Calibri" w:cs="Calibri" w:eastAsia="Calibri" w:hAnsi="Calibri"/>
          <w:sz w:val="17"/>
          <w:szCs w:val="17"/>
          <w:color w:val="auto"/>
        </w:rPr>
        <w:t>Provide feedback on various executve pay practces and governance during periodic meetngs with management, which then is reviewed by and discussed with our independent Board members.</w:t>
      </w:r>
    </w:p>
    <w:p>
      <w:pPr>
        <w:spacing w:after="0" w:line="200" w:lineRule="exact"/>
        <w:rPr>
          <w:sz w:val="20"/>
          <w:szCs w:val="20"/>
          <w:color w:val="auto"/>
        </w:rPr>
      </w:pPr>
    </w:p>
    <w:p>
      <w:pPr>
        <w:sectPr>
          <w:pgSz w:w="11900" w:h="16838" w:orient="portrait"/>
          <w:cols w:equalWidth="0" w:num="4">
            <w:col w:w="2360" w:space="580"/>
            <w:col w:w="2440" w:space="420"/>
            <w:col w:w="2320" w:space="540"/>
            <w:col w:w="2580"/>
          </w:cols>
          <w:pgMar w:left="320" w:top="231" w:right="339" w:bottom="1440" w:gutter="0" w:footer="0" w:header="0"/>
          <w:type w:val="continuous"/>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shd w:val="clear" w:color="auto" w:fill="E4E6EF"/>
          </w:tcPr>
          <w:p>
            <w:pPr>
              <w:spacing w:after="0"/>
              <w:rPr>
                <w:sz w:val="14"/>
                <w:szCs w:val="14"/>
                <w:color w:val="auto"/>
              </w:rPr>
            </w:pPr>
          </w:p>
        </w:tc>
        <w:tc>
          <w:tcPr>
            <w:tcW w:w="3220" w:type="dxa"/>
            <w:vAlign w:val="bottom"/>
            <w:shd w:val="clear" w:color="auto" w:fill="E4E6EF"/>
          </w:tcPr>
          <w:p>
            <w:pPr>
              <w:spacing w:after="0"/>
              <w:rPr>
                <w:sz w:val="14"/>
                <w:szCs w:val="14"/>
                <w:color w:val="auto"/>
              </w:rPr>
            </w:pPr>
          </w:p>
        </w:tc>
        <w:tc>
          <w:tcPr>
            <w:tcW w:w="1060" w:type="dxa"/>
            <w:vAlign w:val="bottom"/>
            <w:shd w:val="clear" w:color="auto" w:fill="E4E6EF"/>
          </w:tcPr>
          <w:p>
            <w:pPr>
              <w:spacing w:after="0"/>
              <w:rPr>
                <w:sz w:val="14"/>
                <w:szCs w:val="14"/>
                <w:color w:val="auto"/>
              </w:rPr>
            </w:pPr>
          </w:p>
        </w:tc>
        <w:tc>
          <w:tcPr>
            <w:tcW w:w="1300" w:type="dxa"/>
            <w:vAlign w:val="bottom"/>
            <w:shd w:val="clear" w:color="auto" w:fill="E4E6EF"/>
          </w:tcPr>
          <w:p>
            <w:pPr>
              <w:spacing w:after="0"/>
              <w:rPr>
                <w:sz w:val="14"/>
                <w:szCs w:val="14"/>
                <w:color w:val="auto"/>
              </w:rPr>
            </w:pPr>
          </w:p>
        </w:tc>
        <w:tc>
          <w:tcPr>
            <w:tcW w:w="1320" w:type="dxa"/>
            <w:vAlign w:val="bottom"/>
            <w:shd w:val="clear" w:color="auto" w:fill="E4E6EF"/>
          </w:tcPr>
          <w:p>
            <w:pPr>
              <w:ind w:left="260"/>
              <w:spacing w:after="0"/>
              <w:rPr>
                <w:sz w:val="20"/>
                <w:szCs w:val="20"/>
                <w:color w:val="auto"/>
              </w:rPr>
            </w:pPr>
            <w:r>
              <w:rPr>
                <w:rFonts w:ascii="Arial" w:cs="Arial" w:eastAsia="Arial" w:hAnsi="Arial"/>
                <w:sz w:val="13"/>
                <w:szCs w:val="13"/>
                <w:color w:val="auto"/>
              </w:rPr>
              <w:t>Management</w:t>
            </w:r>
          </w:p>
        </w:tc>
        <w:tc>
          <w:tcPr>
            <w:tcW w:w="1320" w:type="dxa"/>
            <w:vAlign w:val="bottom"/>
            <w:shd w:val="clear" w:color="auto" w:fill="E4E6EF"/>
          </w:tcPr>
          <w:p>
            <w:pPr>
              <w:ind w:left="240"/>
              <w:spacing w:after="0"/>
              <w:rPr>
                <w:sz w:val="20"/>
                <w:szCs w:val="20"/>
                <w:color w:val="auto"/>
              </w:rPr>
            </w:pPr>
            <w:r>
              <w:rPr>
                <w:rFonts w:ascii="Arial" w:cs="Arial" w:eastAsia="Arial" w:hAnsi="Arial"/>
                <w:sz w:val="13"/>
                <w:szCs w:val="13"/>
                <w:color w:val="auto"/>
              </w:rPr>
              <w:t>Independent</w:t>
            </w:r>
          </w:p>
        </w:tc>
        <w:tc>
          <w:tcPr>
            <w:tcW w:w="1300" w:type="dxa"/>
            <w:vAlign w:val="bottom"/>
            <w:shd w:val="clear" w:color="auto" w:fill="E4E6EF"/>
          </w:tcPr>
          <w:p>
            <w:pPr>
              <w:ind w:left="240"/>
              <w:spacing w:after="0"/>
              <w:rPr>
                <w:sz w:val="20"/>
                <w:szCs w:val="20"/>
                <w:color w:val="auto"/>
              </w:rPr>
            </w:pPr>
            <w:r>
              <w:rPr>
                <w:rFonts w:ascii="Arial" w:cs="Arial" w:eastAsia="Arial" w:hAnsi="Arial"/>
                <w:sz w:val="13"/>
                <w:szCs w:val="13"/>
                <w:color w:val="auto"/>
              </w:rPr>
              <w:t>Independent</w:t>
            </w:r>
          </w:p>
        </w:tc>
        <w:tc>
          <w:tcPr>
            <w:tcW w:w="1540" w:type="dxa"/>
            <w:vAlign w:val="bottom"/>
            <w:shd w:val="clear" w:color="auto" w:fill="E4E6E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E4E6EF"/>
          </w:tcPr>
          <w:p>
            <w:pPr>
              <w:spacing w:after="0"/>
              <w:rPr>
                <w:sz w:val="12"/>
                <w:szCs w:val="12"/>
                <w:color w:val="auto"/>
              </w:rPr>
            </w:pPr>
          </w:p>
        </w:tc>
        <w:tc>
          <w:tcPr>
            <w:tcW w:w="3220" w:type="dxa"/>
            <w:vAlign w:val="bottom"/>
            <w:shd w:val="clear" w:color="auto" w:fill="E4E6EF"/>
          </w:tcPr>
          <w:p>
            <w:pPr>
              <w:spacing w:after="0"/>
              <w:rPr>
                <w:sz w:val="12"/>
                <w:szCs w:val="12"/>
                <w:color w:val="auto"/>
              </w:rPr>
            </w:pPr>
          </w:p>
        </w:tc>
        <w:tc>
          <w:tcPr>
            <w:tcW w:w="1060" w:type="dxa"/>
            <w:vAlign w:val="bottom"/>
            <w:shd w:val="clear" w:color="auto" w:fill="E4E6EF"/>
          </w:tcPr>
          <w:p>
            <w:pPr>
              <w:spacing w:after="0"/>
              <w:rPr>
                <w:sz w:val="12"/>
                <w:szCs w:val="12"/>
                <w:color w:val="auto"/>
              </w:rPr>
            </w:pPr>
          </w:p>
        </w:tc>
        <w:tc>
          <w:tcPr>
            <w:tcW w:w="1300" w:type="dxa"/>
            <w:vAlign w:val="bottom"/>
            <w:shd w:val="clear" w:color="auto" w:fill="E4E6EF"/>
          </w:tcPr>
          <w:p>
            <w:pPr>
              <w:spacing w:after="0"/>
              <w:rPr>
                <w:sz w:val="12"/>
                <w:szCs w:val="12"/>
                <w:color w:val="auto"/>
              </w:rPr>
            </w:pPr>
          </w:p>
        </w:tc>
        <w:tc>
          <w:tcPr>
            <w:tcW w:w="1320" w:type="dxa"/>
            <w:vAlign w:val="bottom"/>
            <w:shd w:val="clear" w:color="auto" w:fill="E4E6EF"/>
          </w:tcPr>
          <w:p>
            <w:pPr>
              <w:ind w:left="260"/>
              <w:spacing w:after="0"/>
              <w:rPr>
                <w:sz w:val="20"/>
                <w:szCs w:val="20"/>
                <w:color w:val="auto"/>
              </w:rPr>
            </w:pPr>
            <w:r>
              <w:rPr>
                <w:rFonts w:ascii="Arial" w:cs="Arial" w:eastAsia="Arial" w:hAnsi="Arial"/>
                <w:sz w:val="13"/>
                <w:szCs w:val="13"/>
                <w:color w:val="auto"/>
              </w:rPr>
              <w:t>Compensation</w:t>
            </w:r>
          </w:p>
        </w:tc>
        <w:tc>
          <w:tcPr>
            <w:tcW w:w="1320" w:type="dxa"/>
            <w:vAlign w:val="bottom"/>
            <w:shd w:val="clear" w:color="auto" w:fill="E4E6EF"/>
          </w:tcPr>
          <w:p>
            <w:pPr>
              <w:ind w:left="240"/>
              <w:spacing w:after="0"/>
              <w:rPr>
                <w:sz w:val="20"/>
                <w:szCs w:val="20"/>
                <w:color w:val="auto"/>
              </w:rPr>
            </w:pPr>
            <w:r>
              <w:rPr>
                <w:rFonts w:ascii="Arial" w:cs="Arial" w:eastAsia="Arial" w:hAnsi="Arial"/>
                <w:sz w:val="13"/>
                <w:szCs w:val="13"/>
                <w:color w:val="auto"/>
              </w:rPr>
              <w:t>Compensation</w:t>
            </w:r>
          </w:p>
        </w:tc>
        <w:tc>
          <w:tcPr>
            <w:tcW w:w="1300" w:type="dxa"/>
            <w:vAlign w:val="bottom"/>
            <w:shd w:val="clear" w:color="auto" w:fill="E4E6EF"/>
          </w:tcPr>
          <w:p>
            <w:pPr>
              <w:ind w:left="240"/>
              <w:spacing w:after="0"/>
              <w:rPr>
                <w:sz w:val="20"/>
                <w:szCs w:val="20"/>
                <w:color w:val="auto"/>
              </w:rPr>
            </w:pPr>
            <w:r>
              <w:rPr>
                <w:rFonts w:ascii="Arial" w:cs="Arial" w:eastAsia="Arial" w:hAnsi="Arial"/>
                <w:sz w:val="13"/>
                <w:szCs w:val="13"/>
                <w:color w:val="auto"/>
              </w:rPr>
              <w:t>Compensation</w:t>
            </w:r>
          </w:p>
        </w:tc>
        <w:tc>
          <w:tcPr>
            <w:tcW w:w="1540" w:type="dxa"/>
            <w:vAlign w:val="bottom"/>
            <w:shd w:val="clear" w:color="auto" w:fill="E4E6EF"/>
          </w:tcPr>
          <w:p>
            <w:pPr>
              <w:ind w:left="240"/>
              <w:spacing w:after="0"/>
              <w:rPr>
                <w:sz w:val="20"/>
                <w:szCs w:val="20"/>
                <w:color w:val="auto"/>
              </w:rPr>
            </w:pPr>
            <w:r>
              <w:rPr>
                <w:rFonts w:ascii="Arial" w:cs="Arial" w:eastAsia="Arial" w:hAnsi="Arial"/>
                <w:sz w:val="13"/>
                <w:szCs w:val="13"/>
                <w:color w:val="auto"/>
              </w:rPr>
              <w:t>Independent Board</w:t>
            </w:r>
          </w:p>
        </w:tc>
        <w:tc>
          <w:tcPr>
            <w:tcW w:w="0" w:type="dxa"/>
            <w:vAlign w:val="bottom"/>
          </w:tcPr>
          <w:p>
            <w:pPr>
              <w:spacing w:after="0"/>
              <w:rPr>
                <w:sz w:val="1"/>
                <w:szCs w:val="1"/>
                <w:color w:val="auto"/>
              </w:rPr>
            </w:pPr>
          </w:p>
        </w:tc>
      </w:tr>
      <w:tr>
        <w:trPr>
          <w:trHeight w:val="193"/>
        </w:trPr>
        <w:tc>
          <w:tcPr>
            <w:tcW w:w="3400" w:type="dxa"/>
            <w:vAlign w:val="bottom"/>
            <w:tcBorders>
              <w:bottom w:val="single" w:sz="8" w:color="003478"/>
            </w:tcBorders>
            <w:gridSpan w:val="2"/>
            <w:shd w:val="clear" w:color="auto" w:fill="E4E6EF"/>
          </w:tcPr>
          <w:p>
            <w:pPr>
              <w:ind w:left="20"/>
              <w:spacing w:after="0"/>
              <w:rPr>
                <w:sz w:val="20"/>
                <w:szCs w:val="20"/>
                <w:color w:val="auto"/>
              </w:rPr>
            </w:pPr>
            <w:r>
              <w:rPr>
                <w:rFonts w:ascii="Arial" w:cs="Arial" w:eastAsia="Arial" w:hAnsi="Arial"/>
                <w:sz w:val="13"/>
                <w:szCs w:val="13"/>
                <w:color w:val="auto"/>
              </w:rPr>
              <w:t>Role</w:t>
            </w:r>
          </w:p>
        </w:tc>
        <w:tc>
          <w:tcPr>
            <w:tcW w:w="1060" w:type="dxa"/>
            <w:vAlign w:val="bottom"/>
            <w:tcBorders>
              <w:bottom w:val="single" w:sz="8" w:color="003478"/>
            </w:tcBorders>
            <w:shd w:val="clear" w:color="auto" w:fill="E4E6EF"/>
          </w:tcPr>
          <w:p>
            <w:pPr>
              <w:ind w:left="80"/>
              <w:spacing w:after="0"/>
              <w:rPr>
                <w:sz w:val="20"/>
                <w:szCs w:val="20"/>
                <w:color w:val="auto"/>
              </w:rPr>
            </w:pPr>
            <w:r>
              <w:rPr>
                <w:rFonts w:ascii="Arial" w:cs="Arial" w:eastAsia="Arial" w:hAnsi="Arial"/>
                <w:sz w:val="13"/>
                <w:szCs w:val="13"/>
                <w:color w:val="auto"/>
              </w:rPr>
              <w:t>Management</w:t>
            </w:r>
          </w:p>
        </w:tc>
        <w:tc>
          <w:tcPr>
            <w:tcW w:w="1300" w:type="dxa"/>
            <w:vAlign w:val="bottom"/>
            <w:tcBorders>
              <w:bottom w:val="single" w:sz="8" w:color="003478"/>
            </w:tcBorders>
            <w:shd w:val="clear" w:color="auto" w:fill="E4E6EF"/>
          </w:tcPr>
          <w:p>
            <w:pPr>
              <w:ind w:left="260"/>
              <w:spacing w:after="0"/>
              <w:rPr>
                <w:sz w:val="20"/>
                <w:szCs w:val="20"/>
                <w:color w:val="auto"/>
              </w:rPr>
            </w:pPr>
            <w:r>
              <w:rPr>
                <w:rFonts w:ascii="Arial" w:cs="Arial" w:eastAsia="Arial" w:hAnsi="Arial"/>
                <w:sz w:val="13"/>
                <w:szCs w:val="13"/>
                <w:color w:val="auto"/>
              </w:rPr>
              <w:t>CEO</w:t>
            </w:r>
          </w:p>
        </w:tc>
        <w:tc>
          <w:tcPr>
            <w:tcW w:w="1320" w:type="dxa"/>
            <w:vAlign w:val="bottom"/>
            <w:tcBorders>
              <w:bottom w:val="single" w:sz="8" w:color="003478"/>
            </w:tcBorders>
            <w:shd w:val="clear" w:color="auto" w:fill="E4E6EF"/>
          </w:tcPr>
          <w:p>
            <w:pPr>
              <w:ind w:left="260"/>
              <w:spacing w:after="0"/>
              <w:rPr>
                <w:sz w:val="20"/>
                <w:szCs w:val="20"/>
                <w:color w:val="auto"/>
              </w:rPr>
            </w:pPr>
            <w:r>
              <w:rPr>
                <w:rFonts w:ascii="Arial" w:cs="Arial" w:eastAsia="Arial" w:hAnsi="Arial"/>
                <w:sz w:val="13"/>
                <w:szCs w:val="13"/>
                <w:color w:val="auto"/>
              </w:rPr>
              <w:t>Consultant</w:t>
            </w:r>
            <w:r>
              <w:rPr>
                <w:rFonts w:ascii="Arial" w:cs="Arial" w:eastAsia="Arial" w:hAnsi="Arial"/>
                <w:sz w:val="16"/>
                <w:szCs w:val="16"/>
                <w:color w:val="auto"/>
                <w:vertAlign w:val="superscript"/>
              </w:rPr>
              <w:t>(1)</w:t>
            </w:r>
          </w:p>
        </w:tc>
        <w:tc>
          <w:tcPr>
            <w:tcW w:w="1320" w:type="dxa"/>
            <w:vAlign w:val="bottom"/>
            <w:tcBorders>
              <w:bottom w:val="single" w:sz="8" w:color="003478"/>
            </w:tcBorders>
            <w:shd w:val="clear" w:color="auto" w:fill="E4E6EF"/>
          </w:tcPr>
          <w:p>
            <w:pPr>
              <w:ind w:left="240"/>
              <w:spacing w:after="0"/>
              <w:rPr>
                <w:sz w:val="20"/>
                <w:szCs w:val="20"/>
                <w:color w:val="auto"/>
              </w:rPr>
            </w:pPr>
            <w:r>
              <w:rPr>
                <w:rFonts w:ascii="Arial" w:cs="Arial" w:eastAsia="Arial" w:hAnsi="Arial"/>
                <w:sz w:val="13"/>
                <w:szCs w:val="13"/>
                <w:color w:val="auto"/>
              </w:rPr>
              <w:t>Consultant</w:t>
            </w:r>
            <w:r>
              <w:rPr>
                <w:rFonts w:ascii="Arial" w:cs="Arial" w:eastAsia="Arial" w:hAnsi="Arial"/>
                <w:sz w:val="16"/>
                <w:szCs w:val="16"/>
                <w:color w:val="auto"/>
                <w:vertAlign w:val="superscript"/>
              </w:rPr>
              <w:t>(2)</w:t>
            </w:r>
          </w:p>
        </w:tc>
        <w:tc>
          <w:tcPr>
            <w:tcW w:w="1300" w:type="dxa"/>
            <w:vAlign w:val="bottom"/>
            <w:tcBorders>
              <w:bottom w:val="single" w:sz="8" w:color="003478"/>
            </w:tcBorders>
            <w:shd w:val="clear" w:color="auto" w:fill="E4E6EF"/>
          </w:tcPr>
          <w:p>
            <w:pPr>
              <w:ind w:left="240"/>
              <w:spacing w:after="0"/>
              <w:rPr>
                <w:sz w:val="20"/>
                <w:szCs w:val="20"/>
                <w:color w:val="auto"/>
              </w:rPr>
            </w:pPr>
            <w:r>
              <w:rPr>
                <w:rFonts w:ascii="Arial" w:cs="Arial" w:eastAsia="Arial" w:hAnsi="Arial"/>
                <w:sz w:val="13"/>
                <w:szCs w:val="13"/>
                <w:color w:val="auto"/>
              </w:rPr>
              <w:t>Committee</w:t>
            </w:r>
          </w:p>
        </w:tc>
        <w:tc>
          <w:tcPr>
            <w:tcW w:w="1540" w:type="dxa"/>
            <w:vAlign w:val="bottom"/>
            <w:tcBorders>
              <w:bottom w:val="single" w:sz="8" w:color="003478"/>
            </w:tcBorders>
            <w:shd w:val="clear" w:color="auto" w:fill="E4E6EF"/>
          </w:tcPr>
          <w:p>
            <w:pPr>
              <w:ind w:left="240"/>
              <w:spacing w:after="0"/>
              <w:rPr>
                <w:sz w:val="20"/>
                <w:szCs w:val="20"/>
                <w:color w:val="auto"/>
              </w:rPr>
            </w:pPr>
            <w:r>
              <w:rPr>
                <w:rFonts w:ascii="Arial" w:cs="Arial" w:eastAsia="Arial" w:hAnsi="Arial"/>
                <w:sz w:val="13"/>
                <w:szCs w:val="13"/>
                <w:color w:val="auto"/>
              </w:rPr>
              <w:t>Members</w:t>
            </w:r>
          </w:p>
        </w:tc>
        <w:tc>
          <w:tcPr>
            <w:tcW w:w="0" w:type="dxa"/>
            <w:vAlign w:val="bottom"/>
          </w:tcPr>
          <w:p>
            <w:pPr>
              <w:spacing w:after="0"/>
              <w:rPr>
                <w:sz w:val="1"/>
                <w:szCs w:val="1"/>
                <w:color w:val="auto"/>
              </w:rPr>
            </w:pPr>
          </w:p>
        </w:tc>
      </w:tr>
      <w:tr>
        <w:trPr>
          <w:trHeight w:val="142"/>
        </w:trPr>
        <w:tc>
          <w:tcPr>
            <w:tcW w:w="3400" w:type="dxa"/>
            <w:vAlign w:val="bottom"/>
            <w:gridSpan w:val="2"/>
          </w:tcPr>
          <w:p>
            <w:pPr>
              <w:ind w:left="20"/>
              <w:spacing w:after="0" w:line="142" w:lineRule="exact"/>
              <w:rPr>
                <w:sz w:val="20"/>
                <w:szCs w:val="20"/>
                <w:color w:val="auto"/>
              </w:rPr>
            </w:pPr>
            <w:r>
              <w:rPr>
                <w:rFonts w:ascii="Calibri" w:cs="Calibri" w:eastAsia="Calibri" w:hAnsi="Calibri"/>
                <w:sz w:val="14"/>
                <w:szCs w:val="14"/>
                <w:color w:val="auto"/>
              </w:rPr>
              <w:t>Peer Group / External Market Data and Best Practces for</w:t>
            </w:r>
          </w:p>
        </w:tc>
        <w:tc>
          <w:tcPr>
            <w:tcW w:w="1060" w:type="dxa"/>
            <w:vAlign w:val="bottom"/>
          </w:tcPr>
          <w:p>
            <w:pPr>
              <w:ind w:left="80"/>
              <w:spacing w:after="0" w:line="142" w:lineRule="exact"/>
              <w:rPr>
                <w:sz w:val="20"/>
                <w:szCs w:val="20"/>
                <w:color w:val="auto"/>
              </w:rPr>
            </w:pPr>
            <w:r>
              <w:rPr>
                <w:rFonts w:ascii="Calibri" w:cs="Calibri" w:eastAsia="Calibri" w:hAnsi="Calibri"/>
                <w:sz w:val="14"/>
                <w:szCs w:val="14"/>
                <w:color w:val="auto"/>
              </w:rPr>
              <w:t>Reviews</w:t>
            </w:r>
          </w:p>
        </w:tc>
        <w:tc>
          <w:tcPr>
            <w:tcW w:w="1300" w:type="dxa"/>
            <w:vAlign w:val="bottom"/>
          </w:tcPr>
          <w:p>
            <w:pPr>
              <w:ind w:left="260"/>
              <w:spacing w:after="0" w:line="142" w:lineRule="exact"/>
              <w:rPr>
                <w:sz w:val="20"/>
                <w:szCs w:val="20"/>
                <w:color w:val="auto"/>
              </w:rPr>
            </w:pPr>
            <w:r>
              <w:rPr>
                <w:rFonts w:ascii="Calibri" w:cs="Calibri" w:eastAsia="Calibri" w:hAnsi="Calibri"/>
                <w:sz w:val="14"/>
                <w:szCs w:val="14"/>
                <w:color w:val="auto"/>
              </w:rPr>
              <w:t>Reviews</w:t>
            </w:r>
          </w:p>
        </w:tc>
        <w:tc>
          <w:tcPr>
            <w:tcW w:w="1320" w:type="dxa"/>
            <w:vAlign w:val="bottom"/>
          </w:tcPr>
          <w:p>
            <w:pPr>
              <w:ind w:left="260"/>
              <w:spacing w:after="0" w:line="142" w:lineRule="exact"/>
              <w:rPr>
                <w:sz w:val="20"/>
                <w:szCs w:val="20"/>
                <w:color w:val="auto"/>
              </w:rPr>
            </w:pPr>
            <w:r>
              <w:rPr>
                <w:rFonts w:ascii="Calibri" w:cs="Calibri" w:eastAsia="Calibri" w:hAnsi="Calibri"/>
                <w:sz w:val="14"/>
                <w:szCs w:val="14"/>
                <w:color w:val="auto"/>
              </w:rPr>
              <w:t>Develops</w:t>
            </w:r>
          </w:p>
        </w:tc>
        <w:tc>
          <w:tcPr>
            <w:tcW w:w="1320" w:type="dxa"/>
            <w:vAlign w:val="bottom"/>
          </w:tcPr>
          <w:p>
            <w:pPr>
              <w:ind w:left="240"/>
              <w:spacing w:after="0" w:line="142" w:lineRule="exact"/>
              <w:rPr>
                <w:sz w:val="20"/>
                <w:szCs w:val="20"/>
                <w:color w:val="auto"/>
              </w:rPr>
            </w:pPr>
            <w:r>
              <w:rPr>
                <w:rFonts w:ascii="Calibri" w:cs="Calibri" w:eastAsia="Calibri" w:hAnsi="Calibri"/>
                <w:sz w:val="14"/>
                <w:szCs w:val="14"/>
                <w:color w:val="auto"/>
              </w:rPr>
              <w:t>Develops /</w:t>
            </w:r>
          </w:p>
        </w:tc>
        <w:tc>
          <w:tcPr>
            <w:tcW w:w="1300" w:type="dxa"/>
            <w:vAlign w:val="bottom"/>
          </w:tcPr>
          <w:p>
            <w:pPr>
              <w:ind w:left="240"/>
              <w:spacing w:after="0" w:line="142" w:lineRule="exact"/>
              <w:rPr>
                <w:sz w:val="20"/>
                <w:szCs w:val="20"/>
                <w:color w:val="auto"/>
              </w:rPr>
            </w:pPr>
            <w:r>
              <w:rPr>
                <w:rFonts w:ascii="Calibri" w:cs="Calibri" w:eastAsia="Calibri" w:hAnsi="Calibri"/>
                <w:sz w:val="14"/>
                <w:szCs w:val="14"/>
                <w:color w:val="auto"/>
              </w:rPr>
              <w:t>Reviews</w:t>
            </w:r>
          </w:p>
        </w:tc>
        <w:tc>
          <w:tcPr>
            <w:tcW w:w="1540" w:type="dxa"/>
            <w:vAlign w:val="bottom"/>
          </w:tcPr>
          <w:p>
            <w:pPr>
              <w:ind w:left="240"/>
              <w:spacing w:after="0" w:line="142"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0"/>
        </w:trPr>
        <w:tc>
          <w:tcPr>
            <w:tcW w:w="3400" w:type="dxa"/>
            <w:vAlign w:val="bottom"/>
            <w:gridSpan w:val="2"/>
            <w:vMerge w:val="restart"/>
          </w:tcPr>
          <w:p>
            <w:pPr>
              <w:ind w:left="20"/>
              <w:spacing w:after="0"/>
              <w:rPr>
                <w:sz w:val="20"/>
                <w:szCs w:val="20"/>
                <w:color w:val="auto"/>
              </w:rPr>
            </w:pPr>
            <w:r>
              <w:rPr>
                <w:rFonts w:ascii="Calibri" w:cs="Calibri" w:eastAsia="Calibri" w:hAnsi="Calibri"/>
                <w:sz w:val="14"/>
                <w:szCs w:val="14"/>
                <w:color w:val="auto"/>
              </w:rPr>
              <w:t>Compensaton Design and Decisions</w:t>
            </w: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ind w:left="240"/>
              <w:spacing w:after="0"/>
              <w:rPr>
                <w:sz w:val="20"/>
                <w:szCs w:val="20"/>
                <w:color w:val="auto"/>
              </w:rPr>
            </w:pPr>
            <w:r>
              <w:rPr>
                <w:rFonts w:ascii="Calibri" w:cs="Calibri" w:eastAsia="Calibri" w:hAnsi="Calibri"/>
                <w:sz w:val="14"/>
                <w:szCs w:val="14"/>
                <w:color w:val="auto"/>
              </w:rPr>
              <w:t>Reviews</w:t>
            </w: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40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3400" w:type="dxa"/>
            <w:vAlign w:val="bottom"/>
            <w:tcBorders>
              <w:bottom w:val="single" w:sz="8" w:color="959595"/>
            </w:tcBorders>
            <w:gridSpan w:val="2"/>
          </w:tcPr>
          <w:p>
            <w:pPr>
              <w:spacing w:after="0"/>
              <w:rPr>
                <w:sz w:val="5"/>
                <w:szCs w:val="5"/>
                <w:color w:val="auto"/>
              </w:rPr>
            </w:pPr>
          </w:p>
        </w:tc>
        <w:tc>
          <w:tcPr>
            <w:tcW w:w="1060" w:type="dxa"/>
            <w:vAlign w:val="bottom"/>
            <w:tcBorders>
              <w:bottom w:val="single" w:sz="8" w:color="959595"/>
            </w:tcBorders>
          </w:tcPr>
          <w:p>
            <w:pPr>
              <w:spacing w:after="0"/>
              <w:rPr>
                <w:sz w:val="5"/>
                <w:szCs w:val="5"/>
                <w:color w:val="auto"/>
              </w:rPr>
            </w:pPr>
          </w:p>
        </w:tc>
        <w:tc>
          <w:tcPr>
            <w:tcW w:w="1300" w:type="dxa"/>
            <w:vAlign w:val="bottom"/>
            <w:tcBorders>
              <w:bottom w:val="single" w:sz="8" w:color="959595"/>
            </w:tcBorders>
          </w:tcPr>
          <w:p>
            <w:pPr>
              <w:spacing w:after="0"/>
              <w:rPr>
                <w:sz w:val="5"/>
                <w:szCs w:val="5"/>
                <w:color w:val="auto"/>
              </w:rPr>
            </w:pPr>
          </w:p>
        </w:tc>
        <w:tc>
          <w:tcPr>
            <w:tcW w:w="1320" w:type="dxa"/>
            <w:vAlign w:val="bottom"/>
            <w:tcBorders>
              <w:bottom w:val="single" w:sz="8" w:color="959595"/>
            </w:tcBorders>
          </w:tcPr>
          <w:p>
            <w:pPr>
              <w:spacing w:after="0"/>
              <w:rPr>
                <w:sz w:val="5"/>
                <w:szCs w:val="5"/>
                <w:color w:val="auto"/>
              </w:rPr>
            </w:pPr>
          </w:p>
        </w:tc>
        <w:tc>
          <w:tcPr>
            <w:tcW w:w="1320" w:type="dxa"/>
            <w:vAlign w:val="bottom"/>
            <w:tcBorders>
              <w:bottom w:val="single" w:sz="8" w:color="959595"/>
            </w:tcBorders>
          </w:tcPr>
          <w:p>
            <w:pPr>
              <w:spacing w:after="0"/>
              <w:rPr>
                <w:sz w:val="5"/>
                <w:szCs w:val="5"/>
                <w:color w:val="auto"/>
              </w:rPr>
            </w:pPr>
          </w:p>
        </w:tc>
        <w:tc>
          <w:tcPr>
            <w:tcW w:w="1300" w:type="dxa"/>
            <w:vAlign w:val="bottom"/>
            <w:tcBorders>
              <w:bottom w:val="single" w:sz="8" w:color="959595"/>
            </w:tcBorders>
          </w:tcPr>
          <w:p>
            <w:pPr>
              <w:spacing w:after="0"/>
              <w:rPr>
                <w:sz w:val="5"/>
                <w:szCs w:val="5"/>
                <w:color w:val="auto"/>
              </w:rPr>
            </w:pPr>
          </w:p>
        </w:tc>
        <w:tc>
          <w:tcPr>
            <w:tcW w:w="1540" w:type="dxa"/>
            <w:vAlign w:val="bottom"/>
            <w:tcBorders>
              <w:bottom w:val="single" w:sz="8" w:color="959595"/>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0"/>
              <w:spacing w:after="0" w:line="164" w:lineRule="exact"/>
              <w:rPr>
                <w:sz w:val="20"/>
                <w:szCs w:val="20"/>
                <w:color w:val="auto"/>
              </w:rPr>
            </w:pPr>
            <w:r>
              <w:rPr>
                <w:rFonts w:ascii="Calibri" w:cs="Calibri" w:eastAsia="Calibri" w:hAnsi="Calibri"/>
                <w:sz w:val="14"/>
                <w:szCs w:val="14"/>
                <w:color w:val="auto"/>
              </w:rPr>
              <w:t>Annual NEO Target Compensaton</w:t>
            </w:r>
          </w:p>
        </w:tc>
        <w:tc>
          <w:tcPr>
            <w:tcW w:w="1060" w:type="dxa"/>
            <w:vAlign w:val="bottom"/>
          </w:tcPr>
          <w:p>
            <w:pPr>
              <w:ind w:left="80"/>
              <w:spacing w:after="0" w:line="164" w:lineRule="exact"/>
              <w:rPr>
                <w:sz w:val="20"/>
                <w:szCs w:val="20"/>
                <w:color w:val="auto"/>
              </w:rPr>
            </w:pPr>
            <w:r>
              <w:rPr>
                <w:rFonts w:ascii="Calibri" w:cs="Calibri" w:eastAsia="Calibri" w:hAnsi="Calibri"/>
                <w:sz w:val="14"/>
                <w:szCs w:val="14"/>
                <w:color w:val="auto"/>
              </w:rPr>
              <w:t>—</w:t>
            </w:r>
          </w:p>
        </w:tc>
        <w:tc>
          <w:tcPr>
            <w:tcW w:w="1300" w:type="dxa"/>
            <w:vAlign w:val="bottom"/>
          </w:tcPr>
          <w:p>
            <w:pPr>
              <w:ind w:left="260"/>
              <w:spacing w:after="0" w:line="164" w:lineRule="exact"/>
              <w:rPr>
                <w:sz w:val="20"/>
                <w:szCs w:val="20"/>
                <w:color w:val="auto"/>
              </w:rPr>
            </w:pPr>
            <w:r>
              <w:rPr>
                <w:rFonts w:ascii="Calibri" w:cs="Calibri" w:eastAsia="Calibri" w:hAnsi="Calibri"/>
                <w:sz w:val="14"/>
                <w:szCs w:val="14"/>
                <w:color w:val="auto"/>
              </w:rPr>
              <w:t>Recommends</w:t>
            </w:r>
          </w:p>
        </w:tc>
        <w:tc>
          <w:tcPr>
            <w:tcW w:w="1320" w:type="dxa"/>
            <w:vAlign w:val="bottom"/>
          </w:tcPr>
          <w:p>
            <w:pPr>
              <w:ind w:left="260"/>
              <w:spacing w:after="0" w:line="164" w:lineRule="exact"/>
              <w:rPr>
                <w:sz w:val="20"/>
                <w:szCs w:val="20"/>
                <w:color w:val="auto"/>
              </w:rPr>
            </w:pPr>
            <w:r>
              <w:rPr>
                <w:rFonts w:ascii="Calibri" w:cs="Calibri" w:eastAsia="Calibri" w:hAnsi="Calibri"/>
                <w:sz w:val="14"/>
                <w:szCs w:val="14"/>
                <w:color w:val="auto"/>
              </w:rPr>
              <w:t>—</w:t>
            </w:r>
          </w:p>
        </w:tc>
        <w:tc>
          <w:tcPr>
            <w:tcW w:w="1320" w:type="dxa"/>
            <w:vAlign w:val="bottom"/>
          </w:tcPr>
          <w:p>
            <w:pPr>
              <w:ind w:left="240"/>
              <w:spacing w:after="0" w:line="164" w:lineRule="exact"/>
              <w:rPr>
                <w:sz w:val="20"/>
                <w:szCs w:val="20"/>
                <w:color w:val="auto"/>
              </w:rPr>
            </w:pPr>
            <w:r>
              <w:rPr>
                <w:rFonts w:ascii="Calibri" w:cs="Calibri" w:eastAsia="Calibri" w:hAnsi="Calibri"/>
                <w:sz w:val="14"/>
                <w:szCs w:val="14"/>
                <w:color w:val="auto"/>
              </w:rPr>
              <w:t>Reviews</w:t>
            </w:r>
          </w:p>
        </w:tc>
        <w:tc>
          <w:tcPr>
            <w:tcW w:w="1300" w:type="dxa"/>
            <w:vAlign w:val="bottom"/>
          </w:tcPr>
          <w:p>
            <w:pPr>
              <w:ind w:left="240"/>
              <w:spacing w:after="0" w:line="164" w:lineRule="exact"/>
              <w:rPr>
                <w:sz w:val="20"/>
                <w:szCs w:val="20"/>
                <w:color w:val="auto"/>
              </w:rPr>
            </w:pPr>
            <w:r>
              <w:rPr>
                <w:rFonts w:ascii="Calibri" w:cs="Calibri" w:eastAsia="Calibri" w:hAnsi="Calibri"/>
                <w:sz w:val="14"/>
                <w:szCs w:val="14"/>
                <w:color w:val="auto"/>
              </w:rPr>
              <w:t>Approves</w:t>
            </w:r>
          </w:p>
        </w:tc>
        <w:tc>
          <w:tcPr>
            <w:tcW w:w="1540" w:type="dxa"/>
            <w:vAlign w:val="bottom"/>
          </w:tcPr>
          <w:p>
            <w:pPr>
              <w:ind w:left="240"/>
              <w:spacing w:after="0" w:line="164" w:lineRule="exact"/>
              <w:rPr>
                <w:sz w:val="20"/>
                <w:szCs w:val="20"/>
                <w:color w:val="auto"/>
              </w:rPr>
            </w:pPr>
            <w:r>
              <w:rPr>
                <w:rFonts w:ascii="Calibri" w:cs="Calibri" w:eastAsia="Calibri" w:hAnsi="Calibri"/>
                <w:sz w:val="14"/>
                <w:szCs w:val="14"/>
                <w:color w:val="auto"/>
              </w:rPr>
              <w:t>Ratfy</w:t>
            </w:r>
          </w:p>
        </w:tc>
        <w:tc>
          <w:tcPr>
            <w:tcW w:w="0" w:type="dxa"/>
            <w:vAlign w:val="bottom"/>
          </w:tcPr>
          <w:p>
            <w:pPr>
              <w:spacing w:after="0"/>
              <w:rPr>
                <w:sz w:val="1"/>
                <w:szCs w:val="1"/>
                <w:color w:val="auto"/>
              </w:rPr>
            </w:pPr>
          </w:p>
        </w:tc>
      </w:tr>
      <w:tr>
        <w:trPr>
          <w:trHeight w:val="33"/>
        </w:trPr>
        <w:tc>
          <w:tcPr>
            <w:tcW w:w="3400" w:type="dxa"/>
            <w:vAlign w:val="bottom"/>
            <w:tcBorders>
              <w:bottom w:val="single" w:sz="8" w:color="959595"/>
            </w:tcBorders>
            <w:gridSpan w:val="2"/>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320" w:type="dxa"/>
            <w:vAlign w:val="bottom"/>
            <w:tcBorders>
              <w:bottom w:val="single" w:sz="8" w:color="959595"/>
            </w:tcBorders>
          </w:tcPr>
          <w:p>
            <w:pPr>
              <w:spacing w:after="0"/>
              <w:rPr>
                <w:sz w:val="2"/>
                <w:szCs w:val="2"/>
                <w:color w:val="auto"/>
              </w:rPr>
            </w:pPr>
          </w:p>
        </w:tc>
        <w:tc>
          <w:tcPr>
            <w:tcW w:w="132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5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0"/>
              <w:spacing w:after="0" w:line="164" w:lineRule="exact"/>
              <w:rPr>
                <w:sz w:val="20"/>
                <w:szCs w:val="20"/>
                <w:color w:val="auto"/>
              </w:rPr>
            </w:pPr>
            <w:r>
              <w:rPr>
                <w:rFonts w:ascii="Calibri" w:cs="Calibri" w:eastAsia="Calibri" w:hAnsi="Calibri"/>
                <w:sz w:val="14"/>
                <w:szCs w:val="14"/>
                <w:color w:val="auto"/>
              </w:rPr>
              <w:t>Annual CEO Target Compensaton</w:t>
            </w:r>
          </w:p>
        </w:tc>
        <w:tc>
          <w:tcPr>
            <w:tcW w:w="1060" w:type="dxa"/>
            <w:vAlign w:val="bottom"/>
          </w:tcPr>
          <w:p>
            <w:pPr>
              <w:ind w:left="80"/>
              <w:spacing w:after="0" w:line="164" w:lineRule="exact"/>
              <w:rPr>
                <w:sz w:val="20"/>
                <w:szCs w:val="20"/>
                <w:color w:val="auto"/>
              </w:rPr>
            </w:pPr>
            <w:r>
              <w:rPr>
                <w:rFonts w:ascii="Calibri" w:cs="Calibri" w:eastAsia="Calibri" w:hAnsi="Calibri"/>
                <w:sz w:val="14"/>
                <w:szCs w:val="14"/>
                <w:color w:val="auto"/>
              </w:rPr>
              <w:t>—</w:t>
            </w:r>
          </w:p>
        </w:tc>
        <w:tc>
          <w:tcPr>
            <w:tcW w:w="1300" w:type="dxa"/>
            <w:vAlign w:val="bottom"/>
          </w:tcPr>
          <w:p>
            <w:pPr>
              <w:ind w:left="260"/>
              <w:spacing w:after="0" w:line="164" w:lineRule="exact"/>
              <w:rPr>
                <w:sz w:val="20"/>
                <w:szCs w:val="20"/>
                <w:color w:val="auto"/>
              </w:rPr>
            </w:pPr>
            <w:r>
              <w:rPr>
                <w:rFonts w:ascii="Calibri" w:cs="Calibri" w:eastAsia="Calibri" w:hAnsi="Calibri"/>
                <w:sz w:val="14"/>
                <w:szCs w:val="14"/>
                <w:color w:val="auto"/>
              </w:rPr>
              <w:t>—</w:t>
            </w:r>
          </w:p>
        </w:tc>
        <w:tc>
          <w:tcPr>
            <w:tcW w:w="1320" w:type="dxa"/>
            <w:vAlign w:val="bottom"/>
          </w:tcPr>
          <w:p>
            <w:pPr>
              <w:ind w:left="260"/>
              <w:spacing w:after="0" w:line="164" w:lineRule="exact"/>
              <w:rPr>
                <w:sz w:val="20"/>
                <w:szCs w:val="20"/>
                <w:color w:val="auto"/>
              </w:rPr>
            </w:pPr>
            <w:r>
              <w:rPr>
                <w:rFonts w:ascii="Calibri" w:cs="Calibri" w:eastAsia="Calibri" w:hAnsi="Calibri"/>
                <w:sz w:val="14"/>
                <w:szCs w:val="14"/>
                <w:color w:val="auto"/>
              </w:rPr>
              <w:t>—</w:t>
            </w:r>
          </w:p>
        </w:tc>
        <w:tc>
          <w:tcPr>
            <w:tcW w:w="1320" w:type="dxa"/>
            <w:vAlign w:val="bottom"/>
          </w:tcPr>
          <w:p>
            <w:pPr>
              <w:ind w:left="240"/>
              <w:spacing w:after="0" w:line="164" w:lineRule="exact"/>
              <w:rPr>
                <w:sz w:val="20"/>
                <w:szCs w:val="20"/>
                <w:color w:val="auto"/>
              </w:rPr>
            </w:pPr>
            <w:r>
              <w:rPr>
                <w:rFonts w:ascii="Calibri" w:cs="Calibri" w:eastAsia="Calibri" w:hAnsi="Calibri"/>
                <w:sz w:val="14"/>
                <w:szCs w:val="14"/>
                <w:color w:val="auto"/>
              </w:rPr>
              <w:t>Advises</w:t>
            </w:r>
          </w:p>
        </w:tc>
        <w:tc>
          <w:tcPr>
            <w:tcW w:w="1300" w:type="dxa"/>
            <w:vAlign w:val="bottom"/>
          </w:tcPr>
          <w:p>
            <w:pPr>
              <w:ind w:left="240"/>
              <w:spacing w:after="0" w:line="164" w:lineRule="exact"/>
              <w:rPr>
                <w:sz w:val="20"/>
                <w:szCs w:val="20"/>
                <w:color w:val="auto"/>
              </w:rPr>
            </w:pPr>
            <w:r>
              <w:rPr>
                <w:rFonts w:ascii="Calibri" w:cs="Calibri" w:eastAsia="Calibri" w:hAnsi="Calibri"/>
                <w:sz w:val="14"/>
                <w:szCs w:val="14"/>
                <w:color w:val="auto"/>
              </w:rPr>
              <w:t>Recommends</w:t>
            </w:r>
          </w:p>
        </w:tc>
        <w:tc>
          <w:tcPr>
            <w:tcW w:w="1540" w:type="dxa"/>
            <w:vAlign w:val="bottom"/>
          </w:tcPr>
          <w:p>
            <w:pPr>
              <w:ind w:left="240"/>
              <w:spacing w:after="0" w:line="164" w:lineRule="exact"/>
              <w:rPr>
                <w:sz w:val="20"/>
                <w:szCs w:val="20"/>
                <w:color w:val="auto"/>
              </w:rPr>
            </w:pPr>
            <w:r>
              <w:rPr>
                <w:rFonts w:ascii="Calibri" w:cs="Calibri" w:eastAsia="Calibri" w:hAnsi="Calibri"/>
                <w:sz w:val="14"/>
                <w:szCs w:val="14"/>
                <w:color w:val="auto"/>
              </w:rPr>
              <w:t>Approve</w:t>
            </w:r>
          </w:p>
        </w:tc>
        <w:tc>
          <w:tcPr>
            <w:tcW w:w="0" w:type="dxa"/>
            <w:vAlign w:val="bottom"/>
          </w:tcPr>
          <w:p>
            <w:pPr>
              <w:spacing w:after="0"/>
              <w:rPr>
                <w:sz w:val="1"/>
                <w:szCs w:val="1"/>
                <w:color w:val="auto"/>
              </w:rPr>
            </w:pPr>
          </w:p>
        </w:tc>
      </w:tr>
      <w:tr>
        <w:trPr>
          <w:trHeight w:val="33"/>
        </w:trPr>
        <w:tc>
          <w:tcPr>
            <w:tcW w:w="3400" w:type="dxa"/>
            <w:vAlign w:val="bottom"/>
            <w:tcBorders>
              <w:bottom w:val="single" w:sz="8" w:color="959595"/>
            </w:tcBorders>
            <w:gridSpan w:val="2"/>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320" w:type="dxa"/>
            <w:vAlign w:val="bottom"/>
            <w:tcBorders>
              <w:bottom w:val="single" w:sz="8" w:color="959595"/>
            </w:tcBorders>
          </w:tcPr>
          <w:p>
            <w:pPr>
              <w:spacing w:after="0"/>
              <w:rPr>
                <w:sz w:val="2"/>
                <w:szCs w:val="2"/>
                <w:color w:val="auto"/>
              </w:rPr>
            </w:pPr>
          </w:p>
        </w:tc>
        <w:tc>
          <w:tcPr>
            <w:tcW w:w="132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5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400" w:type="dxa"/>
            <w:vAlign w:val="bottom"/>
            <w:gridSpan w:val="2"/>
          </w:tcPr>
          <w:p>
            <w:pPr>
              <w:ind w:left="20"/>
              <w:spacing w:after="0"/>
              <w:rPr>
                <w:sz w:val="20"/>
                <w:szCs w:val="20"/>
                <w:color w:val="auto"/>
              </w:rPr>
            </w:pPr>
            <w:r>
              <w:rPr>
                <w:rFonts w:ascii="Calibri" w:cs="Calibri" w:eastAsia="Calibri" w:hAnsi="Calibri"/>
                <w:sz w:val="14"/>
                <w:szCs w:val="14"/>
                <w:color w:val="auto"/>
              </w:rPr>
              <w:t>Annual and Long-Term Incentve Measures, Performance</w:t>
            </w:r>
          </w:p>
        </w:tc>
        <w:tc>
          <w:tcPr>
            <w:tcW w:w="1060" w:type="dxa"/>
            <w:vAlign w:val="bottom"/>
          </w:tcPr>
          <w:p>
            <w:pPr>
              <w:ind w:left="80"/>
              <w:spacing w:after="0"/>
              <w:rPr>
                <w:sz w:val="20"/>
                <w:szCs w:val="20"/>
                <w:color w:val="auto"/>
              </w:rPr>
            </w:pPr>
            <w:r>
              <w:rPr>
                <w:rFonts w:ascii="Calibri" w:cs="Calibri" w:eastAsia="Calibri" w:hAnsi="Calibri"/>
                <w:sz w:val="14"/>
                <w:szCs w:val="14"/>
                <w:color w:val="auto"/>
              </w:rPr>
              <w:t>Develops</w:t>
            </w:r>
          </w:p>
        </w:tc>
        <w:tc>
          <w:tcPr>
            <w:tcW w:w="1300" w:type="dxa"/>
            <w:vAlign w:val="bottom"/>
          </w:tcPr>
          <w:p>
            <w:pPr>
              <w:ind w:left="260"/>
              <w:spacing w:after="0"/>
              <w:rPr>
                <w:sz w:val="20"/>
                <w:szCs w:val="20"/>
                <w:color w:val="auto"/>
              </w:rPr>
            </w:pPr>
            <w:r>
              <w:rPr>
                <w:rFonts w:ascii="Calibri" w:cs="Calibri" w:eastAsia="Calibri" w:hAnsi="Calibri"/>
                <w:sz w:val="14"/>
                <w:szCs w:val="14"/>
                <w:color w:val="auto"/>
              </w:rPr>
              <w:t>Reviews</w:t>
            </w:r>
          </w:p>
        </w:tc>
        <w:tc>
          <w:tcPr>
            <w:tcW w:w="1320" w:type="dxa"/>
            <w:vAlign w:val="bottom"/>
          </w:tcPr>
          <w:p>
            <w:pPr>
              <w:ind w:left="260"/>
              <w:spacing w:after="0"/>
              <w:rPr>
                <w:sz w:val="20"/>
                <w:szCs w:val="20"/>
                <w:color w:val="auto"/>
              </w:rPr>
            </w:pPr>
            <w:r>
              <w:rPr>
                <w:rFonts w:ascii="Calibri" w:cs="Calibri" w:eastAsia="Calibri" w:hAnsi="Calibri"/>
                <w:sz w:val="14"/>
                <w:szCs w:val="14"/>
                <w:color w:val="auto"/>
              </w:rPr>
              <w:t>—</w:t>
            </w:r>
          </w:p>
        </w:tc>
        <w:tc>
          <w:tcPr>
            <w:tcW w:w="1320" w:type="dxa"/>
            <w:vAlign w:val="bottom"/>
          </w:tcPr>
          <w:p>
            <w:pPr>
              <w:ind w:left="240"/>
              <w:spacing w:after="0"/>
              <w:rPr>
                <w:sz w:val="20"/>
                <w:szCs w:val="20"/>
                <w:color w:val="auto"/>
              </w:rPr>
            </w:pPr>
            <w:r>
              <w:rPr>
                <w:rFonts w:ascii="Calibri" w:cs="Calibri" w:eastAsia="Calibri" w:hAnsi="Calibri"/>
                <w:sz w:val="14"/>
                <w:szCs w:val="14"/>
                <w:color w:val="auto"/>
              </w:rPr>
              <w:t>Reviews</w:t>
            </w:r>
          </w:p>
        </w:tc>
        <w:tc>
          <w:tcPr>
            <w:tcW w:w="1300" w:type="dxa"/>
            <w:vAlign w:val="bottom"/>
          </w:tcPr>
          <w:p>
            <w:pPr>
              <w:ind w:left="240"/>
              <w:spacing w:after="0"/>
              <w:rPr>
                <w:sz w:val="20"/>
                <w:szCs w:val="20"/>
                <w:color w:val="auto"/>
              </w:rPr>
            </w:pPr>
            <w:r>
              <w:rPr>
                <w:rFonts w:ascii="Calibri" w:cs="Calibri" w:eastAsia="Calibri" w:hAnsi="Calibri"/>
                <w:sz w:val="14"/>
                <w:szCs w:val="14"/>
                <w:color w:val="auto"/>
              </w:rPr>
              <w:t>Approves</w:t>
            </w:r>
          </w:p>
        </w:tc>
        <w:tc>
          <w:tcPr>
            <w:tcW w:w="1540" w:type="dxa"/>
            <w:vAlign w:val="bottom"/>
          </w:tcPr>
          <w:p>
            <w:pPr>
              <w:ind w:left="240"/>
              <w:spacing w:after="0"/>
              <w:rPr>
                <w:sz w:val="20"/>
                <w:szCs w:val="20"/>
                <w:color w:val="auto"/>
              </w:rPr>
            </w:pPr>
            <w:r>
              <w:rPr>
                <w:rFonts w:ascii="Calibri" w:cs="Calibri" w:eastAsia="Calibri" w:hAnsi="Calibri"/>
                <w:sz w:val="14"/>
                <w:szCs w:val="14"/>
                <w:color w:val="auto"/>
              </w:rPr>
              <w:t>Ratfy</w:t>
            </w:r>
          </w:p>
        </w:tc>
        <w:tc>
          <w:tcPr>
            <w:tcW w:w="0" w:type="dxa"/>
            <w:vAlign w:val="bottom"/>
          </w:tcPr>
          <w:p>
            <w:pPr>
              <w:spacing w:after="0"/>
              <w:rPr>
                <w:sz w:val="1"/>
                <w:szCs w:val="1"/>
                <w:color w:val="auto"/>
              </w:rPr>
            </w:pPr>
          </w:p>
        </w:tc>
      </w:tr>
      <w:tr>
        <w:trPr>
          <w:trHeight w:val="189"/>
        </w:trPr>
        <w:tc>
          <w:tcPr>
            <w:tcW w:w="3400" w:type="dxa"/>
            <w:vAlign w:val="bottom"/>
            <w:gridSpan w:val="2"/>
          </w:tcPr>
          <w:p>
            <w:pPr>
              <w:ind w:left="20"/>
              <w:spacing w:after="0"/>
              <w:rPr>
                <w:sz w:val="20"/>
                <w:szCs w:val="20"/>
                <w:color w:val="auto"/>
              </w:rPr>
            </w:pPr>
            <w:r>
              <w:rPr>
                <w:rFonts w:ascii="Calibri" w:cs="Calibri" w:eastAsia="Calibri" w:hAnsi="Calibri"/>
                <w:sz w:val="14"/>
                <w:szCs w:val="14"/>
                <w:color w:val="auto"/>
              </w:rPr>
              <w:t>Targets and Performance Results</w:t>
            </w: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3400" w:type="dxa"/>
            <w:vAlign w:val="bottom"/>
            <w:tcBorders>
              <w:bottom w:val="single" w:sz="8" w:color="959595"/>
            </w:tcBorders>
            <w:gridSpan w:val="2"/>
          </w:tcPr>
          <w:p>
            <w:pPr>
              <w:spacing w:after="0"/>
              <w:rPr>
                <w:sz w:val="5"/>
                <w:szCs w:val="5"/>
                <w:color w:val="auto"/>
              </w:rPr>
            </w:pPr>
          </w:p>
        </w:tc>
        <w:tc>
          <w:tcPr>
            <w:tcW w:w="1060" w:type="dxa"/>
            <w:vAlign w:val="bottom"/>
            <w:tcBorders>
              <w:bottom w:val="single" w:sz="8" w:color="959595"/>
            </w:tcBorders>
          </w:tcPr>
          <w:p>
            <w:pPr>
              <w:spacing w:after="0"/>
              <w:rPr>
                <w:sz w:val="5"/>
                <w:szCs w:val="5"/>
                <w:color w:val="auto"/>
              </w:rPr>
            </w:pPr>
          </w:p>
        </w:tc>
        <w:tc>
          <w:tcPr>
            <w:tcW w:w="1300" w:type="dxa"/>
            <w:vAlign w:val="bottom"/>
            <w:tcBorders>
              <w:bottom w:val="single" w:sz="8" w:color="959595"/>
            </w:tcBorders>
          </w:tcPr>
          <w:p>
            <w:pPr>
              <w:spacing w:after="0"/>
              <w:rPr>
                <w:sz w:val="5"/>
                <w:szCs w:val="5"/>
                <w:color w:val="auto"/>
              </w:rPr>
            </w:pPr>
          </w:p>
        </w:tc>
        <w:tc>
          <w:tcPr>
            <w:tcW w:w="1320" w:type="dxa"/>
            <w:vAlign w:val="bottom"/>
            <w:tcBorders>
              <w:bottom w:val="single" w:sz="8" w:color="959595"/>
            </w:tcBorders>
          </w:tcPr>
          <w:p>
            <w:pPr>
              <w:spacing w:after="0"/>
              <w:rPr>
                <w:sz w:val="5"/>
                <w:szCs w:val="5"/>
                <w:color w:val="auto"/>
              </w:rPr>
            </w:pPr>
          </w:p>
        </w:tc>
        <w:tc>
          <w:tcPr>
            <w:tcW w:w="1320" w:type="dxa"/>
            <w:vAlign w:val="bottom"/>
            <w:tcBorders>
              <w:bottom w:val="single" w:sz="8" w:color="959595"/>
            </w:tcBorders>
          </w:tcPr>
          <w:p>
            <w:pPr>
              <w:spacing w:after="0"/>
              <w:rPr>
                <w:sz w:val="5"/>
                <w:szCs w:val="5"/>
                <w:color w:val="auto"/>
              </w:rPr>
            </w:pPr>
          </w:p>
        </w:tc>
        <w:tc>
          <w:tcPr>
            <w:tcW w:w="1300" w:type="dxa"/>
            <w:vAlign w:val="bottom"/>
            <w:tcBorders>
              <w:bottom w:val="single" w:sz="8" w:color="959595"/>
            </w:tcBorders>
          </w:tcPr>
          <w:p>
            <w:pPr>
              <w:spacing w:after="0"/>
              <w:rPr>
                <w:sz w:val="5"/>
                <w:szCs w:val="5"/>
                <w:color w:val="auto"/>
              </w:rPr>
            </w:pPr>
          </w:p>
        </w:tc>
        <w:tc>
          <w:tcPr>
            <w:tcW w:w="1540" w:type="dxa"/>
            <w:vAlign w:val="bottom"/>
            <w:tcBorders>
              <w:bottom w:val="single" w:sz="8" w:color="959595"/>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0"/>
              <w:spacing w:after="0" w:line="164" w:lineRule="exact"/>
              <w:rPr>
                <w:sz w:val="20"/>
                <w:szCs w:val="20"/>
                <w:color w:val="auto"/>
              </w:rPr>
            </w:pPr>
            <w:r>
              <w:rPr>
                <w:rFonts w:ascii="Calibri" w:cs="Calibri" w:eastAsia="Calibri" w:hAnsi="Calibri"/>
                <w:sz w:val="14"/>
                <w:szCs w:val="14"/>
                <w:color w:val="auto"/>
              </w:rPr>
              <w:t>Long-Term Incentve Grants, Diluton, Burn Rate</w:t>
            </w:r>
          </w:p>
        </w:tc>
        <w:tc>
          <w:tcPr>
            <w:tcW w:w="1060" w:type="dxa"/>
            <w:vAlign w:val="bottom"/>
          </w:tcPr>
          <w:p>
            <w:pPr>
              <w:ind w:left="80"/>
              <w:spacing w:after="0" w:line="164" w:lineRule="exact"/>
              <w:rPr>
                <w:sz w:val="20"/>
                <w:szCs w:val="20"/>
                <w:color w:val="auto"/>
              </w:rPr>
            </w:pPr>
            <w:r>
              <w:rPr>
                <w:rFonts w:ascii="Calibri" w:cs="Calibri" w:eastAsia="Calibri" w:hAnsi="Calibri"/>
                <w:sz w:val="14"/>
                <w:szCs w:val="14"/>
                <w:color w:val="auto"/>
              </w:rPr>
              <w:t>Develops</w:t>
            </w:r>
          </w:p>
        </w:tc>
        <w:tc>
          <w:tcPr>
            <w:tcW w:w="1300" w:type="dxa"/>
            <w:vAlign w:val="bottom"/>
          </w:tcPr>
          <w:p>
            <w:pPr>
              <w:ind w:left="260"/>
              <w:spacing w:after="0" w:line="164" w:lineRule="exact"/>
              <w:rPr>
                <w:sz w:val="20"/>
                <w:szCs w:val="20"/>
                <w:color w:val="auto"/>
              </w:rPr>
            </w:pPr>
            <w:r>
              <w:rPr>
                <w:rFonts w:ascii="Calibri" w:cs="Calibri" w:eastAsia="Calibri" w:hAnsi="Calibri"/>
                <w:sz w:val="14"/>
                <w:szCs w:val="14"/>
                <w:color w:val="auto"/>
              </w:rPr>
              <w:t>Reviews</w:t>
            </w:r>
          </w:p>
        </w:tc>
        <w:tc>
          <w:tcPr>
            <w:tcW w:w="1320" w:type="dxa"/>
            <w:vAlign w:val="bottom"/>
          </w:tcPr>
          <w:p>
            <w:pPr>
              <w:ind w:left="260"/>
              <w:spacing w:after="0" w:line="164" w:lineRule="exact"/>
              <w:rPr>
                <w:sz w:val="20"/>
                <w:szCs w:val="20"/>
                <w:color w:val="auto"/>
              </w:rPr>
            </w:pPr>
            <w:r>
              <w:rPr>
                <w:rFonts w:ascii="Calibri" w:cs="Calibri" w:eastAsia="Calibri" w:hAnsi="Calibri"/>
                <w:sz w:val="14"/>
                <w:szCs w:val="14"/>
                <w:color w:val="auto"/>
              </w:rPr>
              <w:t>—</w:t>
            </w:r>
          </w:p>
        </w:tc>
        <w:tc>
          <w:tcPr>
            <w:tcW w:w="1320" w:type="dxa"/>
            <w:vAlign w:val="bottom"/>
          </w:tcPr>
          <w:p>
            <w:pPr>
              <w:ind w:left="240"/>
              <w:spacing w:after="0" w:line="164" w:lineRule="exact"/>
              <w:rPr>
                <w:sz w:val="20"/>
                <w:szCs w:val="20"/>
                <w:color w:val="auto"/>
              </w:rPr>
            </w:pPr>
            <w:r>
              <w:rPr>
                <w:rFonts w:ascii="Calibri" w:cs="Calibri" w:eastAsia="Calibri" w:hAnsi="Calibri"/>
                <w:sz w:val="14"/>
                <w:szCs w:val="14"/>
                <w:color w:val="auto"/>
              </w:rPr>
              <w:t>Reviews</w:t>
            </w:r>
          </w:p>
        </w:tc>
        <w:tc>
          <w:tcPr>
            <w:tcW w:w="1300" w:type="dxa"/>
            <w:vAlign w:val="bottom"/>
          </w:tcPr>
          <w:p>
            <w:pPr>
              <w:ind w:left="240"/>
              <w:spacing w:after="0" w:line="164" w:lineRule="exact"/>
              <w:rPr>
                <w:sz w:val="20"/>
                <w:szCs w:val="20"/>
                <w:color w:val="auto"/>
              </w:rPr>
            </w:pPr>
            <w:r>
              <w:rPr>
                <w:rFonts w:ascii="Calibri" w:cs="Calibri" w:eastAsia="Calibri" w:hAnsi="Calibri"/>
                <w:sz w:val="14"/>
                <w:szCs w:val="14"/>
                <w:color w:val="auto"/>
              </w:rPr>
              <w:t>Approves</w:t>
            </w:r>
          </w:p>
        </w:tc>
        <w:tc>
          <w:tcPr>
            <w:tcW w:w="1540" w:type="dxa"/>
            <w:vAlign w:val="bottom"/>
          </w:tcPr>
          <w:p>
            <w:pPr>
              <w:ind w:left="240"/>
              <w:spacing w:after="0" w:line="164" w:lineRule="exact"/>
              <w:rPr>
                <w:sz w:val="20"/>
                <w:szCs w:val="20"/>
                <w:color w:val="auto"/>
              </w:rPr>
            </w:pPr>
            <w:r>
              <w:rPr>
                <w:rFonts w:ascii="Calibri" w:cs="Calibri" w:eastAsia="Calibri" w:hAnsi="Calibri"/>
                <w:sz w:val="14"/>
                <w:szCs w:val="14"/>
                <w:color w:val="auto"/>
              </w:rPr>
              <w:t>Ratfy</w:t>
            </w:r>
          </w:p>
        </w:tc>
        <w:tc>
          <w:tcPr>
            <w:tcW w:w="0" w:type="dxa"/>
            <w:vAlign w:val="bottom"/>
          </w:tcPr>
          <w:p>
            <w:pPr>
              <w:spacing w:after="0"/>
              <w:rPr>
                <w:sz w:val="1"/>
                <w:szCs w:val="1"/>
                <w:color w:val="auto"/>
              </w:rPr>
            </w:pPr>
          </w:p>
        </w:tc>
      </w:tr>
      <w:tr>
        <w:trPr>
          <w:trHeight w:val="33"/>
        </w:trPr>
        <w:tc>
          <w:tcPr>
            <w:tcW w:w="3400" w:type="dxa"/>
            <w:vAlign w:val="bottom"/>
            <w:tcBorders>
              <w:bottom w:val="single" w:sz="8" w:color="959595"/>
            </w:tcBorders>
            <w:gridSpan w:val="2"/>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320" w:type="dxa"/>
            <w:vAlign w:val="bottom"/>
            <w:tcBorders>
              <w:bottom w:val="single" w:sz="8" w:color="959595"/>
            </w:tcBorders>
          </w:tcPr>
          <w:p>
            <w:pPr>
              <w:spacing w:after="0"/>
              <w:rPr>
                <w:sz w:val="2"/>
                <w:szCs w:val="2"/>
                <w:color w:val="auto"/>
              </w:rPr>
            </w:pPr>
          </w:p>
        </w:tc>
        <w:tc>
          <w:tcPr>
            <w:tcW w:w="132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5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0"/>
              <w:spacing w:after="0" w:line="164" w:lineRule="exact"/>
              <w:rPr>
                <w:sz w:val="20"/>
                <w:szCs w:val="20"/>
                <w:color w:val="auto"/>
              </w:rPr>
            </w:pPr>
            <w:r>
              <w:rPr>
                <w:rFonts w:ascii="Calibri" w:cs="Calibri" w:eastAsia="Calibri" w:hAnsi="Calibri"/>
                <w:sz w:val="14"/>
                <w:szCs w:val="14"/>
                <w:color w:val="auto"/>
              </w:rPr>
              <w:t>Risk Assessment of Incentve Plans</w:t>
            </w:r>
          </w:p>
        </w:tc>
        <w:tc>
          <w:tcPr>
            <w:tcW w:w="1060" w:type="dxa"/>
            <w:vAlign w:val="bottom"/>
          </w:tcPr>
          <w:p>
            <w:pPr>
              <w:ind w:left="80"/>
              <w:spacing w:after="0" w:line="164" w:lineRule="exact"/>
              <w:rPr>
                <w:sz w:val="20"/>
                <w:szCs w:val="20"/>
                <w:color w:val="auto"/>
              </w:rPr>
            </w:pPr>
            <w:r>
              <w:rPr>
                <w:rFonts w:ascii="Calibri" w:cs="Calibri" w:eastAsia="Calibri" w:hAnsi="Calibri"/>
                <w:sz w:val="14"/>
                <w:szCs w:val="14"/>
                <w:color w:val="auto"/>
              </w:rPr>
              <w:t>Reviews</w:t>
            </w:r>
          </w:p>
        </w:tc>
        <w:tc>
          <w:tcPr>
            <w:tcW w:w="1300" w:type="dxa"/>
            <w:vAlign w:val="bottom"/>
          </w:tcPr>
          <w:p>
            <w:pPr>
              <w:ind w:left="260"/>
              <w:spacing w:after="0" w:line="164" w:lineRule="exact"/>
              <w:rPr>
                <w:sz w:val="20"/>
                <w:szCs w:val="20"/>
                <w:color w:val="auto"/>
              </w:rPr>
            </w:pPr>
            <w:r>
              <w:rPr>
                <w:rFonts w:ascii="Calibri" w:cs="Calibri" w:eastAsia="Calibri" w:hAnsi="Calibri"/>
                <w:sz w:val="14"/>
                <w:szCs w:val="14"/>
                <w:color w:val="auto"/>
              </w:rPr>
              <w:t>Reviews</w:t>
            </w:r>
          </w:p>
        </w:tc>
        <w:tc>
          <w:tcPr>
            <w:tcW w:w="1320" w:type="dxa"/>
            <w:vAlign w:val="bottom"/>
          </w:tcPr>
          <w:p>
            <w:pPr>
              <w:ind w:left="260"/>
              <w:spacing w:after="0" w:line="164" w:lineRule="exact"/>
              <w:rPr>
                <w:sz w:val="20"/>
                <w:szCs w:val="20"/>
                <w:color w:val="auto"/>
              </w:rPr>
            </w:pPr>
            <w:r>
              <w:rPr>
                <w:rFonts w:ascii="Calibri" w:cs="Calibri" w:eastAsia="Calibri" w:hAnsi="Calibri"/>
                <w:sz w:val="14"/>
                <w:szCs w:val="14"/>
                <w:color w:val="auto"/>
              </w:rPr>
              <w:t>—</w:t>
            </w:r>
          </w:p>
        </w:tc>
        <w:tc>
          <w:tcPr>
            <w:tcW w:w="1320" w:type="dxa"/>
            <w:vAlign w:val="bottom"/>
          </w:tcPr>
          <w:p>
            <w:pPr>
              <w:ind w:left="240"/>
              <w:spacing w:after="0" w:line="164" w:lineRule="exact"/>
              <w:rPr>
                <w:sz w:val="20"/>
                <w:szCs w:val="20"/>
                <w:color w:val="auto"/>
              </w:rPr>
            </w:pPr>
            <w:r>
              <w:rPr>
                <w:rFonts w:ascii="Calibri" w:cs="Calibri" w:eastAsia="Calibri" w:hAnsi="Calibri"/>
                <w:sz w:val="14"/>
                <w:szCs w:val="14"/>
                <w:color w:val="auto"/>
              </w:rPr>
              <w:t>Develops</w:t>
            </w:r>
          </w:p>
        </w:tc>
        <w:tc>
          <w:tcPr>
            <w:tcW w:w="1300" w:type="dxa"/>
            <w:vAlign w:val="bottom"/>
          </w:tcPr>
          <w:p>
            <w:pPr>
              <w:ind w:left="240"/>
              <w:spacing w:after="0" w:line="164" w:lineRule="exact"/>
              <w:rPr>
                <w:sz w:val="20"/>
                <w:szCs w:val="20"/>
                <w:color w:val="auto"/>
              </w:rPr>
            </w:pPr>
            <w:r>
              <w:rPr>
                <w:rFonts w:ascii="Calibri" w:cs="Calibri" w:eastAsia="Calibri" w:hAnsi="Calibri"/>
                <w:sz w:val="14"/>
                <w:szCs w:val="14"/>
                <w:color w:val="auto"/>
              </w:rPr>
              <w:t>Reviews</w:t>
            </w:r>
          </w:p>
        </w:tc>
        <w:tc>
          <w:tcPr>
            <w:tcW w:w="1540" w:type="dxa"/>
            <w:vAlign w:val="bottom"/>
          </w:tcPr>
          <w:p>
            <w:pPr>
              <w:ind w:left="240"/>
              <w:spacing w:after="0" w:line="164"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33"/>
        </w:trPr>
        <w:tc>
          <w:tcPr>
            <w:tcW w:w="3400" w:type="dxa"/>
            <w:vAlign w:val="bottom"/>
            <w:tcBorders>
              <w:bottom w:val="single" w:sz="8" w:color="959595"/>
            </w:tcBorders>
            <w:gridSpan w:val="2"/>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320" w:type="dxa"/>
            <w:vAlign w:val="bottom"/>
            <w:tcBorders>
              <w:bottom w:val="single" w:sz="8" w:color="959595"/>
            </w:tcBorders>
          </w:tcPr>
          <w:p>
            <w:pPr>
              <w:spacing w:after="0"/>
              <w:rPr>
                <w:sz w:val="2"/>
                <w:szCs w:val="2"/>
                <w:color w:val="auto"/>
              </w:rPr>
            </w:pPr>
          </w:p>
        </w:tc>
        <w:tc>
          <w:tcPr>
            <w:tcW w:w="132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5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400" w:type="dxa"/>
            <w:vAlign w:val="bottom"/>
            <w:gridSpan w:val="2"/>
          </w:tcPr>
          <w:p>
            <w:pPr>
              <w:ind w:left="20"/>
              <w:spacing w:after="0" w:line="164" w:lineRule="exact"/>
              <w:rPr>
                <w:sz w:val="20"/>
                <w:szCs w:val="20"/>
                <w:color w:val="auto"/>
              </w:rPr>
            </w:pPr>
            <w:r>
              <w:rPr>
                <w:rFonts w:ascii="Calibri" w:cs="Calibri" w:eastAsia="Calibri" w:hAnsi="Calibri"/>
                <w:sz w:val="14"/>
                <w:szCs w:val="14"/>
                <w:color w:val="auto"/>
              </w:rPr>
              <w:t>Succession Plans</w:t>
            </w:r>
          </w:p>
        </w:tc>
        <w:tc>
          <w:tcPr>
            <w:tcW w:w="1060" w:type="dxa"/>
            <w:vAlign w:val="bottom"/>
          </w:tcPr>
          <w:p>
            <w:pPr>
              <w:ind w:left="80"/>
              <w:spacing w:after="0" w:line="164" w:lineRule="exact"/>
              <w:rPr>
                <w:sz w:val="20"/>
                <w:szCs w:val="20"/>
                <w:color w:val="auto"/>
              </w:rPr>
            </w:pPr>
            <w:r>
              <w:rPr>
                <w:rFonts w:ascii="Calibri" w:cs="Calibri" w:eastAsia="Calibri" w:hAnsi="Calibri"/>
                <w:sz w:val="14"/>
                <w:szCs w:val="14"/>
                <w:color w:val="auto"/>
              </w:rPr>
              <w:t>Develops</w:t>
            </w:r>
          </w:p>
        </w:tc>
        <w:tc>
          <w:tcPr>
            <w:tcW w:w="1300" w:type="dxa"/>
            <w:vAlign w:val="bottom"/>
          </w:tcPr>
          <w:p>
            <w:pPr>
              <w:ind w:left="260"/>
              <w:spacing w:after="0" w:line="164" w:lineRule="exact"/>
              <w:rPr>
                <w:sz w:val="20"/>
                <w:szCs w:val="20"/>
                <w:color w:val="auto"/>
              </w:rPr>
            </w:pPr>
            <w:r>
              <w:rPr>
                <w:rFonts w:ascii="Calibri" w:cs="Calibri" w:eastAsia="Calibri" w:hAnsi="Calibri"/>
                <w:sz w:val="14"/>
                <w:szCs w:val="14"/>
                <w:color w:val="auto"/>
              </w:rPr>
              <w:t>Reviews</w:t>
            </w:r>
          </w:p>
        </w:tc>
        <w:tc>
          <w:tcPr>
            <w:tcW w:w="1320" w:type="dxa"/>
            <w:vAlign w:val="bottom"/>
          </w:tcPr>
          <w:p>
            <w:pPr>
              <w:ind w:left="260"/>
              <w:spacing w:after="0" w:line="164" w:lineRule="exact"/>
              <w:rPr>
                <w:sz w:val="20"/>
                <w:szCs w:val="20"/>
                <w:color w:val="auto"/>
              </w:rPr>
            </w:pPr>
            <w:r>
              <w:rPr>
                <w:rFonts w:ascii="Calibri" w:cs="Calibri" w:eastAsia="Calibri" w:hAnsi="Calibri"/>
                <w:sz w:val="14"/>
                <w:szCs w:val="14"/>
                <w:color w:val="auto"/>
              </w:rPr>
              <w:t>—</w:t>
            </w:r>
          </w:p>
        </w:tc>
        <w:tc>
          <w:tcPr>
            <w:tcW w:w="1320" w:type="dxa"/>
            <w:vAlign w:val="bottom"/>
          </w:tcPr>
          <w:p>
            <w:pPr>
              <w:ind w:left="240"/>
              <w:spacing w:after="0" w:line="164" w:lineRule="exact"/>
              <w:rPr>
                <w:sz w:val="20"/>
                <w:szCs w:val="20"/>
                <w:color w:val="auto"/>
              </w:rPr>
            </w:pPr>
            <w:r>
              <w:rPr>
                <w:rFonts w:ascii="Calibri" w:cs="Calibri" w:eastAsia="Calibri" w:hAnsi="Calibri"/>
                <w:sz w:val="14"/>
                <w:szCs w:val="14"/>
                <w:color w:val="auto"/>
              </w:rPr>
              <w:t>—</w:t>
            </w:r>
          </w:p>
        </w:tc>
        <w:tc>
          <w:tcPr>
            <w:tcW w:w="1300" w:type="dxa"/>
            <w:vAlign w:val="bottom"/>
          </w:tcPr>
          <w:p>
            <w:pPr>
              <w:ind w:left="240"/>
              <w:spacing w:after="0" w:line="164" w:lineRule="exact"/>
              <w:rPr>
                <w:sz w:val="20"/>
                <w:szCs w:val="20"/>
                <w:color w:val="auto"/>
              </w:rPr>
            </w:pPr>
            <w:r>
              <w:rPr>
                <w:rFonts w:ascii="Calibri" w:cs="Calibri" w:eastAsia="Calibri" w:hAnsi="Calibri"/>
                <w:sz w:val="14"/>
                <w:szCs w:val="14"/>
                <w:color w:val="auto"/>
              </w:rPr>
              <w:t>—</w:t>
            </w:r>
          </w:p>
        </w:tc>
        <w:tc>
          <w:tcPr>
            <w:tcW w:w="1540" w:type="dxa"/>
            <w:vAlign w:val="bottom"/>
          </w:tcPr>
          <w:p>
            <w:pPr>
              <w:ind w:left="240"/>
              <w:spacing w:after="0" w:line="164" w:lineRule="exact"/>
              <w:rPr>
                <w:sz w:val="20"/>
                <w:szCs w:val="20"/>
                <w:color w:val="auto"/>
              </w:rPr>
            </w:pPr>
            <w:r>
              <w:rPr>
                <w:rFonts w:ascii="Calibri" w:cs="Calibri" w:eastAsia="Calibri" w:hAnsi="Calibri"/>
                <w:sz w:val="14"/>
                <w:szCs w:val="14"/>
                <w:color w:val="auto"/>
              </w:rPr>
              <w:t>Review</w:t>
            </w:r>
          </w:p>
        </w:tc>
        <w:tc>
          <w:tcPr>
            <w:tcW w:w="0" w:type="dxa"/>
            <w:vAlign w:val="bottom"/>
          </w:tcPr>
          <w:p>
            <w:pPr>
              <w:spacing w:after="0"/>
              <w:rPr>
                <w:sz w:val="1"/>
                <w:szCs w:val="1"/>
                <w:color w:val="auto"/>
              </w:rPr>
            </w:pPr>
          </w:p>
        </w:tc>
      </w:tr>
      <w:tr>
        <w:trPr>
          <w:trHeight w:val="33"/>
        </w:trPr>
        <w:tc>
          <w:tcPr>
            <w:tcW w:w="180" w:type="dxa"/>
            <w:vAlign w:val="bottom"/>
            <w:tcBorders>
              <w:bottom w:val="single" w:sz="8" w:color="959595"/>
            </w:tcBorders>
          </w:tcPr>
          <w:p>
            <w:pPr>
              <w:spacing w:after="0"/>
              <w:rPr>
                <w:sz w:val="2"/>
                <w:szCs w:val="2"/>
                <w:color w:val="auto"/>
              </w:rPr>
            </w:pPr>
          </w:p>
        </w:tc>
        <w:tc>
          <w:tcPr>
            <w:tcW w:w="3220" w:type="dxa"/>
            <w:vAlign w:val="bottom"/>
            <w:tcBorders>
              <w:bottom w:val="single" w:sz="8" w:color="959595"/>
            </w:tcBorders>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320" w:type="dxa"/>
            <w:vAlign w:val="bottom"/>
            <w:tcBorders>
              <w:bottom w:val="single" w:sz="8" w:color="959595"/>
            </w:tcBorders>
          </w:tcPr>
          <w:p>
            <w:pPr>
              <w:spacing w:after="0"/>
              <w:rPr>
                <w:sz w:val="2"/>
                <w:szCs w:val="2"/>
                <w:color w:val="auto"/>
              </w:rPr>
            </w:pPr>
          </w:p>
        </w:tc>
        <w:tc>
          <w:tcPr>
            <w:tcW w:w="132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5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180" w:type="dxa"/>
            <w:vAlign w:val="bottom"/>
          </w:tcPr>
          <w:p>
            <w:pPr>
              <w:spacing w:after="0"/>
              <w:rPr>
                <w:sz w:val="20"/>
                <w:szCs w:val="20"/>
                <w:color w:val="auto"/>
              </w:rPr>
            </w:pPr>
            <w:r>
              <w:rPr>
                <w:rFonts w:ascii="Calibri" w:cs="Calibri" w:eastAsia="Calibri" w:hAnsi="Calibri"/>
                <w:sz w:val="9"/>
                <w:szCs w:val="9"/>
                <w:color w:val="auto"/>
              </w:rPr>
              <w:t>(1)</w:t>
            </w:r>
          </w:p>
        </w:tc>
        <w:tc>
          <w:tcPr>
            <w:tcW w:w="3220" w:type="dxa"/>
            <w:vAlign w:val="bottom"/>
          </w:tcPr>
          <w:p>
            <w:pPr>
              <w:ind w:left="60"/>
              <w:spacing w:after="0"/>
              <w:rPr>
                <w:sz w:val="20"/>
                <w:szCs w:val="20"/>
                <w:color w:val="auto"/>
              </w:rPr>
            </w:pPr>
            <w:r>
              <w:rPr>
                <w:rFonts w:ascii="Calibri" w:cs="Calibri" w:eastAsia="Calibri" w:hAnsi="Calibri"/>
                <w:sz w:val="14"/>
                <w:szCs w:val="14"/>
                <w:color w:val="auto"/>
              </w:rPr>
              <w:t>Aon and Willis Towers Watson.</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Calibri" w:cs="Calibri" w:eastAsia="Calibri" w:hAnsi="Calibri"/>
                <w:sz w:val="9"/>
                <w:szCs w:val="9"/>
                <w:color w:val="auto"/>
              </w:rPr>
              <w:t>(2)</w:t>
            </w:r>
          </w:p>
        </w:tc>
        <w:tc>
          <w:tcPr>
            <w:tcW w:w="3220" w:type="dxa"/>
            <w:vAlign w:val="bottom"/>
          </w:tcPr>
          <w:p>
            <w:pPr>
              <w:ind w:left="60"/>
              <w:spacing w:after="0"/>
              <w:rPr>
                <w:sz w:val="20"/>
                <w:szCs w:val="20"/>
                <w:color w:val="auto"/>
              </w:rPr>
            </w:pPr>
            <w:r>
              <w:rPr>
                <w:rFonts w:ascii="Calibri" w:cs="Calibri" w:eastAsia="Calibri" w:hAnsi="Calibri"/>
                <w:sz w:val="14"/>
                <w:szCs w:val="14"/>
                <w:color w:val="auto"/>
              </w:rPr>
              <w:t>Meridian Compensaton Partners (Meridian).</w:t>
            </w:r>
          </w:p>
        </w:tc>
        <w:tc>
          <w:tcPr>
            <w:tcW w:w="1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304165</wp:posOffset>
            </wp:positionV>
            <wp:extent cx="1071880" cy="1797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818EB4"/>
        </w:rPr>
        <w:t>How We Determine Market Rate Compensation</w:t>
      </w:r>
    </w:p>
    <w:p>
      <w:pPr>
        <w:spacing w:after="0" w:line="60" w:lineRule="exact"/>
        <w:rPr>
          <w:sz w:val="20"/>
          <w:szCs w:val="20"/>
          <w:color w:val="auto"/>
        </w:rPr>
      </w:pPr>
    </w:p>
    <w:p>
      <w:pPr>
        <w:jc w:val="both"/>
        <w:ind w:right="180"/>
        <w:spacing w:after="0" w:line="221" w:lineRule="auto"/>
        <w:rPr>
          <w:sz w:val="20"/>
          <w:szCs w:val="20"/>
          <w:color w:val="auto"/>
        </w:rPr>
      </w:pPr>
      <w:r>
        <w:rPr>
          <w:rFonts w:ascii="Calibri" w:cs="Calibri" w:eastAsia="Calibri" w:hAnsi="Calibri"/>
          <w:sz w:val="17"/>
          <w:szCs w:val="17"/>
          <w:color w:val="auto"/>
        </w:rPr>
        <w:t>For each of the principal elements of executve compensaton, we determine the “market rate” as the size-adjusted 50</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percentle of our comparator group of companies. Size-adjusted market rates are calculated for us by Aon, using revenue regression analysis. This statstcal technique accounts for revenue size diferences within the peer group and results in a market rate for all compensaton elements consistent with our revenue relatonship to our peers. We also may adjust the market rate to refect diferences in an executve’s job scope relatve to the industry or the comparator group of companies, as appropriate.</w:t>
      </w:r>
    </w:p>
    <w:p>
      <w:pPr>
        <w:spacing w:after="0" w:line="81" w:lineRule="exact"/>
        <w:rPr>
          <w:sz w:val="20"/>
          <w:szCs w:val="20"/>
          <w:color w:val="auto"/>
        </w:rPr>
      </w:pPr>
    </w:p>
    <w:p>
      <w:pPr>
        <w:ind w:right="740"/>
        <w:spacing w:after="0" w:line="235" w:lineRule="auto"/>
        <w:rPr>
          <w:sz w:val="20"/>
          <w:szCs w:val="20"/>
          <w:color w:val="auto"/>
        </w:rPr>
      </w:pPr>
      <w:r>
        <w:rPr>
          <w:rFonts w:ascii="Calibri" w:cs="Calibri" w:eastAsia="Calibri" w:hAnsi="Calibri"/>
          <w:sz w:val="17"/>
          <w:szCs w:val="17"/>
          <w:color w:val="auto"/>
        </w:rPr>
        <w:t>Our incentve plans are designed so that actual performance in excess of established performance targets results in payouts above target and actual performance below established performance targets results in payouts below target or no payout.</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818EB4"/>
        </w:rPr>
        <w:t>How We Select the Comparator Group for Market Rate Purposes</w:t>
      </w:r>
    </w:p>
    <w:p>
      <w:pPr>
        <w:spacing w:after="0" w:line="70" w:lineRule="exact"/>
        <w:rPr>
          <w:sz w:val="20"/>
          <w:szCs w:val="20"/>
          <w:color w:val="auto"/>
        </w:rPr>
      </w:pPr>
    </w:p>
    <w:p>
      <w:pPr>
        <w:ind w:right="340"/>
        <w:spacing w:after="0" w:line="235" w:lineRule="auto"/>
        <w:rPr>
          <w:sz w:val="20"/>
          <w:szCs w:val="20"/>
          <w:color w:val="auto"/>
        </w:rPr>
      </w:pPr>
      <w:r>
        <w:rPr>
          <w:rFonts w:ascii="Calibri" w:cs="Calibri" w:eastAsia="Calibri" w:hAnsi="Calibri"/>
          <w:sz w:val="17"/>
          <w:szCs w:val="17"/>
          <w:color w:val="auto"/>
        </w:rPr>
        <w:t>The Compensaton Commitee annually reviews our comparator group to maintain relevancy and to ensure the availability of data, while seeking to avoid signifcant annual changes in the group to ensure a level of consistency. The criteria used to determine the comparator group is set forth below:</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4960" w:type="dxa"/>
            <w:vAlign w:val="bottom"/>
            <w:tcBorders>
              <w:top w:val="single" w:sz="8" w:color="003478"/>
              <w:left w:val="single" w:sz="8" w:color="003478"/>
              <w:right w:val="single" w:sz="8" w:color="003478"/>
            </w:tcBorders>
          </w:tcPr>
          <w:p>
            <w:pPr>
              <w:ind w:left="120"/>
              <w:spacing w:after="0"/>
              <w:rPr>
                <w:sz w:val="20"/>
                <w:szCs w:val="20"/>
                <w:color w:val="auto"/>
              </w:rPr>
            </w:pPr>
            <w:r>
              <w:rPr>
                <w:rFonts w:ascii="Calibri" w:cs="Calibri" w:eastAsia="Calibri" w:hAnsi="Calibri"/>
                <w:sz w:val="18"/>
                <w:szCs w:val="18"/>
                <w:b w:val="1"/>
                <w:bCs w:val="1"/>
                <w:color w:val="003478"/>
              </w:rPr>
              <w:t>Set an Inital List of Companies</w:t>
            </w:r>
          </w:p>
        </w:tc>
        <w:tc>
          <w:tcPr>
            <w:tcW w:w="340" w:type="dxa"/>
            <w:vAlign w:val="bottom"/>
            <w:tcBorders>
              <w:right w:val="single" w:sz="8" w:color="003478"/>
            </w:tcBorders>
          </w:tcPr>
          <w:p>
            <w:pPr>
              <w:spacing w:after="0"/>
              <w:rPr>
                <w:sz w:val="24"/>
                <w:szCs w:val="24"/>
                <w:color w:val="auto"/>
              </w:rPr>
            </w:pPr>
          </w:p>
        </w:tc>
        <w:tc>
          <w:tcPr>
            <w:tcW w:w="5940" w:type="dxa"/>
            <w:vAlign w:val="bottom"/>
            <w:tcBorders>
              <w:top w:val="single" w:sz="8" w:color="003478"/>
              <w:right w:val="single" w:sz="8" w:color="003478"/>
            </w:tcBorders>
          </w:tcPr>
          <w:p>
            <w:pPr>
              <w:ind w:left="100"/>
              <w:spacing w:after="0"/>
              <w:rPr>
                <w:sz w:val="20"/>
                <w:szCs w:val="20"/>
                <w:color w:val="auto"/>
              </w:rPr>
            </w:pPr>
            <w:r>
              <w:rPr>
                <w:rFonts w:ascii="Calibri" w:cs="Calibri" w:eastAsia="Calibri" w:hAnsi="Calibri"/>
                <w:sz w:val="18"/>
                <w:szCs w:val="18"/>
                <w:b w:val="1"/>
                <w:bCs w:val="1"/>
                <w:color w:val="003478"/>
              </w:rPr>
              <w:t>Apply Refning Criteria to Select Final Comparator Group</w:t>
            </w:r>
          </w:p>
        </w:tc>
      </w:tr>
      <w:tr>
        <w:trPr>
          <w:trHeight w:val="268"/>
        </w:trPr>
        <w:tc>
          <w:tcPr>
            <w:tcW w:w="4960" w:type="dxa"/>
            <w:vAlign w:val="bottom"/>
            <w:tcBorders>
              <w:left w:val="single" w:sz="8" w:color="003478"/>
              <w:right w:val="single" w:sz="8" w:color="003478"/>
            </w:tcBorders>
          </w:tcPr>
          <w:p>
            <w:pPr>
              <w:ind w:left="120"/>
              <w:spacing w:after="0"/>
              <w:rPr>
                <w:sz w:val="20"/>
                <w:szCs w:val="20"/>
                <w:color w:val="auto"/>
              </w:rPr>
            </w:pPr>
            <w:r>
              <w:rPr>
                <w:rFonts w:ascii="Calibri" w:cs="Calibri" w:eastAsia="Calibri" w:hAnsi="Calibri"/>
                <w:sz w:val="17"/>
                <w:szCs w:val="17"/>
                <w:b w:val="1"/>
                <w:bCs w:val="1"/>
                <w:color w:val="818EB4"/>
              </w:rPr>
              <w:t>Atributes</w:t>
            </w:r>
          </w:p>
        </w:tc>
        <w:tc>
          <w:tcPr>
            <w:tcW w:w="340" w:type="dxa"/>
            <w:vAlign w:val="bottom"/>
            <w:tcBorders>
              <w:right w:val="single" w:sz="8" w:color="003478"/>
            </w:tcBorders>
          </w:tcPr>
          <w:p>
            <w:pPr>
              <w:spacing w:after="0"/>
              <w:rPr>
                <w:sz w:val="23"/>
                <w:szCs w:val="23"/>
                <w:color w:val="auto"/>
              </w:rPr>
            </w:pPr>
          </w:p>
        </w:tc>
        <w:tc>
          <w:tcPr>
            <w:tcW w:w="5940" w:type="dxa"/>
            <w:vAlign w:val="bottom"/>
            <w:tcBorders>
              <w:right w:val="single" w:sz="8" w:color="003478"/>
            </w:tcBorders>
          </w:tcPr>
          <w:p>
            <w:pPr>
              <w:ind w:left="100"/>
              <w:spacing w:after="0"/>
              <w:rPr>
                <w:sz w:val="20"/>
                <w:szCs w:val="20"/>
                <w:color w:val="auto"/>
              </w:rPr>
            </w:pPr>
            <w:r>
              <w:rPr>
                <w:rFonts w:ascii="Calibri" w:cs="Calibri" w:eastAsia="Calibri" w:hAnsi="Calibri"/>
                <w:sz w:val="17"/>
                <w:szCs w:val="17"/>
                <w:b w:val="1"/>
                <w:bCs w:val="1"/>
                <w:color w:val="818EB4"/>
              </w:rPr>
              <w:t>Refning Criteria</w:t>
            </w:r>
          </w:p>
        </w:tc>
      </w:tr>
      <w:tr>
        <w:trPr>
          <w:trHeight w:val="297"/>
        </w:trPr>
        <w:tc>
          <w:tcPr>
            <w:tcW w:w="4960" w:type="dxa"/>
            <w:vAlign w:val="bottom"/>
            <w:tcBorders>
              <w:left w:val="single" w:sz="8" w:color="003478"/>
              <w:right w:val="single" w:sz="8" w:color="003478"/>
            </w:tcBorders>
          </w:tcPr>
          <w:p>
            <w:pPr>
              <w:ind w:left="12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Traded on a major U.S. exchange</w:t>
            </w:r>
          </w:p>
        </w:tc>
        <w:tc>
          <w:tcPr>
            <w:tcW w:w="340" w:type="dxa"/>
            <w:vAlign w:val="bottom"/>
            <w:tcBorders>
              <w:right w:val="single" w:sz="8" w:color="003478"/>
            </w:tcBorders>
          </w:tcPr>
          <w:p>
            <w:pPr>
              <w:spacing w:after="0"/>
              <w:rPr>
                <w:sz w:val="24"/>
                <w:szCs w:val="24"/>
                <w:color w:val="auto"/>
              </w:rPr>
            </w:pPr>
          </w:p>
        </w:tc>
        <w:tc>
          <w:tcPr>
            <w:tcW w:w="5940" w:type="dxa"/>
            <w:vAlign w:val="bottom"/>
            <w:tcBorders>
              <w:right w:val="single" w:sz="8" w:color="003478"/>
            </w:tcBorders>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Industrial companies that face similar macro-economic pressures</w:t>
            </w:r>
          </w:p>
        </w:tc>
      </w:tr>
      <w:tr>
        <w:trPr>
          <w:trHeight w:val="270"/>
        </w:trPr>
        <w:tc>
          <w:tcPr>
            <w:tcW w:w="4960" w:type="dxa"/>
            <w:vAlign w:val="bottom"/>
            <w:tcBorders>
              <w:left w:val="single" w:sz="8" w:color="003478"/>
              <w:right w:val="single" w:sz="8" w:color="003478"/>
            </w:tcBorders>
          </w:tcPr>
          <w:p>
            <w:pPr>
              <w:ind w:left="12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Similarity in annual revenue</w:t>
            </w:r>
          </w:p>
        </w:tc>
        <w:tc>
          <w:tcPr>
            <w:tcW w:w="340" w:type="dxa"/>
            <w:vAlign w:val="bottom"/>
            <w:tcBorders>
              <w:right w:val="single" w:sz="8" w:color="003478"/>
            </w:tcBorders>
          </w:tcPr>
          <w:p>
            <w:pPr>
              <w:spacing w:after="0"/>
              <w:rPr>
                <w:sz w:val="23"/>
                <w:szCs w:val="23"/>
                <w:color w:val="auto"/>
              </w:rPr>
            </w:pPr>
          </w:p>
        </w:tc>
        <w:tc>
          <w:tcPr>
            <w:tcW w:w="5940" w:type="dxa"/>
            <w:vAlign w:val="bottom"/>
            <w:tcBorders>
              <w:right w:val="single" w:sz="8" w:color="003478"/>
            </w:tcBorders>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Companies we compete with for executve talent</w:t>
            </w:r>
          </w:p>
        </w:tc>
      </w:tr>
      <w:tr>
        <w:trPr>
          <w:trHeight w:val="283"/>
        </w:trPr>
        <w:tc>
          <w:tcPr>
            <w:tcW w:w="4960" w:type="dxa"/>
            <w:vAlign w:val="bottom"/>
            <w:tcBorders>
              <w:left w:val="single" w:sz="8" w:color="003478"/>
              <w:right w:val="single" w:sz="8" w:color="003478"/>
            </w:tcBorders>
          </w:tcPr>
          <w:p>
            <w:pPr>
              <w:ind w:left="12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Partcipaton in Aon executve compensaton survey</w:t>
            </w:r>
          </w:p>
        </w:tc>
        <w:tc>
          <w:tcPr>
            <w:tcW w:w="340" w:type="dxa"/>
            <w:vAlign w:val="bottom"/>
            <w:tcBorders>
              <w:right w:val="single" w:sz="8" w:color="003478"/>
            </w:tcBorders>
          </w:tcPr>
          <w:p>
            <w:pPr>
              <w:spacing w:after="0"/>
              <w:rPr>
                <w:sz w:val="24"/>
                <w:szCs w:val="24"/>
                <w:color w:val="auto"/>
              </w:rPr>
            </w:pPr>
          </w:p>
        </w:tc>
        <w:tc>
          <w:tcPr>
            <w:tcW w:w="5940" w:type="dxa"/>
            <w:vAlign w:val="bottom"/>
            <w:tcBorders>
              <w:right w:val="single" w:sz="8" w:color="003478"/>
            </w:tcBorders>
          </w:tcPr>
          <w:p>
            <w:pPr>
              <w:ind w:left="100"/>
              <w:spacing w:after="0"/>
              <w:rPr>
                <w:sz w:val="20"/>
                <w:szCs w:val="20"/>
                <w:color w:val="auto"/>
              </w:rPr>
            </w:pPr>
            <w:r>
              <w:rPr>
                <w:rFonts w:ascii="Calibri" w:cs="Calibri" w:eastAsia="Calibri" w:hAnsi="Calibri"/>
                <w:sz w:val="17"/>
                <w:szCs w:val="17"/>
                <w:color w:val="003478"/>
              </w:rPr>
              <w:t xml:space="preserve">• </w:t>
            </w:r>
            <w:r>
              <w:rPr>
                <w:rFonts w:ascii="Calibri" w:cs="Calibri" w:eastAsia="Calibri" w:hAnsi="Calibri"/>
                <w:sz w:val="17"/>
                <w:szCs w:val="17"/>
                <w:color w:val="000000"/>
              </w:rPr>
              <w:t>Companies with comparable executve ofcer positons</w:t>
            </w:r>
          </w:p>
        </w:tc>
      </w:tr>
      <w:tr>
        <w:trPr>
          <w:trHeight w:val="174"/>
        </w:trPr>
        <w:tc>
          <w:tcPr>
            <w:tcW w:w="4960" w:type="dxa"/>
            <w:vAlign w:val="bottom"/>
            <w:tcBorders>
              <w:left w:val="single" w:sz="8" w:color="003478"/>
              <w:bottom w:val="single" w:sz="8" w:color="003478"/>
              <w:right w:val="single" w:sz="8" w:color="003478"/>
            </w:tcBorders>
          </w:tcPr>
          <w:p>
            <w:pPr>
              <w:spacing w:after="0"/>
              <w:rPr>
                <w:sz w:val="15"/>
                <w:szCs w:val="15"/>
                <w:color w:val="auto"/>
              </w:rPr>
            </w:pPr>
          </w:p>
        </w:tc>
        <w:tc>
          <w:tcPr>
            <w:tcW w:w="340" w:type="dxa"/>
            <w:vAlign w:val="bottom"/>
            <w:tcBorders>
              <w:right w:val="single" w:sz="8" w:color="003478"/>
            </w:tcBorders>
          </w:tcPr>
          <w:p>
            <w:pPr>
              <w:spacing w:after="0"/>
              <w:rPr>
                <w:sz w:val="15"/>
                <w:szCs w:val="15"/>
                <w:color w:val="auto"/>
              </w:rPr>
            </w:pPr>
          </w:p>
        </w:tc>
        <w:tc>
          <w:tcPr>
            <w:tcW w:w="5940" w:type="dxa"/>
            <w:vAlign w:val="bottom"/>
            <w:tcBorders>
              <w:bottom w:val="single" w:sz="8" w:color="003478"/>
              <w:right w:val="single" w:sz="8" w:color="003478"/>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-599440</wp:posOffset>
            </wp:positionV>
            <wp:extent cx="85725" cy="857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55" w:lineRule="exact"/>
        <w:rPr>
          <w:sz w:val="20"/>
          <w:szCs w:val="20"/>
          <w:color w:val="auto"/>
        </w:rPr>
      </w:pPr>
    </w:p>
    <w:p>
      <w:pPr>
        <w:ind w:right="80"/>
        <w:spacing w:after="0" w:line="251" w:lineRule="auto"/>
        <w:rPr>
          <w:sz w:val="20"/>
          <w:szCs w:val="20"/>
          <w:color w:val="auto"/>
        </w:rPr>
      </w:pPr>
      <w:r>
        <w:rPr>
          <w:rFonts w:ascii="Calibri" w:cs="Calibri" w:eastAsia="Calibri" w:hAnsi="Calibri"/>
          <w:sz w:val="17"/>
          <w:szCs w:val="17"/>
          <w:color w:val="auto"/>
        </w:rPr>
        <w:t>The comparator group data presented to and considered by the Compensaton Commitee was developed from the proprietary results of the Aon executve compensaton survey, subject to review by Meridian. All of the 2022 comparator group companies partcipated in the Aon survey. For 2022, Raytheon Technologies Corporaton replaced the Raytheon Company and United Technologies Corporaton, which merged in 2020. Our 2022 revenues represented the 69</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percentle of the comparator group.</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818EB4"/>
        </w:rPr>
        <w:t>Lockheed Martin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2654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7"/>
          <w:szCs w:val="17"/>
          <w:color w:val="475C90"/>
        </w:rPr>
        <w:t>2022 Comparator Group Companies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480" w:type="dxa"/>
            <w:vAlign w:val="bottom"/>
          </w:tcPr>
          <w:p>
            <w:pPr>
              <w:spacing w:after="0"/>
              <w:rPr>
                <w:sz w:val="20"/>
                <w:szCs w:val="20"/>
                <w:color w:val="auto"/>
              </w:rPr>
            </w:pPr>
            <w:r>
              <w:rPr>
                <w:rFonts w:ascii="Calibri" w:cs="Calibri" w:eastAsia="Calibri" w:hAnsi="Calibri"/>
                <w:sz w:val="16"/>
                <w:szCs w:val="16"/>
                <w:color w:val="auto"/>
              </w:rPr>
              <w:t>3M Company</w:t>
            </w:r>
          </w:p>
        </w:tc>
        <w:tc>
          <w:tcPr>
            <w:tcW w:w="4180" w:type="dxa"/>
            <w:vAlign w:val="bottom"/>
          </w:tcPr>
          <w:p>
            <w:pPr>
              <w:ind w:left="1260"/>
              <w:spacing w:after="0"/>
              <w:rPr>
                <w:sz w:val="20"/>
                <w:szCs w:val="20"/>
                <w:color w:val="auto"/>
              </w:rPr>
            </w:pPr>
            <w:r>
              <w:rPr>
                <w:rFonts w:ascii="Calibri" w:cs="Calibri" w:eastAsia="Calibri" w:hAnsi="Calibri"/>
                <w:sz w:val="16"/>
                <w:szCs w:val="16"/>
                <w:color w:val="auto"/>
              </w:rPr>
              <w:t>General Dynamics Corporaton*</w:t>
            </w:r>
          </w:p>
        </w:tc>
        <w:tc>
          <w:tcPr>
            <w:tcW w:w="3240" w:type="dxa"/>
            <w:vAlign w:val="bottom"/>
          </w:tcPr>
          <w:p>
            <w:pPr>
              <w:ind w:left="820"/>
              <w:spacing w:after="0"/>
              <w:rPr>
                <w:sz w:val="20"/>
                <w:szCs w:val="20"/>
                <w:color w:val="auto"/>
              </w:rPr>
            </w:pPr>
            <w:r>
              <w:rPr>
                <w:rFonts w:ascii="Calibri" w:cs="Calibri" w:eastAsia="Calibri" w:hAnsi="Calibri"/>
                <w:sz w:val="16"/>
                <w:szCs w:val="16"/>
                <w:color w:val="auto"/>
              </w:rPr>
              <w:t>Northrop Grumman Corporaton*</w:t>
            </w:r>
          </w:p>
        </w:tc>
      </w:tr>
      <w:tr>
        <w:trPr>
          <w:trHeight w:val="216"/>
        </w:trPr>
        <w:tc>
          <w:tcPr>
            <w:tcW w:w="2480" w:type="dxa"/>
            <w:vAlign w:val="bottom"/>
          </w:tcPr>
          <w:p>
            <w:pPr>
              <w:spacing w:after="0"/>
              <w:rPr>
                <w:sz w:val="20"/>
                <w:szCs w:val="20"/>
                <w:color w:val="auto"/>
              </w:rPr>
            </w:pPr>
            <w:r>
              <w:rPr>
                <w:rFonts w:ascii="Calibri" w:cs="Calibri" w:eastAsia="Calibri" w:hAnsi="Calibri"/>
                <w:sz w:val="16"/>
                <w:szCs w:val="16"/>
                <w:color w:val="auto"/>
              </w:rPr>
              <w:t>Caterpillar Inc.</w:t>
            </w:r>
          </w:p>
        </w:tc>
        <w:tc>
          <w:tcPr>
            <w:tcW w:w="4180" w:type="dxa"/>
            <w:vAlign w:val="bottom"/>
          </w:tcPr>
          <w:p>
            <w:pPr>
              <w:ind w:left="1260"/>
              <w:spacing w:after="0"/>
              <w:rPr>
                <w:sz w:val="20"/>
                <w:szCs w:val="20"/>
                <w:color w:val="auto"/>
              </w:rPr>
            </w:pPr>
            <w:r>
              <w:rPr>
                <w:rFonts w:ascii="Calibri" w:cs="Calibri" w:eastAsia="Calibri" w:hAnsi="Calibri"/>
                <w:sz w:val="16"/>
                <w:szCs w:val="16"/>
                <w:color w:val="auto"/>
              </w:rPr>
              <w:t>General Electric Company</w:t>
            </w:r>
          </w:p>
        </w:tc>
        <w:tc>
          <w:tcPr>
            <w:tcW w:w="3240" w:type="dxa"/>
            <w:vAlign w:val="bottom"/>
          </w:tcPr>
          <w:p>
            <w:pPr>
              <w:ind w:left="820"/>
              <w:spacing w:after="0"/>
              <w:rPr>
                <w:sz w:val="20"/>
                <w:szCs w:val="20"/>
                <w:color w:val="auto"/>
              </w:rPr>
            </w:pPr>
            <w:r>
              <w:rPr>
                <w:rFonts w:ascii="Calibri" w:cs="Calibri" w:eastAsia="Calibri" w:hAnsi="Calibri"/>
                <w:sz w:val="16"/>
                <w:szCs w:val="16"/>
                <w:color w:val="auto"/>
              </w:rPr>
              <w:t>Raytheon Technologies Corporaton*</w:t>
            </w:r>
          </w:p>
        </w:tc>
      </w:tr>
      <w:tr>
        <w:trPr>
          <w:trHeight w:val="216"/>
        </w:trPr>
        <w:tc>
          <w:tcPr>
            <w:tcW w:w="2480" w:type="dxa"/>
            <w:vAlign w:val="bottom"/>
          </w:tcPr>
          <w:p>
            <w:pPr>
              <w:spacing w:after="0"/>
              <w:rPr>
                <w:sz w:val="20"/>
                <w:szCs w:val="20"/>
                <w:color w:val="auto"/>
              </w:rPr>
            </w:pPr>
            <w:r>
              <w:rPr>
                <w:rFonts w:ascii="Calibri" w:cs="Calibri" w:eastAsia="Calibri" w:hAnsi="Calibri"/>
                <w:sz w:val="16"/>
                <w:szCs w:val="16"/>
                <w:color w:val="auto"/>
              </w:rPr>
              <w:t>Cisco Systems, Inc.</w:t>
            </w:r>
          </w:p>
        </w:tc>
        <w:tc>
          <w:tcPr>
            <w:tcW w:w="4180" w:type="dxa"/>
            <w:vAlign w:val="bottom"/>
          </w:tcPr>
          <w:p>
            <w:pPr>
              <w:ind w:left="1260"/>
              <w:spacing w:after="0"/>
              <w:rPr>
                <w:sz w:val="20"/>
                <w:szCs w:val="20"/>
                <w:color w:val="auto"/>
              </w:rPr>
            </w:pPr>
            <w:r>
              <w:rPr>
                <w:rFonts w:ascii="Calibri" w:cs="Calibri" w:eastAsia="Calibri" w:hAnsi="Calibri"/>
                <w:sz w:val="16"/>
                <w:szCs w:val="16"/>
                <w:color w:val="auto"/>
              </w:rPr>
              <w:t>Honeywell Internatonal Inc.*</w:t>
            </w:r>
          </w:p>
        </w:tc>
        <w:tc>
          <w:tcPr>
            <w:tcW w:w="3240" w:type="dxa"/>
            <w:vAlign w:val="bottom"/>
          </w:tcPr>
          <w:p>
            <w:pPr>
              <w:ind w:left="820"/>
              <w:spacing w:after="0"/>
              <w:rPr>
                <w:sz w:val="20"/>
                <w:szCs w:val="20"/>
                <w:color w:val="auto"/>
              </w:rPr>
            </w:pPr>
            <w:r>
              <w:rPr>
                <w:rFonts w:ascii="Calibri" w:cs="Calibri" w:eastAsia="Calibri" w:hAnsi="Calibri"/>
                <w:sz w:val="16"/>
                <w:szCs w:val="16"/>
                <w:color w:val="auto"/>
              </w:rPr>
              <w:t>The Boeing Company*</w:t>
            </w:r>
          </w:p>
        </w:tc>
      </w:tr>
      <w:tr>
        <w:trPr>
          <w:trHeight w:val="216"/>
        </w:trPr>
        <w:tc>
          <w:tcPr>
            <w:tcW w:w="2480" w:type="dxa"/>
            <w:vAlign w:val="bottom"/>
          </w:tcPr>
          <w:p>
            <w:pPr>
              <w:spacing w:after="0"/>
              <w:rPr>
                <w:sz w:val="20"/>
                <w:szCs w:val="20"/>
                <w:color w:val="auto"/>
              </w:rPr>
            </w:pPr>
            <w:r>
              <w:rPr>
                <w:rFonts w:ascii="Calibri" w:cs="Calibri" w:eastAsia="Calibri" w:hAnsi="Calibri"/>
                <w:sz w:val="16"/>
                <w:szCs w:val="16"/>
                <w:color w:val="auto"/>
              </w:rPr>
              <w:t>Deere &amp; Company</w:t>
            </w:r>
          </w:p>
        </w:tc>
        <w:tc>
          <w:tcPr>
            <w:tcW w:w="4180" w:type="dxa"/>
            <w:vAlign w:val="bottom"/>
          </w:tcPr>
          <w:p>
            <w:pPr>
              <w:ind w:left="1260"/>
              <w:spacing w:after="0"/>
              <w:rPr>
                <w:sz w:val="20"/>
                <w:szCs w:val="20"/>
                <w:color w:val="auto"/>
              </w:rPr>
            </w:pPr>
            <w:r>
              <w:rPr>
                <w:rFonts w:ascii="Calibri" w:cs="Calibri" w:eastAsia="Calibri" w:hAnsi="Calibri"/>
                <w:sz w:val="16"/>
                <w:szCs w:val="16"/>
                <w:color w:val="auto"/>
              </w:rPr>
              <w:t>HP Inc.</w:t>
            </w:r>
          </w:p>
        </w:tc>
        <w:tc>
          <w:tcPr>
            <w:tcW w:w="3240" w:type="dxa"/>
            <w:vAlign w:val="bottom"/>
          </w:tcPr>
          <w:p>
            <w:pPr>
              <w:ind w:left="820"/>
              <w:spacing w:after="0"/>
              <w:rPr>
                <w:sz w:val="20"/>
                <w:szCs w:val="20"/>
                <w:color w:val="auto"/>
              </w:rPr>
            </w:pPr>
            <w:r>
              <w:rPr>
                <w:rFonts w:ascii="Calibri" w:cs="Calibri" w:eastAsia="Calibri" w:hAnsi="Calibri"/>
                <w:sz w:val="16"/>
                <w:szCs w:val="16"/>
                <w:color w:val="auto"/>
              </w:rPr>
              <w:t>United Parcel Service, Inc.</w:t>
            </w:r>
          </w:p>
        </w:tc>
      </w:tr>
      <w:tr>
        <w:trPr>
          <w:trHeight w:val="216"/>
        </w:trPr>
        <w:tc>
          <w:tcPr>
            <w:tcW w:w="2480" w:type="dxa"/>
            <w:vAlign w:val="bottom"/>
          </w:tcPr>
          <w:p>
            <w:pPr>
              <w:spacing w:after="0"/>
              <w:rPr>
                <w:sz w:val="20"/>
                <w:szCs w:val="20"/>
                <w:color w:val="auto"/>
              </w:rPr>
            </w:pPr>
            <w:r>
              <w:rPr>
                <w:rFonts w:ascii="Calibri" w:cs="Calibri" w:eastAsia="Calibri" w:hAnsi="Calibri"/>
                <w:sz w:val="16"/>
                <w:szCs w:val="16"/>
                <w:color w:val="auto"/>
              </w:rPr>
              <w:t>Dow Inc.</w:t>
            </w:r>
          </w:p>
        </w:tc>
        <w:tc>
          <w:tcPr>
            <w:tcW w:w="4180" w:type="dxa"/>
            <w:vAlign w:val="bottom"/>
          </w:tcPr>
          <w:p>
            <w:pPr>
              <w:ind w:left="1260"/>
              <w:spacing w:after="0"/>
              <w:rPr>
                <w:sz w:val="20"/>
                <w:szCs w:val="20"/>
                <w:color w:val="auto"/>
              </w:rPr>
            </w:pPr>
            <w:r>
              <w:rPr>
                <w:rFonts w:ascii="Calibri" w:cs="Calibri" w:eastAsia="Calibri" w:hAnsi="Calibri"/>
                <w:sz w:val="16"/>
                <w:szCs w:val="16"/>
                <w:color w:val="auto"/>
              </w:rPr>
              <w:t>IBM Corporaton</w:t>
            </w:r>
          </w:p>
        </w:tc>
        <w:tc>
          <w:tcPr>
            <w:tcW w:w="3240" w:type="dxa"/>
            <w:vAlign w:val="bottom"/>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Calibri" w:cs="Calibri" w:eastAsia="Calibri" w:hAnsi="Calibri"/>
                <w:sz w:val="16"/>
                <w:szCs w:val="16"/>
                <w:color w:val="auto"/>
              </w:rPr>
              <w:t>FedEx Corporaton</w:t>
            </w:r>
          </w:p>
        </w:tc>
        <w:tc>
          <w:tcPr>
            <w:tcW w:w="4180" w:type="dxa"/>
            <w:vAlign w:val="bottom"/>
          </w:tcPr>
          <w:p>
            <w:pPr>
              <w:ind w:left="1260"/>
              <w:spacing w:after="0"/>
              <w:rPr>
                <w:sz w:val="20"/>
                <w:szCs w:val="20"/>
                <w:color w:val="auto"/>
              </w:rPr>
            </w:pPr>
            <w:r>
              <w:rPr>
                <w:rFonts w:ascii="Calibri" w:cs="Calibri" w:eastAsia="Calibri" w:hAnsi="Calibri"/>
                <w:sz w:val="16"/>
                <w:szCs w:val="16"/>
                <w:color w:val="auto"/>
              </w:rPr>
              <w:t>Intel Corporaton</w:t>
            </w:r>
          </w:p>
        </w:tc>
        <w:tc>
          <w:tcPr>
            <w:tcW w:w="3240" w:type="dxa"/>
            <w:vAlign w:val="bottom"/>
          </w:tcPr>
          <w:p>
            <w:pPr>
              <w:spacing w:after="0"/>
              <w:rPr>
                <w:sz w:val="18"/>
                <w:szCs w:val="18"/>
                <w:color w:val="auto"/>
              </w:rPr>
            </w:pPr>
          </w:p>
        </w:tc>
      </w:tr>
    </w:tbl>
    <w:p>
      <w:pPr>
        <w:spacing w:after="0" w:line="26" w:lineRule="exact"/>
        <w:rPr>
          <w:sz w:val="20"/>
          <w:szCs w:val="20"/>
          <w:color w:val="auto"/>
        </w:rPr>
      </w:pPr>
    </w:p>
    <w:p>
      <w:pPr>
        <w:ind w:left="280" w:hanging="254"/>
        <w:spacing w:after="0"/>
        <w:tabs>
          <w:tab w:leader="none" w:pos="280" w:val="left"/>
        </w:tabs>
        <w:numPr>
          <w:ilvl w:val="0"/>
          <w:numId w:val="64"/>
        </w:numPr>
        <w:rPr>
          <w:rFonts w:ascii="Calibri" w:cs="Calibri" w:eastAsia="Calibri" w:hAnsi="Calibri"/>
          <w:sz w:val="14"/>
          <w:szCs w:val="14"/>
          <w:color w:val="auto"/>
        </w:rPr>
      </w:pPr>
      <w:r>
        <w:rPr>
          <w:rFonts w:ascii="Calibri" w:cs="Calibri" w:eastAsia="Calibri" w:hAnsi="Calibri"/>
          <w:sz w:val="14"/>
          <w:szCs w:val="14"/>
          <w:color w:val="auto"/>
        </w:rPr>
        <w:t>Aerospace &amp; Defense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631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7"/>
          <w:szCs w:val="17"/>
          <w:color w:val="475C90"/>
        </w:rPr>
        <w:t>2022 Comparator Group Revenue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172720</wp:posOffset>
            </wp:positionV>
            <wp:extent cx="5786120" cy="5657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861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1" w:name="page52"/>
    <w:bookmarkEnd w:id="51"/>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818EB4"/>
        </w:rPr>
        <w:t>Compensation and Risk</w:t>
      </w:r>
    </w:p>
    <w:p>
      <w:pPr>
        <w:spacing w:after="0" w:line="111" w:lineRule="exact"/>
        <w:rPr>
          <w:sz w:val="20"/>
          <w:szCs w:val="20"/>
          <w:color w:val="auto"/>
        </w:rPr>
      </w:pPr>
    </w:p>
    <w:p>
      <w:pPr>
        <w:ind w:right="800"/>
        <w:spacing w:after="0" w:line="261" w:lineRule="auto"/>
        <w:rPr>
          <w:sz w:val="20"/>
          <w:szCs w:val="20"/>
          <w:color w:val="auto"/>
        </w:rPr>
      </w:pPr>
      <w:r>
        <w:rPr>
          <w:rFonts w:ascii="Calibri" w:cs="Calibri" w:eastAsia="Calibri" w:hAnsi="Calibri"/>
          <w:sz w:val="17"/>
          <w:szCs w:val="17"/>
          <w:color w:val="auto"/>
        </w:rPr>
        <w:t>The Company’s executve and broad-based compensaton programs are intended to promote decision-making that supports a pay for performance philosophy while mitgatng risk by utlizing the following design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3290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32905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207" w:lineRule="exact"/>
        <w:rPr>
          <w:sz w:val="20"/>
          <w:szCs w:val="20"/>
          <w:color w:val="auto"/>
        </w:rPr>
      </w:pPr>
    </w:p>
    <w:p>
      <w:pPr>
        <w:ind w:left="260" w:hanging="153"/>
        <w:spacing w:after="0"/>
        <w:tabs>
          <w:tab w:leader="none" w:pos="260" w:val="left"/>
        </w:tabs>
        <w:numPr>
          <w:ilvl w:val="0"/>
          <w:numId w:val="65"/>
        </w:numPr>
        <w:rPr>
          <w:rFonts w:ascii="Calibri" w:cs="Calibri" w:eastAsia="Calibri" w:hAnsi="Calibri"/>
          <w:sz w:val="17"/>
          <w:szCs w:val="17"/>
          <w:color w:val="002E6D"/>
        </w:rPr>
      </w:pPr>
      <w:r>
        <w:rPr>
          <w:rFonts w:ascii="Calibri" w:cs="Calibri" w:eastAsia="Calibri" w:hAnsi="Calibri"/>
          <w:sz w:val="17"/>
          <w:szCs w:val="17"/>
          <w:color w:val="auto"/>
        </w:rPr>
        <w:t>Balance of fxed and variable pay opportunites</w:t>
      </w:r>
    </w:p>
    <w:p>
      <w:pPr>
        <w:spacing w:after="0" w:line="79" w:lineRule="exact"/>
        <w:rPr>
          <w:rFonts w:ascii="Calibri" w:cs="Calibri" w:eastAsia="Calibri" w:hAnsi="Calibri"/>
          <w:sz w:val="17"/>
          <w:szCs w:val="17"/>
          <w:color w:val="002E6D"/>
        </w:rPr>
      </w:pPr>
    </w:p>
    <w:p>
      <w:pPr>
        <w:ind w:left="260" w:hanging="153"/>
        <w:spacing w:after="0" w:line="245" w:lineRule="auto"/>
        <w:tabs>
          <w:tab w:leader="none" w:pos="253" w:val="left"/>
        </w:tabs>
        <w:numPr>
          <w:ilvl w:val="0"/>
          <w:numId w:val="65"/>
        </w:numPr>
        <w:rPr>
          <w:rFonts w:ascii="Calibri" w:cs="Calibri" w:eastAsia="Calibri" w:hAnsi="Calibri"/>
          <w:sz w:val="17"/>
          <w:szCs w:val="17"/>
          <w:color w:val="002E6D"/>
        </w:rPr>
      </w:pPr>
      <w:r>
        <w:rPr>
          <w:rFonts w:ascii="Calibri" w:cs="Calibri" w:eastAsia="Calibri" w:hAnsi="Calibri"/>
          <w:sz w:val="17"/>
          <w:szCs w:val="17"/>
          <w:color w:val="auto"/>
        </w:rPr>
        <w:t>Multple performance measures, multple tme periods and capped payouts under incentve plans</w:t>
      </w:r>
    </w:p>
    <w:p>
      <w:pPr>
        <w:spacing w:after="0" w:line="58" w:lineRule="exact"/>
        <w:rPr>
          <w:rFonts w:ascii="Calibri" w:cs="Calibri" w:eastAsia="Calibri" w:hAnsi="Calibri"/>
          <w:sz w:val="17"/>
          <w:szCs w:val="17"/>
          <w:color w:val="002E6D"/>
        </w:rPr>
      </w:pPr>
    </w:p>
    <w:p>
      <w:pPr>
        <w:ind w:left="260" w:hanging="153"/>
        <w:spacing w:after="0"/>
        <w:tabs>
          <w:tab w:leader="none" w:pos="260" w:val="left"/>
        </w:tabs>
        <w:numPr>
          <w:ilvl w:val="0"/>
          <w:numId w:val="65"/>
        </w:numPr>
        <w:rPr>
          <w:rFonts w:ascii="Calibri" w:cs="Calibri" w:eastAsia="Calibri" w:hAnsi="Calibri"/>
          <w:sz w:val="17"/>
          <w:szCs w:val="17"/>
          <w:color w:val="002E6D"/>
        </w:rPr>
      </w:pPr>
      <w:r>
        <w:rPr>
          <w:rFonts w:ascii="Calibri" w:cs="Calibri" w:eastAsia="Calibri" w:hAnsi="Calibri"/>
          <w:sz w:val="17"/>
          <w:szCs w:val="17"/>
          <w:color w:val="auto"/>
        </w:rPr>
        <w:t>Stock ownership requirements</w:t>
      </w:r>
    </w:p>
    <w:p>
      <w:pPr>
        <w:spacing w:after="0" w:line="75" w:lineRule="exact"/>
        <w:rPr>
          <w:rFonts w:ascii="Calibri" w:cs="Calibri" w:eastAsia="Calibri" w:hAnsi="Calibri"/>
          <w:sz w:val="17"/>
          <w:szCs w:val="17"/>
          <w:color w:val="002E6D"/>
        </w:rPr>
      </w:pPr>
    </w:p>
    <w:p>
      <w:pPr>
        <w:ind w:left="260" w:hanging="153"/>
        <w:spacing w:after="0"/>
        <w:tabs>
          <w:tab w:leader="none" w:pos="260" w:val="left"/>
        </w:tabs>
        <w:numPr>
          <w:ilvl w:val="0"/>
          <w:numId w:val="65"/>
        </w:numPr>
        <w:rPr>
          <w:rFonts w:ascii="Calibri" w:cs="Calibri" w:eastAsia="Calibri" w:hAnsi="Calibri"/>
          <w:sz w:val="17"/>
          <w:szCs w:val="17"/>
          <w:color w:val="002E6D"/>
        </w:rPr>
      </w:pPr>
      <w:r>
        <w:rPr>
          <w:rFonts w:ascii="Calibri" w:cs="Calibri" w:eastAsia="Calibri" w:hAnsi="Calibri"/>
          <w:sz w:val="17"/>
          <w:szCs w:val="17"/>
          <w:color w:val="auto"/>
        </w:rPr>
        <w:t>Risk oversight by independent Board commitee</w:t>
      </w:r>
    </w:p>
    <w:p>
      <w:pPr>
        <w:spacing w:after="0" w:line="62" w:lineRule="exact"/>
        <w:rPr>
          <w:rFonts w:ascii="Calibri" w:cs="Calibri" w:eastAsia="Calibri" w:hAnsi="Calibri"/>
          <w:sz w:val="17"/>
          <w:szCs w:val="17"/>
          <w:color w:val="002E6D"/>
        </w:rPr>
      </w:pPr>
    </w:p>
    <w:p>
      <w:pPr>
        <w:ind w:left="260" w:hanging="153"/>
        <w:spacing w:after="0"/>
        <w:tabs>
          <w:tab w:leader="none" w:pos="260" w:val="left"/>
        </w:tabs>
        <w:numPr>
          <w:ilvl w:val="0"/>
          <w:numId w:val="65"/>
        </w:numPr>
        <w:rPr>
          <w:rFonts w:ascii="Calibri" w:cs="Calibri" w:eastAsia="Calibri" w:hAnsi="Calibri"/>
          <w:sz w:val="17"/>
          <w:szCs w:val="17"/>
          <w:color w:val="002E6D"/>
        </w:rPr>
      </w:pPr>
      <w:r>
        <w:rPr>
          <w:rFonts w:ascii="Calibri" w:cs="Calibri" w:eastAsia="Calibri" w:hAnsi="Calibri"/>
          <w:sz w:val="17"/>
          <w:szCs w:val="17"/>
          <w:color w:val="auto"/>
        </w:rPr>
        <w:t>Incentve goals set at the enterprise or business segment level</w:t>
      </w:r>
    </w:p>
    <w:p>
      <w:pPr>
        <w:spacing w:after="0" w:line="75" w:lineRule="exact"/>
        <w:rPr>
          <w:rFonts w:ascii="Calibri" w:cs="Calibri" w:eastAsia="Calibri" w:hAnsi="Calibri"/>
          <w:sz w:val="17"/>
          <w:szCs w:val="17"/>
          <w:color w:val="002E6D"/>
        </w:rPr>
      </w:pPr>
    </w:p>
    <w:p>
      <w:pPr>
        <w:ind w:left="260" w:hanging="153"/>
        <w:spacing w:after="0"/>
        <w:tabs>
          <w:tab w:leader="none" w:pos="260" w:val="left"/>
        </w:tabs>
        <w:numPr>
          <w:ilvl w:val="0"/>
          <w:numId w:val="65"/>
        </w:numPr>
        <w:rPr>
          <w:rFonts w:ascii="Calibri" w:cs="Calibri" w:eastAsia="Calibri" w:hAnsi="Calibri"/>
          <w:sz w:val="17"/>
          <w:szCs w:val="17"/>
          <w:color w:val="002E6D"/>
        </w:rPr>
      </w:pPr>
      <w:r>
        <w:rPr>
          <w:rFonts w:ascii="Calibri" w:cs="Calibri" w:eastAsia="Calibri" w:hAnsi="Calibri"/>
          <w:sz w:val="17"/>
          <w:szCs w:val="17"/>
          <w:color w:val="auto"/>
        </w:rPr>
        <w:t>Incentve plan caps on individual awards and pool size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58" w:right="320" w:hanging="158"/>
        <w:spacing w:after="0" w:line="261" w:lineRule="auto"/>
        <w:tabs>
          <w:tab w:leader="none" w:pos="151" w:val="left"/>
        </w:tabs>
        <w:numPr>
          <w:ilvl w:val="0"/>
          <w:numId w:val="66"/>
        </w:numPr>
        <w:rPr>
          <w:rFonts w:ascii="Calibri" w:cs="Calibri" w:eastAsia="Calibri" w:hAnsi="Calibri"/>
          <w:sz w:val="17"/>
          <w:szCs w:val="17"/>
          <w:color w:val="002E6D"/>
        </w:rPr>
      </w:pPr>
      <w:r>
        <w:rPr>
          <w:rFonts w:ascii="Calibri" w:cs="Calibri" w:eastAsia="Calibri" w:hAnsi="Calibri"/>
          <w:sz w:val="17"/>
          <w:szCs w:val="17"/>
          <w:color w:val="auto"/>
        </w:rPr>
        <w:t>Moderate severance program that includes post-employment restrictve covenants</w:t>
      </w:r>
    </w:p>
    <w:p>
      <w:pPr>
        <w:spacing w:after="0" w:line="44" w:lineRule="exact"/>
        <w:rPr>
          <w:rFonts w:ascii="Calibri" w:cs="Calibri" w:eastAsia="Calibri" w:hAnsi="Calibri"/>
          <w:sz w:val="17"/>
          <w:szCs w:val="17"/>
          <w:color w:val="002E6D"/>
        </w:rPr>
      </w:pPr>
    </w:p>
    <w:p>
      <w:pPr>
        <w:ind w:left="158" w:hanging="158"/>
        <w:spacing w:after="0"/>
        <w:tabs>
          <w:tab w:leader="none" w:pos="158" w:val="left"/>
        </w:tabs>
        <w:numPr>
          <w:ilvl w:val="0"/>
          <w:numId w:val="66"/>
        </w:numPr>
        <w:rPr>
          <w:rFonts w:ascii="Calibri" w:cs="Calibri" w:eastAsia="Calibri" w:hAnsi="Calibri"/>
          <w:sz w:val="17"/>
          <w:szCs w:val="17"/>
          <w:color w:val="002E6D"/>
        </w:rPr>
      </w:pPr>
      <w:r>
        <w:rPr>
          <w:rFonts w:ascii="Calibri" w:cs="Calibri" w:eastAsia="Calibri" w:hAnsi="Calibri"/>
          <w:sz w:val="17"/>
          <w:szCs w:val="17"/>
          <w:color w:val="auto"/>
        </w:rPr>
        <w:t>Insttutonal focus on ethical behavior</w:t>
      </w:r>
    </w:p>
    <w:p>
      <w:pPr>
        <w:spacing w:after="0" w:line="62" w:lineRule="exact"/>
        <w:rPr>
          <w:rFonts w:ascii="Calibri" w:cs="Calibri" w:eastAsia="Calibri" w:hAnsi="Calibri"/>
          <w:sz w:val="17"/>
          <w:szCs w:val="17"/>
          <w:color w:val="002E6D"/>
        </w:rPr>
      </w:pPr>
    </w:p>
    <w:p>
      <w:pPr>
        <w:ind w:left="158" w:hanging="158"/>
        <w:spacing w:after="0"/>
        <w:tabs>
          <w:tab w:leader="none" w:pos="158" w:val="left"/>
        </w:tabs>
        <w:numPr>
          <w:ilvl w:val="0"/>
          <w:numId w:val="66"/>
        </w:numPr>
        <w:rPr>
          <w:rFonts w:ascii="Calibri" w:cs="Calibri" w:eastAsia="Calibri" w:hAnsi="Calibri"/>
          <w:sz w:val="17"/>
          <w:szCs w:val="17"/>
          <w:color w:val="002E6D"/>
        </w:rPr>
      </w:pPr>
      <w:r>
        <w:rPr>
          <w:rFonts w:ascii="Calibri" w:cs="Calibri" w:eastAsia="Calibri" w:hAnsi="Calibri"/>
          <w:sz w:val="17"/>
          <w:szCs w:val="17"/>
          <w:color w:val="auto"/>
        </w:rPr>
        <w:t>Annual risk assessment</w:t>
      </w:r>
    </w:p>
    <w:p>
      <w:pPr>
        <w:spacing w:after="0" w:line="75" w:lineRule="exact"/>
        <w:rPr>
          <w:rFonts w:ascii="Calibri" w:cs="Calibri" w:eastAsia="Calibri" w:hAnsi="Calibri"/>
          <w:sz w:val="17"/>
          <w:szCs w:val="17"/>
          <w:color w:val="002E6D"/>
        </w:rPr>
      </w:pPr>
    </w:p>
    <w:p>
      <w:pPr>
        <w:ind w:left="158" w:hanging="158"/>
        <w:spacing w:after="0"/>
        <w:tabs>
          <w:tab w:leader="none" w:pos="158" w:val="left"/>
        </w:tabs>
        <w:numPr>
          <w:ilvl w:val="0"/>
          <w:numId w:val="66"/>
        </w:numPr>
        <w:rPr>
          <w:rFonts w:ascii="Calibri" w:cs="Calibri" w:eastAsia="Calibri" w:hAnsi="Calibri"/>
          <w:sz w:val="17"/>
          <w:szCs w:val="17"/>
          <w:color w:val="002E6D"/>
        </w:rPr>
      </w:pPr>
      <w:r>
        <w:rPr>
          <w:rFonts w:ascii="Calibri" w:cs="Calibri" w:eastAsia="Calibri" w:hAnsi="Calibri"/>
          <w:sz w:val="17"/>
          <w:szCs w:val="17"/>
          <w:color w:val="auto"/>
        </w:rPr>
        <w:t>Compensaton Commitee oversight of equity burn rate and diluton</w:t>
      </w:r>
    </w:p>
    <w:p>
      <w:pPr>
        <w:spacing w:after="0" w:line="62" w:lineRule="exact"/>
        <w:rPr>
          <w:rFonts w:ascii="Calibri" w:cs="Calibri" w:eastAsia="Calibri" w:hAnsi="Calibri"/>
          <w:sz w:val="17"/>
          <w:szCs w:val="17"/>
          <w:color w:val="002E6D"/>
        </w:rPr>
      </w:pPr>
    </w:p>
    <w:p>
      <w:pPr>
        <w:ind w:left="158" w:hanging="158"/>
        <w:spacing w:after="0"/>
        <w:tabs>
          <w:tab w:leader="none" w:pos="158" w:val="left"/>
        </w:tabs>
        <w:numPr>
          <w:ilvl w:val="0"/>
          <w:numId w:val="66"/>
        </w:numPr>
        <w:rPr>
          <w:rFonts w:ascii="Calibri" w:cs="Calibri" w:eastAsia="Calibri" w:hAnsi="Calibri"/>
          <w:sz w:val="17"/>
          <w:szCs w:val="17"/>
          <w:color w:val="002E6D"/>
        </w:rPr>
      </w:pPr>
      <w:r>
        <w:rPr>
          <w:rFonts w:ascii="Calibri" w:cs="Calibri" w:eastAsia="Calibri" w:hAnsi="Calibri"/>
          <w:sz w:val="17"/>
          <w:szCs w:val="17"/>
          <w:color w:val="auto"/>
        </w:rPr>
        <w:t>Clawback policy</w:t>
      </w:r>
    </w:p>
    <w:p>
      <w:pPr>
        <w:spacing w:after="0" w:line="75" w:lineRule="exact"/>
        <w:rPr>
          <w:rFonts w:ascii="Calibri" w:cs="Calibri" w:eastAsia="Calibri" w:hAnsi="Calibri"/>
          <w:sz w:val="17"/>
          <w:szCs w:val="17"/>
          <w:color w:val="002E6D"/>
        </w:rPr>
      </w:pPr>
    </w:p>
    <w:p>
      <w:pPr>
        <w:ind w:left="158" w:hanging="158"/>
        <w:spacing w:after="0"/>
        <w:tabs>
          <w:tab w:leader="none" w:pos="158" w:val="left"/>
        </w:tabs>
        <w:numPr>
          <w:ilvl w:val="0"/>
          <w:numId w:val="66"/>
        </w:numPr>
        <w:rPr>
          <w:rFonts w:ascii="Calibri" w:cs="Calibri" w:eastAsia="Calibri" w:hAnsi="Calibri"/>
          <w:sz w:val="17"/>
          <w:szCs w:val="17"/>
          <w:color w:val="002E6D"/>
        </w:rPr>
      </w:pPr>
      <w:r>
        <w:rPr>
          <w:rFonts w:ascii="Calibri" w:cs="Calibri" w:eastAsia="Calibri" w:hAnsi="Calibri"/>
          <w:sz w:val="17"/>
          <w:szCs w:val="17"/>
          <w:color w:val="auto"/>
        </w:rPr>
        <w:t>Ant-hedging and pledging policy</w:t>
      </w:r>
    </w:p>
    <w:p>
      <w:pPr>
        <w:spacing w:after="0" w:line="200" w:lineRule="exact"/>
        <w:rPr>
          <w:sz w:val="20"/>
          <w:szCs w:val="20"/>
          <w:color w:val="auto"/>
        </w:rPr>
      </w:pPr>
    </w:p>
    <w:p>
      <w:pPr>
        <w:sectPr>
          <w:pgSz w:w="11900" w:h="16838" w:orient="portrait"/>
          <w:cols w:equalWidth="0" w:num="2">
            <w:col w:w="5020" w:space="622"/>
            <w:col w:w="5598"/>
          </w:cols>
          <w:pgMar w:left="320" w:top="231" w:right="339" w:bottom="1440" w:gutter="0" w:footer="0" w:header="0"/>
          <w:type w:val="continuous"/>
        </w:sectPr>
      </w:pPr>
    </w:p>
    <w:p>
      <w:pPr>
        <w:spacing w:after="0" w:line="149" w:lineRule="exact"/>
        <w:rPr>
          <w:sz w:val="20"/>
          <w:szCs w:val="20"/>
          <w:color w:val="auto"/>
        </w:rPr>
      </w:pPr>
    </w:p>
    <w:p>
      <w:pPr>
        <w:ind w:right="180"/>
        <w:spacing w:after="0" w:line="245" w:lineRule="auto"/>
        <w:rPr>
          <w:sz w:val="20"/>
          <w:szCs w:val="20"/>
          <w:color w:val="auto"/>
        </w:rPr>
      </w:pPr>
      <w:r>
        <w:rPr>
          <w:rFonts w:ascii="Calibri" w:cs="Calibri" w:eastAsia="Calibri" w:hAnsi="Calibri"/>
          <w:sz w:val="17"/>
          <w:szCs w:val="17"/>
          <w:color w:val="auto"/>
        </w:rPr>
        <w:t>With the assistance of a risk assessment conducted by Meridian on an annual basis, the Compensaton Commitee concluded in 2022 that risks arising from our executve and broad-based incentve compensaton programs are not reasonably likely to have a material adverse efect on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color w:val="818EB4"/>
        </w:rPr>
        <w:t>2022 Named Executive Officers’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818EB4"/>
        </w:rPr>
        <w:t>2022 Target Compensation</w:t>
      </w:r>
    </w:p>
    <w:p>
      <w:pPr>
        <w:spacing w:after="0" w:line="111" w:lineRule="exact"/>
        <w:rPr>
          <w:sz w:val="20"/>
          <w:szCs w:val="20"/>
          <w:color w:val="auto"/>
        </w:rPr>
      </w:pPr>
    </w:p>
    <w:p>
      <w:pPr>
        <w:spacing w:after="0" w:line="255" w:lineRule="auto"/>
        <w:rPr>
          <w:sz w:val="20"/>
          <w:szCs w:val="20"/>
          <w:color w:val="auto"/>
        </w:rPr>
      </w:pPr>
      <w:r>
        <w:rPr>
          <w:rFonts w:ascii="Calibri" w:cs="Calibri" w:eastAsia="Calibri" w:hAnsi="Calibri"/>
          <w:sz w:val="17"/>
          <w:szCs w:val="17"/>
          <w:color w:val="auto"/>
        </w:rPr>
        <w:t>Our NEOs’ target compensaton for 2022 is shown in the table below and is closely aligned to the market rate. When determining pay for our NEOs, the Compensaton Commitee considers the current market data in combinaton with other internal factors when setng annual target pay levels, such as changes to market data year-over-year, internal pay equity, individual performance, job scope and critcality to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Borders>
              <w:bottom w:val="single" w:sz="8" w:color="E4E6EF"/>
            </w:tcBorders>
            <w:shd w:val="clear" w:color="auto" w:fill="E4E6EF"/>
          </w:tcPr>
          <w:p>
            <w:pPr>
              <w:spacing w:after="0"/>
              <w:rPr>
                <w:sz w:val="17"/>
                <w:szCs w:val="17"/>
                <w:color w:val="auto"/>
              </w:rPr>
            </w:pPr>
          </w:p>
        </w:tc>
        <w:tc>
          <w:tcPr>
            <w:tcW w:w="1440" w:type="dxa"/>
            <w:vAlign w:val="bottom"/>
            <w:tcBorders>
              <w:bottom w:val="single" w:sz="8" w:color="E4E6EF"/>
            </w:tcBorders>
            <w:shd w:val="clear" w:color="auto" w:fill="E4E6EF"/>
          </w:tcPr>
          <w:p>
            <w:pPr>
              <w:spacing w:after="0"/>
              <w:rPr>
                <w:sz w:val="17"/>
                <w:szCs w:val="17"/>
                <w:color w:val="auto"/>
              </w:rPr>
            </w:pPr>
          </w:p>
        </w:tc>
        <w:tc>
          <w:tcPr>
            <w:tcW w:w="2060" w:type="dxa"/>
            <w:vAlign w:val="bottom"/>
            <w:tcBorders>
              <w:bottom w:val="single" w:sz="8" w:color="003478"/>
            </w:tcBorders>
            <w:shd w:val="clear" w:color="auto" w:fill="E4E6EF"/>
          </w:tcPr>
          <w:p>
            <w:pPr>
              <w:jc w:val="right"/>
              <w:ind w:right="91"/>
              <w:spacing w:after="0"/>
              <w:rPr>
                <w:sz w:val="20"/>
                <w:szCs w:val="20"/>
                <w:color w:val="auto"/>
              </w:rPr>
            </w:pPr>
            <w:r>
              <w:rPr>
                <w:rFonts w:ascii="Arial" w:cs="Arial" w:eastAsia="Arial" w:hAnsi="Arial"/>
                <w:sz w:val="13"/>
                <w:szCs w:val="13"/>
                <w:color w:val="auto"/>
              </w:rPr>
              <w:t>Annual Incentive</w:t>
            </w:r>
          </w:p>
        </w:tc>
        <w:tc>
          <w:tcPr>
            <w:tcW w:w="800" w:type="dxa"/>
            <w:vAlign w:val="bottom"/>
            <w:tcBorders>
              <w:bottom w:val="single" w:sz="8" w:color="003478"/>
            </w:tcBorders>
            <w:shd w:val="clear" w:color="auto" w:fill="E4E6EF"/>
          </w:tcPr>
          <w:p>
            <w:pPr>
              <w:spacing w:after="0"/>
              <w:rPr>
                <w:sz w:val="17"/>
                <w:szCs w:val="17"/>
                <w:color w:val="auto"/>
              </w:rPr>
            </w:pPr>
          </w:p>
        </w:tc>
        <w:tc>
          <w:tcPr>
            <w:tcW w:w="1640" w:type="dxa"/>
            <w:vAlign w:val="bottom"/>
            <w:tcBorders>
              <w:bottom w:val="single" w:sz="8" w:color="E4E6EF"/>
            </w:tcBorders>
            <w:shd w:val="clear" w:color="auto" w:fill="E4E6EF"/>
          </w:tcPr>
          <w:p>
            <w:pPr>
              <w:spacing w:after="0"/>
              <w:rPr>
                <w:sz w:val="17"/>
                <w:szCs w:val="17"/>
                <w:color w:val="auto"/>
              </w:rPr>
            </w:pPr>
          </w:p>
        </w:tc>
        <w:tc>
          <w:tcPr>
            <w:tcW w:w="1300" w:type="dxa"/>
            <w:vAlign w:val="bottom"/>
            <w:tcBorders>
              <w:bottom w:val="single" w:sz="8" w:color="E4E6EF"/>
            </w:tcBorders>
            <w:shd w:val="clear" w:color="auto" w:fill="E4E6EF"/>
          </w:tcPr>
          <w:p>
            <w:pPr>
              <w:spacing w:after="0"/>
              <w:rPr>
                <w:sz w:val="17"/>
                <w:szCs w:val="17"/>
                <w:color w:val="auto"/>
              </w:rPr>
            </w:pPr>
          </w:p>
        </w:tc>
      </w:tr>
      <w:tr>
        <w:trPr>
          <w:trHeight w:val="158"/>
        </w:trPr>
        <w:tc>
          <w:tcPr>
            <w:tcW w:w="4000" w:type="dxa"/>
            <w:vAlign w:val="bottom"/>
            <w:shd w:val="clear" w:color="auto" w:fill="E4E6EF"/>
          </w:tcPr>
          <w:p>
            <w:pPr>
              <w:spacing w:after="0"/>
              <w:rPr>
                <w:sz w:val="13"/>
                <w:szCs w:val="13"/>
                <w:color w:val="auto"/>
              </w:rPr>
            </w:pPr>
          </w:p>
        </w:tc>
        <w:tc>
          <w:tcPr>
            <w:tcW w:w="1440" w:type="dxa"/>
            <w:vAlign w:val="bottom"/>
            <w:shd w:val="clear" w:color="auto" w:fill="E4E6EF"/>
          </w:tcPr>
          <w:p>
            <w:pPr>
              <w:jc w:val="right"/>
              <w:spacing w:after="0"/>
              <w:rPr>
                <w:sz w:val="20"/>
                <w:szCs w:val="20"/>
                <w:color w:val="auto"/>
              </w:rPr>
            </w:pPr>
            <w:r>
              <w:rPr>
                <w:rFonts w:ascii="Arial" w:cs="Arial" w:eastAsia="Arial" w:hAnsi="Arial"/>
                <w:sz w:val="13"/>
                <w:szCs w:val="13"/>
                <w:color w:val="auto"/>
              </w:rPr>
              <w:t>Base</w:t>
            </w:r>
          </w:p>
        </w:tc>
        <w:tc>
          <w:tcPr>
            <w:tcW w:w="2060" w:type="dxa"/>
            <w:vAlign w:val="bottom"/>
            <w:shd w:val="clear" w:color="auto" w:fill="E4E6EF"/>
          </w:tcPr>
          <w:p>
            <w:pPr>
              <w:spacing w:after="0"/>
              <w:rPr>
                <w:sz w:val="13"/>
                <w:szCs w:val="13"/>
                <w:color w:val="auto"/>
              </w:rPr>
            </w:pPr>
          </w:p>
        </w:tc>
        <w:tc>
          <w:tcPr>
            <w:tcW w:w="8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Target</w:t>
            </w:r>
          </w:p>
        </w:tc>
        <w:tc>
          <w:tcPr>
            <w:tcW w:w="1640" w:type="dxa"/>
            <w:vAlign w:val="bottom"/>
            <w:shd w:val="clear" w:color="auto" w:fill="E4E6EF"/>
          </w:tcPr>
          <w:p>
            <w:pPr>
              <w:spacing w:after="0"/>
              <w:rPr>
                <w:sz w:val="13"/>
                <w:szCs w:val="13"/>
                <w:color w:val="auto"/>
              </w:rPr>
            </w:pPr>
          </w:p>
        </w:tc>
        <w:tc>
          <w:tcPr>
            <w:tcW w:w="13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Total Target Direct</w:t>
            </w:r>
          </w:p>
        </w:tc>
      </w:tr>
      <w:tr>
        <w:trPr>
          <w:trHeight w:val="148"/>
        </w:trPr>
        <w:tc>
          <w:tcPr>
            <w:tcW w:w="4000" w:type="dxa"/>
            <w:vAlign w:val="bottom"/>
            <w:shd w:val="clear" w:color="auto" w:fill="E4E6EF"/>
          </w:tcPr>
          <w:p>
            <w:pPr>
              <w:spacing w:after="0"/>
              <w:rPr>
                <w:sz w:val="12"/>
                <w:szCs w:val="12"/>
                <w:color w:val="auto"/>
              </w:rPr>
            </w:pPr>
          </w:p>
        </w:tc>
        <w:tc>
          <w:tcPr>
            <w:tcW w:w="1440" w:type="dxa"/>
            <w:vAlign w:val="bottom"/>
            <w:shd w:val="clear" w:color="auto" w:fill="E4E6EF"/>
          </w:tcPr>
          <w:p>
            <w:pPr>
              <w:jc w:val="right"/>
              <w:spacing w:after="0"/>
              <w:rPr>
                <w:sz w:val="20"/>
                <w:szCs w:val="20"/>
                <w:color w:val="auto"/>
              </w:rPr>
            </w:pPr>
            <w:r>
              <w:rPr>
                <w:rFonts w:ascii="Arial" w:cs="Arial" w:eastAsia="Arial" w:hAnsi="Arial"/>
                <w:sz w:val="13"/>
                <w:szCs w:val="13"/>
                <w:color w:val="auto"/>
              </w:rPr>
              <w:t>Salary</w:t>
            </w:r>
          </w:p>
        </w:tc>
        <w:tc>
          <w:tcPr>
            <w:tcW w:w="2060" w:type="dxa"/>
            <w:vAlign w:val="bottom"/>
            <w:shd w:val="clear" w:color="auto" w:fill="E4E6EF"/>
          </w:tcPr>
          <w:p>
            <w:pPr>
              <w:jc w:val="right"/>
              <w:ind w:right="611"/>
              <w:spacing w:after="0"/>
              <w:rPr>
                <w:sz w:val="20"/>
                <w:szCs w:val="20"/>
                <w:color w:val="auto"/>
              </w:rPr>
            </w:pPr>
            <w:r>
              <w:rPr>
                <w:rFonts w:ascii="Arial" w:cs="Arial" w:eastAsia="Arial" w:hAnsi="Arial"/>
                <w:sz w:val="13"/>
                <w:szCs w:val="13"/>
                <w:color w:val="auto"/>
              </w:rPr>
              <w:t>Target</w:t>
            </w:r>
          </w:p>
        </w:tc>
        <w:tc>
          <w:tcPr>
            <w:tcW w:w="8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Amount</w:t>
            </w:r>
          </w:p>
        </w:tc>
        <w:tc>
          <w:tcPr>
            <w:tcW w:w="1640" w:type="dxa"/>
            <w:vAlign w:val="bottom"/>
            <w:shd w:val="clear" w:color="auto" w:fill="E4E6EF"/>
          </w:tcPr>
          <w:p>
            <w:pPr>
              <w:jc w:val="right"/>
              <w:ind w:right="190"/>
              <w:spacing w:after="0"/>
              <w:rPr>
                <w:sz w:val="20"/>
                <w:szCs w:val="20"/>
                <w:color w:val="auto"/>
              </w:rPr>
            </w:pPr>
            <w:r>
              <w:rPr>
                <w:rFonts w:ascii="Arial" w:cs="Arial" w:eastAsia="Arial" w:hAnsi="Arial"/>
                <w:sz w:val="13"/>
                <w:szCs w:val="13"/>
                <w:color w:val="auto"/>
              </w:rPr>
              <w:t>2022 Target LTI Value</w:t>
            </w:r>
          </w:p>
        </w:tc>
        <w:tc>
          <w:tcPr>
            <w:tcW w:w="13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Compensation</w:t>
            </w:r>
          </w:p>
        </w:tc>
      </w:tr>
      <w:tr>
        <w:trPr>
          <w:trHeight w:val="212"/>
        </w:trPr>
        <w:tc>
          <w:tcPr>
            <w:tcW w:w="400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13"/>
                <w:szCs w:val="13"/>
                <w:color w:val="auto"/>
              </w:rPr>
              <w:t>NEO</w:t>
            </w:r>
          </w:p>
        </w:tc>
        <w:tc>
          <w:tcPr>
            <w:tcW w:w="144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w:t>
            </w:r>
          </w:p>
        </w:tc>
        <w:tc>
          <w:tcPr>
            <w:tcW w:w="2060" w:type="dxa"/>
            <w:vAlign w:val="bottom"/>
            <w:tcBorders>
              <w:bottom w:val="single" w:sz="8" w:color="E4E6EF"/>
            </w:tcBorders>
            <w:shd w:val="clear" w:color="auto" w:fill="E4E6EF"/>
          </w:tcPr>
          <w:p>
            <w:pPr>
              <w:jc w:val="right"/>
              <w:ind w:right="591"/>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E4E6EF"/>
            </w:tcBorders>
            <w:shd w:val="clear" w:color="auto" w:fill="E4E6EF"/>
          </w:tcPr>
          <w:p>
            <w:pPr>
              <w:jc w:val="right"/>
              <w:ind w:right="15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4000" w:type="dxa"/>
            <w:vAlign w:val="bottom"/>
            <w:tcBorders>
              <w:top w:val="single" w:sz="8" w:color="003478"/>
            </w:tcBorders>
          </w:tcPr>
          <w:p>
            <w:pPr>
              <w:ind w:left="20"/>
              <w:spacing w:after="0" w:line="164" w:lineRule="exact"/>
              <w:rPr>
                <w:sz w:val="20"/>
                <w:szCs w:val="20"/>
                <w:color w:val="auto"/>
              </w:rPr>
            </w:pPr>
            <w:r>
              <w:rPr>
                <w:rFonts w:ascii="Calibri" w:cs="Calibri" w:eastAsia="Calibri" w:hAnsi="Calibri"/>
                <w:sz w:val="14"/>
                <w:szCs w:val="14"/>
                <w:b w:val="1"/>
                <w:bCs w:val="1"/>
                <w:color w:val="003478"/>
              </w:rPr>
              <w:t>Mr. Taiclet</w:t>
            </w:r>
          </w:p>
        </w:tc>
        <w:tc>
          <w:tcPr>
            <w:tcW w:w="144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1,751,000</w:t>
            </w:r>
          </w:p>
        </w:tc>
        <w:tc>
          <w:tcPr>
            <w:tcW w:w="2060" w:type="dxa"/>
            <w:vAlign w:val="bottom"/>
            <w:tcBorders>
              <w:top w:val="single" w:sz="8" w:color="003478"/>
            </w:tcBorders>
          </w:tcPr>
          <w:p>
            <w:pPr>
              <w:jc w:val="right"/>
              <w:ind w:right="631"/>
              <w:spacing w:after="0" w:line="164" w:lineRule="exact"/>
              <w:rPr>
                <w:sz w:val="20"/>
                <w:szCs w:val="20"/>
                <w:color w:val="auto"/>
              </w:rPr>
            </w:pPr>
            <w:r>
              <w:rPr>
                <w:rFonts w:ascii="Calibri" w:cs="Calibri" w:eastAsia="Calibri" w:hAnsi="Calibri"/>
                <w:sz w:val="14"/>
                <w:szCs w:val="14"/>
                <w:color w:val="auto"/>
              </w:rPr>
              <w:t>190</w:t>
            </w:r>
          </w:p>
        </w:tc>
        <w:tc>
          <w:tcPr>
            <w:tcW w:w="80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3,326,900</w:t>
            </w:r>
          </w:p>
        </w:tc>
        <w:tc>
          <w:tcPr>
            <w:tcW w:w="1640" w:type="dxa"/>
            <w:vAlign w:val="bottom"/>
            <w:tcBorders>
              <w:top w:val="single" w:sz="8" w:color="003478"/>
            </w:tcBorders>
          </w:tcPr>
          <w:p>
            <w:pPr>
              <w:jc w:val="right"/>
              <w:ind w:right="210"/>
              <w:spacing w:after="0" w:line="164" w:lineRule="exact"/>
              <w:rPr>
                <w:sz w:val="20"/>
                <w:szCs w:val="20"/>
                <w:color w:val="auto"/>
              </w:rPr>
            </w:pPr>
            <w:r>
              <w:rPr>
                <w:rFonts w:ascii="Calibri" w:cs="Calibri" w:eastAsia="Calibri" w:hAnsi="Calibri"/>
                <w:sz w:val="14"/>
                <w:szCs w:val="14"/>
                <w:color w:val="auto"/>
              </w:rPr>
              <w:t>15,000,000</w:t>
            </w:r>
          </w:p>
        </w:tc>
        <w:tc>
          <w:tcPr>
            <w:tcW w:w="130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20,077,900</w:t>
            </w:r>
          </w:p>
        </w:tc>
      </w:tr>
      <w:tr>
        <w:trPr>
          <w:trHeight w:val="33"/>
        </w:trPr>
        <w:tc>
          <w:tcPr>
            <w:tcW w:w="4000" w:type="dxa"/>
            <w:vAlign w:val="bottom"/>
            <w:tcBorders>
              <w:bottom w:val="single" w:sz="8" w:color="959595"/>
            </w:tcBorders>
          </w:tcPr>
          <w:p>
            <w:pPr>
              <w:spacing w:after="0"/>
              <w:rPr>
                <w:sz w:val="2"/>
                <w:szCs w:val="2"/>
                <w:color w:val="auto"/>
              </w:rPr>
            </w:pPr>
          </w:p>
        </w:tc>
        <w:tc>
          <w:tcPr>
            <w:tcW w:w="1440" w:type="dxa"/>
            <w:vAlign w:val="bottom"/>
            <w:tcBorders>
              <w:bottom w:val="single" w:sz="8" w:color="959595"/>
            </w:tcBorders>
          </w:tcPr>
          <w:p>
            <w:pPr>
              <w:spacing w:after="0"/>
              <w:rPr>
                <w:sz w:val="2"/>
                <w:szCs w:val="2"/>
                <w:color w:val="auto"/>
              </w:rPr>
            </w:pPr>
          </w:p>
        </w:tc>
        <w:tc>
          <w:tcPr>
            <w:tcW w:w="206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r>
      <w:tr>
        <w:trPr>
          <w:trHeight w:val="163"/>
        </w:trPr>
        <w:tc>
          <w:tcPr>
            <w:tcW w:w="40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Malave*</w:t>
            </w:r>
          </w:p>
        </w:tc>
        <w:tc>
          <w:tcPr>
            <w:tcW w:w="1440" w:type="dxa"/>
            <w:vAlign w:val="bottom"/>
          </w:tcPr>
          <w:p>
            <w:pPr>
              <w:jc w:val="right"/>
              <w:spacing w:after="0" w:line="164" w:lineRule="exact"/>
              <w:rPr>
                <w:sz w:val="20"/>
                <w:szCs w:val="20"/>
                <w:color w:val="auto"/>
              </w:rPr>
            </w:pPr>
            <w:r>
              <w:rPr>
                <w:rFonts w:ascii="Calibri" w:cs="Calibri" w:eastAsia="Calibri" w:hAnsi="Calibri"/>
                <w:sz w:val="14"/>
                <w:szCs w:val="14"/>
                <w:color w:val="auto"/>
              </w:rPr>
              <w:t>960,000</w:t>
            </w:r>
          </w:p>
        </w:tc>
        <w:tc>
          <w:tcPr>
            <w:tcW w:w="2060" w:type="dxa"/>
            <w:vAlign w:val="bottom"/>
          </w:tcPr>
          <w:p>
            <w:pPr>
              <w:jc w:val="right"/>
              <w:ind w:right="631"/>
              <w:spacing w:after="0" w:line="164" w:lineRule="exact"/>
              <w:rPr>
                <w:sz w:val="20"/>
                <w:szCs w:val="20"/>
                <w:color w:val="auto"/>
              </w:rPr>
            </w:pPr>
            <w:r>
              <w:rPr>
                <w:rFonts w:ascii="Calibri" w:cs="Calibri" w:eastAsia="Calibri" w:hAnsi="Calibri"/>
                <w:sz w:val="14"/>
                <w:szCs w:val="14"/>
                <w:color w:val="auto"/>
              </w:rPr>
              <w:t>115</w:t>
            </w:r>
          </w:p>
        </w:tc>
        <w:tc>
          <w:tcPr>
            <w:tcW w:w="800" w:type="dxa"/>
            <w:vAlign w:val="bottom"/>
          </w:tcPr>
          <w:p>
            <w:pPr>
              <w:jc w:val="right"/>
              <w:spacing w:after="0" w:line="164" w:lineRule="exact"/>
              <w:rPr>
                <w:sz w:val="20"/>
                <w:szCs w:val="20"/>
                <w:color w:val="auto"/>
              </w:rPr>
            </w:pPr>
            <w:r>
              <w:rPr>
                <w:rFonts w:ascii="Calibri" w:cs="Calibri" w:eastAsia="Calibri" w:hAnsi="Calibri"/>
                <w:sz w:val="14"/>
                <w:szCs w:val="14"/>
                <w:color w:val="auto"/>
              </w:rPr>
              <w:t>1,104,000</w:t>
            </w:r>
          </w:p>
        </w:tc>
        <w:tc>
          <w:tcPr>
            <w:tcW w:w="1640" w:type="dxa"/>
            <w:vAlign w:val="bottom"/>
          </w:tcPr>
          <w:p>
            <w:pPr>
              <w:jc w:val="right"/>
              <w:ind w:right="210"/>
              <w:spacing w:after="0" w:line="164" w:lineRule="exact"/>
              <w:rPr>
                <w:sz w:val="20"/>
                <w:szCs w:val="20"/>
                <w:color w:val="auto"/>
              </w:rPr>
            </w:pPr>
            <w:r>
              <w:rPr>
                <w:rFonts w:ascii="Calibri" w:cs="Calibri" w:eastAsia="Calibri" w:hAnsi="Calibri"/>
                <w:sz w:val="14"/>
                <w:szCs w:val="14"/>
                <w:color w:val="auto"/>
              </w:rPr>
              <w:t>12,000,000</w:t>
            </w:r>
          </w:p>
        </w:tc>
        <w:tc>
          <w:tcPr>
            <w:tcW w:w="1300" w:type="dxa"/>
            <w:vAlign w:val="bottom"/>
          </w:tcPr>
          <w:p>
            <w:pPr>
              <w:jc w:val="right"/>
              <w:spacing w:after="0" w:line="164" w:lineRule="exact"/>
              <w:rPr>
                <w:sz w:val="20"/>
                <w:szCs w:val="20"/>
                <w:color w:val="auto"/>
              </w:rPr>
            </w:pPr>
            <w:r>
              <w:rPr>
                <w:rFonts w:ascii="Calibri" w:cs="Calibri" w:eastAsia="Calibri" w:hAnsi="Calibri"/>
                <w:sz w:val="14"/>
                <w:szCs w:val="14"/>
                <w:color w:val="auto"/>
              </w:rPr>
              <w:t>14,064,000</w:t>
            </w:r>
          </w:p>
        </w:tc>
      </w:tr>
      <w:tr>
        <w:trPr>
          <w:trHeight w:val="33"/>
        </w:trPr>
        <w:tc>
          <w:tcPr>
            <w:tcW w:w="4000" w:type="dxa"/>
            <w:vAlign w:val="bottom"/>
            <w:tcBorders>
              <w:bottom w:val="single" w:sz="8" w:color="959595"/>
            </w:tcBorders>
          </w:tcPr>
          <w:p>
            <w:pPr>
              <w:spacing w:after="0"/>
              <w:rPr>
                <w:sz w:val="2"/>
                <w:szCs w:val="2"/>
                <w:color w:val="auto"/>
              </w:rPr>
            </w:pPr>
          </w:p>
        </w:tc>
        <w:tc>
          <w:tcPr>
            <w:tcW w:w="1440" w:type="dxa"/>
            <w:vAlign w:val="bottom"/>
            <w:tcBorders>
              <w:bottom w:val="single" w:sz="8" w:color="959595"/>
            </w:tcBorders>
          </w:tcPr>
          <w:p>
            <w:pPr>
              <w:spacing w:after="0"/>
              <w:rPr>
                <w:sz w:val="2"/>
                <w:szCs w:val="2"/>
                <w:color w:val="auto"/>
              </w:rPr>
            </w:pPr>
          </w:p>
        </w:tc>
        <w:tc>
          <w:tcPr>
            <w:tcW w:w="206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r>
      <w:tr>
        <w:trPr>
          <w:trHeight w:val="163"/>
        </w:trPr>
        <w:tc>
          <w:tcPr>
            <w:tcW w:w="40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Mollard**</w:t>
            </w:r>
          </w:p>
        </w:tc>
        <w:tc>
          <w:tcPr>
            <w:tcW w:w="1440" w:type="dxa"/>
            <w:vAlign w:val="bottom"/>
          </w:tcPr>
          <w:p>
            <w:pPr>
              <w:jc w:val="right"/>
              <w:spacing w:after="0" w:line="164" w:lineRule="exact"/>
              <w:rPr>
                <w:sz w:val="20"/>
                <w:szCs w:val="20"/>
                <w:color w:val="auto"/>
              </w:rPr>
            </w:pPr>
            <w:r>
              <w:rPr>
                <w:rFonts w:ascii="Calibri" w:cs="Calibri" w:eastAsia="Calibri" w:hAnsi="Calibri"/>
                <w:sz w:val="14"/>
                <w:szCs w:val="14"/>
                <w:color w:val="auto"/>
              </w:rPr>
              <w:t>510,000</w:t>
            </w:r>
          </w:p>
        </w:tc>
        <w:tc>
          <w:tcPr>
            <w:tcW w:w="2060" w:type="dxa"/>
            <w:vAlign w:val="bottom"/>
          </w:tcPr>
          <w:p>
            <w:pPr>
              <w:jc w:val="right"/>
              <w:ind w:right="631"/>
              <w:spacing w:after="0" w:line="164" w:lineRule="exact"/>
              <w:rPr>
                <w:sz w:val="20"/>
                <w:szCs w:val="20"/>
                <w:color w:val="auto"/>
              </w:rPr>
            </w:pPr>
            <w:r>
              <w:rPr>
                <w:rFonts w:ascii="Calibri" w:cs="Calibri" w:eastAsia="Calibri" w:hAnsi="Calibri"/>
                <w:sz w:val="14"/>
                <w:szCs w:val="14"/>
                <w:color w:val="auto"/>
              </w:rPr>
              <w:t>70</w:t>
            </w:r>
          </w:p>
        </w:tc>
        <w:tc>
          <w:tcPr>
            <w:tcW w:w="800" w:type="dxa"/>
            <w:vAlign w:val="bottom"/>
          </w:tcPr>
          <w:p>
            <w:pPr>
              <w:jc w:val="right"/>
              <w:spacing w:after="0" w:line="164" w:lineRule="exact"/>
              <w:rPr>
                <w:sz w:val="20"/>
                <w:szCs w:val="20"/>
                <w:color w:val="auto"/>
              </w:rPr>
            </w:pPr>
            <w:r>
              <w:rPr>
                <w:rFonts w:ascii="Calibri" w:cs="Calibri" w:eastAsia="Calibri" w:hAnsi="Calibri"/>
                <w:sz w:val="14"/>
                <w:szCs w:val="14"/>
                <w:color w:val="auto"/>
              </w:rPr>
              <w:t>357,000</w:t>
            </w:r>
          </w:p>
        </w:tc>
        <w:tc>
          <w:tcPr>
            <w:tcW w:w="1640" w:type="dxa"/>
            <w:vAlign w:val="bottom"/>
          </w:tcPr>
          <w:p>
            <w:pPr>
              <w:jc w:val="right"/>
              <w:ind w:right="210"/>
              <w:spacing w:after="0" w:line="164" w:lineRule="exact"/>
              <w:rPr>
                <w:sz w:val="20"/>
                <w:szCs w:val="20"/>
                <w:color w:val="auto"/>
              </w:rPr>
            </w:pPr>
            <w:r>
              <w:rPr>
                <w:rFonts w:ascii="Calibri" w:cs="Calibri" w:eastAsia="Calibri" w:hAnsi="Calibri"/>
                <w:sz w:val="14"/>
                <w:szCs w:val="14"/>
                <w:color w:val="auto"/>
              </w:rPr>
              <w:t>1,300,000</w:t>
            </w:r>
          </w:p>
        </w:tc>
        <w:tc>
          <w:tcPr>
            <w:tcW w:w="1300" w:type="dxa"/>
            <w:vAlign w:val="bottom"/>
          </w:tcPr>
          <w:p>
            <w:pPr>
              <w:jc w:val="right"/>
              <w:spacing w:after="0" w:line="164" w:lineRule="exact"/>
              <w:rPr>
                <w:sz w:val="20"/>
                <w:szCs w:val="20"/>
                <w:color w:val="auto"/>
              </w:rPr>
            </w:pPr>
            <w:r>
              <w:rPr>
                <w:rFonts w:ascii="Calibri" w:cs="Calibri" w:eastAsia="Calibri" w:hAnsi="Calibri"/>
                <w:sz w:val="14"/>
                <w:szCs w:val="14"/>
                <w:color w:val="auto"/>
              </w:rPr>
              <w:t>2,167,000</w:t>
            </w:r>
          </w:p>
        </w:tc>
      </w:tr>
      <w:tr>
        <w:trPr>
          <w:trHeight w:val="33"/>
        </w:trPr>
        <w:tc>
          <w:tcPr>
            <w:tcW w:w="4000" w:type="dxa"/>
            <w:vAlign w:val="bottom"/>
            <w:tcBorders>
              <w:bottom w:val="single" w:sz="8" w:color="959595"/>
            </w:tcBorders>
          </w:tcPr>
          <w:p>
            <w:pPr>
              <w:spacing w:after="0"/>
              <w:rPr>
                <w:sz w:val="2"/>
                <w:szCs w:val="2"/>
                <w:color w:val="auto"/>
              </w:rPr>
            </w:pPr>
          </w:p>
        </w:tc>
        <w:tc>
          <w:tcPr>
            <w:tcW w:w="1440" w:type="dxa"/>
            <w:vAlign w:val="bottom"/>
            <w:tcBorders>
              <w:bottom w:val="single" w:sz="8" w:color="959595"/>
            </w:tcBorders>
          </w:tcPr>
          <w:p>
            <w:pPr>
              <w:spacing w:after="0"/>
              <w:rPr>
                <w:sz w:val="2"/>
                <w:szCs w:val="2"/>
                <w:color w:val="auto"/>
              </w:rPr>
            </w:pPr>
          </w:p>
        </w:tc>
        <w:tc>
          <w:tcPr>
            <w:tcW w:w="206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r>
      <w:tr>
        <w:trPr>
          <w:trHeight w:val="163"/>
        </w:trPr>
        <w:tc>
          <w:tcPr>
            <w:tcW w:w="40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St. John</w:t>
            </w:r>
          </w:p>
        </w:tc>
        <w:tc>
          <w:tcPr>
            <w:tcW w:w="1440" w:type="dxa"/>
            <w:vAlign w:val="bottom"/>
          </w:tcPr>
          <w:p>
            <w:pPr>
              <w:jc w:val="right"/>
              <w:spacing w:after="0" w:line="164" w:lineRule="exact"/>
              <w:rPr>
                <w:sz w:val="20"/>
                <w:szCs w:val="20"/>
                <w:color w:val="auto"/>
              </w:rPr>
            </w:pPr>
            <w:r>
              <w:rPr>
                <w:rFonts w:ascii="Calibri" w:cs="Calibri" w:eastAsia="Calibri" w:hAnsi="Calibri"/>
                <w:sz w:val="14"/>
                <w:szCs w:val="14"/>
                <w:color w:val="auto"/>
              </w:rPr>
              <w:t>1,000,000</w:t>
            </w:r>
          </w:p>
        </w:tc>
        <w:tc>
          <w:tcPr>
            <w:tcW w:w="2060" w:type="dxa"/>
            <w:vAlign w:val="bottom"/>
          </w:tcPr>
          <w:p>
            <w:pPr>
              <w:jc w:val="right"/>
              <w:ind w:right="631"/>
              <w:spacing w:after="0" w:line="164" w:lineRule="exact"/>
              <w:rPr>
                <w:sz w:val="20"/>
                <w:szCs w:val="20"/>
                <w:color w:val="auto"/>
              </w:rPr>
            </w:pPr>
            <w:r>
              <w:rPr>
                <w:rFonts w:ascii="Calibri" w:cs="Calibri" w:eastAsia="Calibri" w:hAnsi="Calibri"/>
                <w:sz w:val="14"/>
                <w:szCs w:val="14"/>
                <w:color w:val="auto"/>
              </w:rPr>
              <w:t>150</w:t>
            </w:r>
          </w:p>
        </w:tc>
        <w:tc>
          <w:tcPr>
            <w:tcW w:w="800" w:type="dxa"/>
            <w:vAlign w:val="bottom"/>
          </w:tcPr>
          <w:p>
            <w:pPr>
              <w:jc w:val="right"/>
              <w:spacing w:after="0" w:line="164" w:lineRule="exact"/>
              <w:rPr>
                <w:sz w:val="20"/>
                <w:szCs w:val="20"/>
                <w:color w:val="auto"/>
              </w:rPr>
            </w:pPr>
            <w:r>
              <w:rPr>
                <w:rFonts w:ascii="Calibri" w:cs="Calibri" w:eastAsia="Calibri" w:hAnsi="Calibri"/>
                <w:sz w:val="14"/>
                <w:szCs w:val="14"/>
                <w:color w:val="auto"/>
              </w:rPr>
              <w:t>1,500,000</w:t>
            </w:r>
          </w:p>
        </w:tc>
        <w:tc>
          <w:tcPr>
            <w:tcW w:w="1640" w:type="dxa"/>
            <w:vAlign w:val="bottom"/>
          </w:tcPr>
          <w:p>
            <w:pPr>
              <w:jc w:val="right"/>
              <w:ind w:right="210"/>
              <w:spacing w:after="0" w:line="164" w:lineRule="exact"/>
              <w:rPr>
                <w:sz w:val="20"/>
                <w:szCs w:val="20"/>
                <w:color w:val="auto"/>
              </w:rPr>
            </w:pPr>
            <w:r>
              <w:rPr>
                <w:rFonts w:ascii="Calibri" w:cs="Calibri" w:eastAsia="Calibri" w:hAnsi="Calibri"/>
                <w:sz w:val="14"/>
                <w:szCs w:val="14"/>
                <w:color w:val="auto"/>
              </w:rPr>
              <w:t>6,000,000</w:t>
            </w:r>
          </w:p>
        </w:tc>
        <w:tc>
          <w:tcPr>
            <w:tcW w:w="1300" w:type="dxa"/>
            <w:vAlign w:val="bottom"/>
          </w:tcPr>
          <w:p>
            <w:pPr>
              <w:jc w:val="right"/>
              <w:spacing w:after="0" w:line="164" w:lineRule="exact"/>
              <w:rPr>
                <w:sz w:val="20"/>
                <w:szCs w:val="20"/>
                <w:color w:val="auto"/>
              </w:rPr>
            </w:pPr>
            <w:r>
              <w:rPr>
                <w:rFonts w:ascii="Calibri" w:cs="Calibri" w:eastAsia="Calibri" w:hAnsi="Calibri"/>
                <w:sz w:val="14"/>
                <w:szCs w:val="14"/>
                <w:color w:val="auto"/>
              </w:rPr>
              <w:t>8,500,000</w:t>
            </w:r>
          </w:p>
        </w:tc>
      </w:tr>
      <w:tr>
        <w:trPr>
          <w:trHeight w:val="33"/>
        </w:trPr>
        <w:tc>
          <w:tcPr>
            <w:tcW w:w="4000" w:type="dxa"/>
            <w:vAlign w:val="bottom"/>
            <w:tcBorders>
              <w:bottom w:val="single" w:sz="8" w:color="959595"/>
            </w:tcBorders>
          </w:tcPr>
          <w:p>
            <w:pPr>
              <w:spacing w:after="0"/>
              <w:rPr>
                <w:sz w:val="2"/>
                <w:szCs w:val="2"/>
                <w:color w:val="auto"/>
              </w:rPr>
            </w:pPr>
          </w:p>
        </w:tc>
        <w:tc>
          <w:tcPr>
            <w:tcW w:w="1440" w:type="dxa"/>
            <w:vAlign w:val="bottom"/>
            <w:tcBorders>
              <w:bottom w:val="single" w:sz="8" w:color="959595"/>
            </w:tcBorders>
          </w:tcPr>
          <w:p>
            <w:pPr>
              <w:spacing w:after="0"/>
              <w:rPr>
                <w:sz w:val="2"/>
                <w:szCs w:val="2"/>
                <w:color w:val="auto"/>
              </w:rPr>
            </w:pPr>
          </w:p>
        </w:tc>
        <w:tc>
          <w:tcPr>
            <w:tcW w:w="206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r>
      <w:tr>
        <w:trPr>
          <w:trHeight w:val="163"/>
        </w:trPr>
        <w:tc>
          <w:tcPr>
            <w:tcW w:w="40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Greene</w:t>
            </w:r>
          </w:p>
        </w:tc>
        <w:tc>
          <w:tcPr>
            <w:tcW w:w="1440" w:type="dxa"/>
            <w:vAlign w:val="bottom"/>
          </w:tcPr>
          <w:p>
            <w:pPr>
              <w:jc w:val="right"/>
              <w:spacing w:after="0" w:line="164" w:lineRule="exact"/>
              <w:rPr>
                <w:sz w:val="20"/>
                <w:szCs w:val="20"/>
                <w:color w:val="auto"/>
              </w:rPr>
            </w:pPr>
            <w:r>
              <w:rPr>
                <w:rFonts w:ascii="Calibri" w:cs="Calibri" w:eastAsia="Calibri" w:hAnsi="Calibri"/>
                <w:sz w:val="14"/>
                <w:szCs w:val="14"/>
                <w:color w:val="auto"/>
              </w:rPr>
              <w:t>965,000</w:t>
            </w:r>
          </w:p>
        </w:tc>
        <w:tc>
          <w:tcPr>
            <w:tcW w:w="2060" w:type="dxa"/>
            <w:vAlign w:val="bottom"/>
          </w:tcPr>
          <w:p>
            <w:pPr>
              <w:jc w:val="right"/>
              <w:ind w:right="631"/>
              <w:spacing w:after="0" w:line="164" w:lineRule="exact"/>
              <w:rPr>
                <w:sz w:val="20"/>
                <w:szCs w:val="20"/>
                <w:color w:val="auto"/>
              </w:rPr>
            </w:pPr>
            <w:r>
              <w:rPr>
                <w:rFonts w:ascii="Calibri" w:cs="Calibri" w:eastAsia="Calibri" w:hAnsi="Calibri"/>
                <w:sz w:val="14"/>
                <w:szCs w:val="14"/>
                <w:color w:val="auto"/>
              </w:rPr>
              <w:t>115</w:t>
            </w:r>
          </w:p>
        </w:tc>
        <w:tc>
          <w:tcPr>
            <w:tcW w:w="800" w:type="dxa"/>
            <w:vAlign w:val="bottom"/>
          </w:tcPr>
          <w:p>
            <w:pPr>
              <w:jc w:val="right"/>
              <w:spacing w:after="0" w:line="164" w:lineRule="exact"/>
              <w:rPr>
                <w:sz w:val="20"/>
                <w:szCs w:val="20"/>
                <w:color w:val="auto"/>
              </w:rPr>
            </w:pPr>
            <w:r>
              <w:rPr>
                <w:rFonts w:ascii="Calibri" w:cs="Calibri" w:eastAsia="Calibri" w:hAnsi="Calibri"/>
                <w:sz w:val="14"/>
                <w:szCs w:val="14"/>
                <w:color w:val="auto"/>
              </w:rPr>
              <w:t>1,109,750</w:t>
            </w:r>
          </w:p>
        </w:tc>
        <w:tc>
          <w:tcPr>
            <w:tcW w:w="1640" w:type="dxa"/>
            <w:vAlign w:val="bottom"/>
          </w:tcPr>
          <w:p>
            <w:pPr>
              <w:jc w:val="right"/>
              <w:ind w:right="210"/>
              <w:spacing w:after="0" w:line="164" w:lineRule="exact"/>
              <w:rPr>
                <w:sz w:val="20"/>
                <w:szCs w:val="20"/>
                <w:color w:val="auto"/>
              </w:rPr>
            </w:pPr>
            <w:r>
              <w:rPr>
                <w:rFonts w:ascii="Calibri" w:cs="Calibri" w:eastAsia="Calibri" w:hAnsi="Calibri"/>
                <w:sz w:val="14"/>
                <w:szCs w:val="14"/>
                <w:color w:val="auto"/>
              </w:rPr>
              <w:t>4,000,000</w:t>
            </w:r>
          </w:p>
        </w:tc>
        <w:tc>
          <w:tcPr>
            <w:tcW w:w="1300" w:type="dxa"/>
            <w:vAlign w:val="bottom"/>
          </w:tcPr>
          <w:p>
            <w:pPr>
              <w:jc w:val="right"/>
              <w:spacing w:after="0" w:line="164" w:lineRule="exact"/>
              <w:rPr>
                <w:sz w:val="20"/>
                <w:szCs w:val="20"/>
                <w:color w:val="auto"/>
              </w:rPr>
            </w:pPr>
            <w:r>
              <w:rPr>
                <w:rFonts w:ascii="Calibri" w:cs="Calibri" w:eastAsia="Calibri" w:hAnsi="Calibri"/>
                <w:sz w:val="14"/>
                <w:szCs w:val="14"/>
                <w:color w:val="auto"/>
              </w:rPr>
              <w:t>6,074,750</w:t>
            </w:r>
          </w:p>
        </w:tc>
      </w:tr>
      <w:tr>
        <w:trPr>
          <w:trHeight w:val="33"/>
        </w:trPr>
        <w:tc>
          <w:tcPr>
            <w:tcW w:w="4000" w:type="dxa"/>
            <w:vAlign w:val="bottom"/>
            <w:tcBorders>
              <w:bottom w:val="single" w:sz="8" w:color="959595"/>
            </w:tcBorders>
          </w:tcPr>
          <w:p>
            <w:pPr>
              <w:spacing w:after="0"/>
              <w:rPr>
                <w:sz w:val="2"/>
                <w:szCs w:val="2"/>
                <w:color w:val="auto"/>
              </w:rPr>
            </w:pPr>
          </w:p>
        </w:tc>
        <w:tc>
          <w:tcPr>
            <w:tcW w:w="1440" w:type="dxa"/>
            <w:vAlign w:val="bottom"/>
            <w:tcBorders>
              <w:bottom w:val="single" w:sz="8" w:color="959595"/>
            </w:tcBorders>
          </w:tcPr>
          <w:p>
            <w:pPr>
              <w:spacing w:after="0"/>
              <w:rPr>
                <w:sz w:val="2"/>
                <w:szCs w:val="2"/>
                <w:color w:val="auto"/>
              </w:rPr>
            </w:pPr>
          </w:p>
        </w:tc>
        <w:tc>
          <w:tcPr>
            <w:tcW w:w="206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r>
      <w:tr>
        <w:trPr>
          <w:trHeight w:val="163"/>
        </w:trPr>
        <w:tc>
          <w:tcPr>
            <w:tcW w:w="40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Ms. Lavan</w:t>
            </w:r>
          </w:p>
        </w:tc>
        <w:tc>
          <w:tcPr>
            <w:tcW w:w="1440" w:type="dxa"/>
            <w:vAlign w:val="bottom"/>
          </w:tcPr>
          <w:p>
            <w:pPr>
              <w:jc w:val="right"/>
              <w:spacing w:after="0" w:line="164" w:lineRule="exact"/>
              <w:rPr>
                <w:sz w:val="20"/>
                <w:szCs w:val="20"/>
                <w:color w:val="auto"/>
              </w:rPr>
            </w:pPr>
            <w:r>
              <w:rPr>
                <w:rFonts w:ascii="Calibri" w:cs="Calibri" w:eastAsia="Calibri" w:hAnsi="Calibri"/>
                <w:sz w:val="14"/>
                <w:szCs w:val="14"/>
                <w:color w:val="auto"/>
              </w:rPr>
              <w:t>900,000</w:t>
            </w:r>
          </w:p>
        </w:tc>
        <w:tc>
          <w:tcPr>
            <w:tcW w:w="2060" w:type="dxa"/>
            <w:vAlign w:val="bottom"/>
          </w:tcPr>
          <w:p>
            <w:pPr>
              <w:jc w:val="right"/>
              <w:ind w:right="631"/>
              <w:spacing w:after="0" w:line="164" w:lineRule="exact"/>
              <w:rPr>
                <w:sz w:val="20"/>
                <w:szCs w:val="20"/>
                <w:color w:val="auto"/>
              </w:rPr>
            </w:pPr>
            <w:r>
              <w:rPr>
                <w:rFonts w:ascii="Calibri" w:cs="Calibri" w:eastAsia="Calibri" w:hAnsi="Calibri"/>
                <w:sz w:val="14"/>
                <w:szCs w:val="14"/>
                <w:color w:val="auto"/>
              </w:rPr>
              <w:t>110</w:t>
            </w:r>
          </w:p>
        </w:tc>
        <w:tc>
          <w:tcPr>
            <w:tcW w:w="800" w:type="dxa"/>
            <w:vAlign w:val="bottom"/>
          </w:tcPr>
          <w:p>
            <w:pPr>
              <w:jc w:val="right"/>
              <w:spacing w:after="0" w:line="164" w:lineRule="exact"/>
              <w:rPr>
                <w:sz w:val="20"/>
                <w:szCs w:val="20"/>
                <w:color w:val="auto"/>
              </w:rPr>
            </w:pPr>
            <w:r>
              <w:rPr>
                <w:rFonts w:ascii="Calibri" w:cs="Calibri" w:eastAsia="Calibri" w:hAnsi="Calibri"/>
                <w:sz w:val="14"/>
                <w:szCs w:val="14"/>
                <w:color w:val="auto"/>
              </w:rPr>
              <w:t>990,000</w:t>
            </w:r>
          </w:p>
        </w:tc>
        <w:tc>
          <w:tcPr>
            <w:tcW w:w="1640" w:type="dxa"/>
            <w:vAlign w:val="bottom"/>
          </w:tcPr>
          <w:p>
            <w:pPr>
              <w:jc w:val="right"/>
              <w:ind w:right="210"/>
              <w:spacing w:after="0" w:line="164" w:lineRule="exact"/>
              <w:rPr>
                <w:sz w:val="20"/>
                <w:szCs w:val="20"/>
                <w:color w:val="auto"/>
              </w:rPr>
            </w:pPr>
            <w:r>
              <w:rPr>
                <w:rFonts w:ascii="Calibri" w:cs="Calibri" w:eastAsia="Calibri" w:hAnsi="Calibri"/>
                <w:sz w:val="14"/>
                <w:szCs w:val="14"/>
                <w:color w:val="auto"/>
              </w:rPr>
              <w:t>3,600,000</w:t>
            </w:r>
          </w:p>
        </w:tc>
        <w:tc>
          <w:tcPr>
            <w:tcW w:w="1300" w:type="dxa"/>
            <w:vAlign w:val="bottom"/>
          </w:tcPr>
          <w:p>
            <w:pPr>
              <w:jc w:val="right"/>
              <w:spacing w:after="0" w:line="164" w:lineRule="exact"/>
              <w:rPr>
                <w:sz w:val="20"/>
                <w:szCs w:val="20"/>
                <w:color w:val="auto"/>
              </w:rPr>
            </w:pPr>
            <w:r>
              <w:rPr>
                <w:rFonts w:ascii="Calibri" w:cs="Calibri" w:eastAsia="Calibri" w:hAnsi="Calibri"/>
                <w:sz w:val="14"/>
                <w:szCs w:val="14"/>
                <w:color w:val="auto"/>
              </w:rPr>
              <w:t>5,490,000</w:t>
            </w:r>
          </w:p>
        </w:tc>
      </w:tr>
      <w:tr>
        <w:trPr>
          <w:trHeight w:val="33"/>
        </w:trPr>
        <w:tc>
          <w:tcPr>
            <w:tcW w:w="4000" w:type="dxa"/>
            <w:vAlign w:val="bottom"/>
            <w:tcBorders>
              <w:bottom w:val="single" w:sz="8" w:color="959595"/>
            </w:tcBorders>
          </w:tcPr>
          <w:p>
            <w:pPr>
              <w:spacing w:after="0"/>
              <w:rPr>
                <w:sz w:val="2"/>
                <w:szCs w:val="2"/>
                <w:color w:val="auto"/>
              </w:rPr>
            </w:pPr>
          </w:p>
        </w:tc>
        <w:tc>
          <w:tcPr>
            <w:tcW w:w="1440" w:type="dxa"/>
            <w:vAlign w:val="bottom"/>
            <w:tcBorders>
              <w:bottom w:val="single" w:sz="8" w:color="959595"/>
            </w:tcBorders>
          </w:tcPr>
          <w:p>
            <w:pPr>
              <w:spacing w:after="0"/>
              <w:rPr>
                <w:sz w:val="2"/>
                <w:szCs w:val="2"/>
                <w:color w:val="auto"/>
              </w:rPr>
            </w:pPr>
          </w:p>
        </w:tc>
        <w:tc>
          <w:tcPr>
            <w:tcW w:w="206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r>
      <w:tr>
        <w:trPr>
          <w:trHeight w:val="163"/>
        </w:trPr>
        <w:tc>
          <w:tcPr>
            <w:tcW w:w="40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Ulmer</w:t>
            </w:r>
          </w:p>
        </w:tc>
        <w:tc>
          <w:tcPr>
            <w:tcW w:w="1440" w:type="dxa"/>
            <w:vAlign w:val="bottom"/>
          </w:tcPr>
          <w:p>
            <w:pPr>
              <w:jc w:val="right"/>
              <w:spacing w:after="0" w:line="164" w:lineRule="exact"/>
              <w:rPr>
                <w:sz w:val="20"/>
                <w:szCs w:val="20"/>
                <w:color w:val="auto"/>
              </w:rPr>
            </w:pPr>
            <w:r>
              <w:rPr>
                <w:rFonts w:ascii="Calibri" w:cs="Calibri" w:eastAsia="Calibri" w:hAnsi="Calibri"/>
                <w:sz w:val="14"/>
                <w:szCs w:val="14"/>
                <w:color w:val="auto"/>
              </w:rPr>
              <w:t>965,000</w:t>
            </w:r>
          </w:p>
        </w:tc>
        <w:tc>
          <w:tcPr>
            <w:tcW w:w="2060" w:type="dxa"/>
            <w:vAlign w:val="bottom"/>
          </w:tcPr>
          <w:p>
            <w:pPr>
              <w:jc w:val="right"/>
              <w:ind w:right="631"/>
              <w:spacing w:after="0" w:line="164" w:lineRule="exact"/>
              <w:rPr>
                <w:sz w:val="20"/>
                <w:szCs w:val="20"/>
                <w:color w:val="auto"/>
              </w:rPr>
            </w:pPr>
            <w:r>
              <w:rPr>
                <w:rFonts w:ascii="Calibri" w:cs="Calibri" w:eastAsia="Calibri" w:hAnsi="Calibri"/>
                <w:sz w:val="14"/>
                <w:szCs w:val="14"/>
                <w:color w:val="auto"/>
              </w:rPr>
              <w:t>115</w:t>
            </w:r>
          </w:p>
        </w:tc>
        <w:tc>
          <w:tcPr>
            <w:tcW w:w="800" w:type="dxa"/>
            <w:vAlign w:val="bottom"/>
          </w:tcPr>
          <w:p>
            <w:pPr>
              <w:jc w:val="right"/>
              <w:spacing w:after="0" w:line="164" w:lineRule="exact"/>
              <w:rPr>
                <w:sz w:val="20"/>
                <w:szCs w:val="20"/>
                <w:color w:val="auto"/>
              </w:rPr>
            </w:pPr>
            <w:r>
              <w:rPr>
                <w:rFonts w:ascii="Calibri" w:cs="Calibri" w:eastAsia="Calibri" w:hAnsi="Calibri"/>
                <w:sz w:val="14"/>
                <w:szCs w:val="14"/>
                <w:color w:val="auto"/>
              </w:rPr>
              <w:t>1,109,750</w:t>
            </w:r>
          </w:p>
        </w:tc>
        <w:tc>
          <w:tcPr>
            <w:tcW w:w="1640" w:type="dxa"/>
            <w:vAlign w:val="bottom"/>
          </w:tcPr>
          <w:p>
            <w:pPr>
              <w:jc w:val="right"/>
              <w:ind w:right="210"/>
              <w:spacing w:after="0" w:line="164" w:lineRule="exact"/>
              <w:rPr>
                <w:sz w:val="20"/>
                <w:szCs w:val="20"/>
                <w:color w:val="auto"/>
              </w:rPr>
            </w:pPr>
            <w:r>
              <w:rPr>
                <w:rFonts w:ascii="Calibri" w:cs="Calibri" w:eastAsia="Calibri" w:hAnsi="Calibri"/>
                <w:sz w:val="14"/>
                <w:szCs w:val="14"/>
                <w:color w:val="auto"/>
              </w:rPr>
              <w:t>4,000,000</w:t>
            </w:r>
          </w:p>
        </w:tc>
        <w:tc>
          <w:tcPr>
            <w:tcW w:w="1300" w:type="dxa"/>
            <w:vAlign w:val="bottom"/>
          </w:tcPr>
          <w:p>
            <w:pPr>
              <w:jc w:val="right"/>
              <w:spacing w:after="0" w:line="164" w:lineRule="exact"/>
              <w:rPr>
                <w:sz w:val="20"/>
                <w:szCs w:val="20"/>
                <w:color w:val="auto"/>
              </w:rPr>
            </w:pPr>
            <w:r>
              <w:rPr>
                <w:rFonts w:ascii="Calibri" w:cs="Calibri" w:eastAsia="Calibri" w:hAnsi="Calibri"/>
                <w:sz w:val="14"/>
                <w:szCs w:val="14"/>
                <w:color w:val="auto"/>
              </w:rPr>
              <w:t>6,074,750</w:t>
            </w:r>
          </w:p>
        </w:tc>
      </w:tr>
      <w:tr>
        <w:trPr>
          <w:trHeight w:val="33"/>
        </w:trPr>
        <w:tc>
          <w:tcPr>
            <w:tcW w:w="4000" w:type="dxa"/>
            <w:vAlign w:val="bottom"/>
            <w:tcBorders>
              <w:bottom w:val="single" w:sz="8" w:color="959595"/>
            </w:tcBorders>
          </w:tcPr>
          <w:p>
            <w:pPr>
              <w:spacing w:after="0"/>
              <w:rPr>
                <w:sz w:val="2"/>
                <w:szCs w:val="2"/>
                <w:color w:val="auto"/>
              </w:rPr>
            </w:pPr>
          </w:p>
        </w:tc>
        <w:tc>
          <w:tcPr>
            <w:tcW w:w="1440" w:type="dxa"/>
            <w:vAlign w:val="bottom"/>
            <w:tcBorders>
              <w:bottom w:val="single" w:sz="8" w:color="959595"/>
            </w:tcBorders>
          </w:tcPr>
          <w:p>
            <w:pPr>
              <w:spacing w:after="0"/>
              <w:rPr>
                <w:sz w:val="2"/>
                <w:szCs w:val="2"/>
                <w:color w:val="auto"/>
              </w:rPr>
            </w:pPr>
          </w:p>
        </w:tc>
        <w:tc>
          <w:tcPr>
            <w:tcW w:w="2060" w:type="dxa"/>
            <w:vAlign w:val="bottom"/>
            <w:tcBorders>
              <w:bottom w:val="single" w:sz="8" w:color="959595"/>
            </w:tcBorders>
          </w:tcPr>
          <w:p>
            <w:pPr>
              <w:spacing w:after="0"/>
              <w:rPr>
                <w:sz w:val="2"/>
                <w:szCs w:val="2"/>
                <w:color w:val="auto"/>
              </w:rPr>
            </w:pPr>
          </w:p>
        </w:tc>
        <w:tc>
          <w:tcPr>
            <w:tcW w:w="80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r>
    </w:tbl>
    <w:p>
      <w:pPr>
        <w:spacing w:after="0" w:line="175" w:lineRule="exact"/>
        <w:rPr>
          <w:sz w:val="20"/>
          <w:szCs w:val="20"/>
          <w:color w:val="auto"/>
        </w:rPr>
      </w:pPr>
    </w:p>
    <w:p>
      <w:pPr>
        <w:ind w:left="260" w:right="120" w:hanging="252"/>
        <w:spacing w:after="0" w:line="264" w:lineRule="auto"/>
        <w:tabs>
          <w:tab w:leader="none" w:pos="219" w:val="left"/>
        </w:tabs>
        <w:numPr>
          <w:ilvl w:val="0"/>
          <w:numId w:val="67"/>
        </w:numPr>
        <w:rPr>
          <w:rFonts w:ascii="Calibri" w:cs="Calibri" w:eastAsia="Calibri" w:hAnsi="Calibri"/>
          <w:sz w:val="14"/>
          <w:szCs w:val="14"/>
          <w:color w:val="auto"/>
        </w:rPr>
      </w:pPr>
      <w:r>
        <w:rPr>
          <w:rFonts w:ascii="Calibri" w:cs="Calibri" w:eastAsia="Calibri" w:hAnsi="Calibri"/>
          <w:sz w:val="14"/>
          <w:szCs w:val="14"/>
          <w:color w:val="auto"/>
        </w:rPr>
        <w:t>Mr. Malave’s actual annual incentve target for 2022 was $1,013,260, pro-rated based on tme served during 2022; approximately $8 million of target LTI value was to ofset forfeited equity from his previous employer.</w:t>
      </w:r>
    </w:p>
    <w:p>
      <w:pPr>
        <w:spacing w:after="0" w:line="55" w:lineRule="exact"/>
        <w:rPr>
          <w:sz w:val="20"/>
          <w:szCs w:val="20"/>
          <w:color w:val="auto"/>
        </w:rPr>
      </w:pPr>
    </w:p>
    <w:p>
      <w:pPr>
        <w:ind w:left="320" w:hanging="312"/>
        <w:spacing w:after="0"/>
        <w:tabs>
          <w:tab w:leader="none" w:pos="320" w:val="left"/>
        </w:tabs>
        <w:numPr>
          <w:ilvl w:val="0"/>
          <w:numId w:val="68"/>
        </w:numPr>
        <w:rPr>
          <w:rFonts w:ascii="Calibri" w:cs="Calibri" w:eastAsia="Calibri" w:hAnsi="Calibri"/>
          <w:sz w:val="14"/>
          <w:szCs w:val="14"/>
          <w:color w:val="auto"/>
        </w:rPr>
      </w:pPr>
      <w:r>
        <w:rPr>
          <w:rFonts w:ascii="Calibri" w:cs="Calibri" w:eastAsia="Calibri" w:hAnsi="Calibri"/>
          <w:sz w:val="14"/>
          <w:szCs w:val="14"/>
          <w:color w:val="auto"/>
        </w:rPr>
        <w:t>Mr. Mollard’s 2022 compensaton aligned with his role as VP and Treasurer.</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818EB4"/>
        </w:rPr>
        <w:t>CFO Transition</w:t>
      </w:r>
    </w:p>
    <w:p>
      <w:pPr>
        <w:spacing w:after="0" w:line="111" w:lineRule="exact"/>
        <w:rPr>
          <w:sz w:val="20"/>
          <w:szCs w:val="20"/>
          <w:color w:val="auto"/>
        </w:rPr>
      </w:pPr>
    </w:p>
    <w:p>
      <w:pPr>
        <w:ind w:right="40"/>
        <w:spacing w:after="0" w:line="255" w:lineRule="auto"/>
        <w:rPr>
          <w:sz w:val="20"/>
          <w:szCs w:val="20"/>
          <w:color w:val="auto"/>
        </w:rPr>
      </w:pPr>
      <w:r>
        <w:rPr>
          <w:rFonts w:ascii="Calibri" w:cs="Calibri" w:eastAsia="Calibri" w:hAnsi="Calibri"/>
          <w:sz w:val="17"/>
          <w:szCs w:val="17"/>
          <w:color w:val="auto"/>
        </w:rPr>
        <w:t>Mr. Mollard served as Actng Chief Financial Ofcer from August 2021 to January 2022 and transitoned into an advisory role untl he retred January 1, 2023. As disclosed in our 2022 proxy statement, Mr. Mollard received a $500,000 one-tme special RSU grant in February 2022 in recogniton of his performance and service as Actng CFO and to retain him for the CFO transiton during 2022. The award vested in December 2022, which was aligned with Mr. Mollard’s mandatory retrement date. The amount and the vestng period for this award was determined in consideraton of the scope of CFO responsibilites Mr. Mollard assumed in additon to his existng dutes as the VP and Treasurer of the Company, the tme served as Actng CFO and his performance in that role, as well as the tme needed to retain him during the transiton period.</w:t>
      </w:r>
    </w:p>
    <w:p>
      <w:pPr>
        <w:spacing w:after="0" w:line="122" w:lineRule="exact"/>
        <w:rPr>
          <w:sz w:val="20"/>
          <w:szCs w:val="20"/>
          <w:color w:val="auto"/>
        </w:rPr>
      </w:pPr>
    </w:p>
    <w:p>
      <w:pPr>
        <w:ind w:right="180"/>
        <w:spacing w:after="0" w:line="255" w:lineRule="auto"/>
        <w:rPr>
          <w:sz w:val="20"/>
          <w:szCs w:val="20"/>
          <w:color w:val="auto"/>
        </w:rPr>
      </w:pPr>
      <w:r>
        <w:rPr>
          <w:rFonts w:ascii="Calibri" w:cs="Calibri" w:eastAsia="Calibri" w:hAnsi="Calibri"/>
          <w:sz w:val="17"/>
          <w:szCs w:val="17"/>
          <w:color w:val="auto"/>
        </w:rPr>
        <w:t>Efectve January 31, 2022, Mr. Malave was appointed Chief Financial Ofcer. Mr. Malave was selected for this role given his extensive experience and performance track record in our industry and insight into our customers, which equipped him for this key role in a compettve talent landscape. Mr. Malave most recently held the positons of senior vice president and CFO for L3Harris.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325755</wp:posOffset>
            </wp:positionV>
            <wp:extent cx="1071880"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ind w:left="9540"/>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4" w:lineRule="exact"/>
        <w:rPr>
          <w:sz w:val="20"/>
          <w:szCs w:val="20"/>
          <w:color w:val="auto"/>
        </w:rPr>
      </w:pPr>
    </w:p>
    <w:p>
      <w:pPr>
        <w:ind w:right="320"/>
        <w:spacing w:after="0" w:line="245" w:lineRule="auto"/>
        <w:rPr>
          <w:sz w:val="20"/>
          <w:szCs w:val="20"/>
          <w:color w:val="auto"/>
        </w:rPr>
      </w:pPr>
      <w:r>
        <w:rPr>
          <w:rFonts w:ascii="Calibri" w:cs="Calibri" w:eastAsia="Calibri" w:hAnsi="Calibri"/>
          <w:sz w:val="17"/>
          <w:szCs w:val="17"/>
          <w:color w:val="auto"/>
        </w:rPr>
        <w:t>Compensaton Commitee based its recommendaton for Mr. Malave’s compensaton on its pay philosophy to set target compensaton by reference to the “market rate” of the Company’s comparator group of companies.</w:t>
      </w:r>
    </w:p>
    <w:p>
      <w:pPr>
        <w:spacing w:after="0" w:line="130" w:lineRule="exact"/>
        <w:rPr>
          <w:sz w:val="20"/>
          <w:szCs w:val="20"/>
          <w:color w:val="auto"/>
        </w:rPr>
      </w:pPr>
    </w:p>
    <w:p>
      <w:pPr>
        <w:ind w:right="60"/>
        <w:spacing w:after="0" w:line="257" w:lineRule="auto"/>
        <w:rPr>
          <w:sz w:val="20"/>
          <w:szCs w:val="20"/>
          <w:color w:val="auto"/>
        </w:rPr>
      </w:pPr>
      <w:r>
        <w:rPr>
          <w:rFonts w:ascii="Calibri" w:cs="Calibri" w:eastAsia="Calibri" w:hAnsi="Calibri"/>
          <w:sz w:val="17"/>
          <w:szCs w:val="17"/>
          <w:color w:val="auto"/>
        </w:rPr>
        <w:t>Upon his terminaton of employment with his prior employer, Mr. Malave forfeited long-term incentve awards covering three separate cycles and his opportunity to earn an annual cash incentve award for 2021 performance. To ofset the forfeited value of these awards, Mr. Malave was granted make-whole awards, which were allocated as follows: $750,000 cash sign-on bonus to ofset forfeited 2021 annual incentve payout and an approximately $8 million long-term incentves grant to ofset forfeited 2019, 2020 and 2021 awards. The value of Mr. Malave’s forfeited 2019 long-term incentve awards from his former employer was estmated to be approximately $4 million and was scheduled to be paid out around the tme of his hire in early 2022. This forfeited award was replaced by a one-year tme-based RSU grant. The remainder of his forfeited long-term incentve awards were replaced with a 70% performance-conditoned award with three-year clif vestng.</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818EB4"/>
        </w:rPr>
        <w:t>2022 Compensation Elements</w:t>
      </w:r>
    </w:p>
    <w:p>
      <w:pPr>
        <w:spacing w:after="0" w:line="111" w:lineRule="exact"/>
        <w:rPr>
          <w:sz w:val="20"/>
          <w:szCs w:val="20"/>
          <w:color w:val="auto"/>
        </w:rPr>
      </w:pPr>
    </w:p>
    <w:p>
      <w:pPr>
        <w:ind w:right="420"/>
        <w:spacing w:after="0" w:line="255" w:lineRule="auto"/>
        <w:rPr>
          <w:sz w:val="20"/>
          <w:szCs w:val="20"/>
          <w:color w:val="auto"/>
        </w:rPr>
      </w:pPr>
      <w:r>
        <w:rPr>
          <w:rFonts w:ascii="Calibri" w:cs="Calibri" w:eastAsia="Calibri" w:hAnsi="Calibri"/>
          <w:sz w:val="17"/>
          <w:szCs w:val="17"/>
          <w:color w:val="auto"/>
        </w:rPr>
        <w:t>Our compensaton programs are designed to provide a mix of short- and long-term compensaton, fxed and variable pay and cash and equity-based compensaton, as well as to refect our philosophy of providing pay for performance. Beneft, retrement and perquisite programs are not included in our compensaton elements below (informaton about these programs can be found later in this secton).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80" w:type="dxa"/>
            <w:vAlign w:val="bottom"/>
          </w:tcPr>
          <w:p>
            <w:pPr>
              <w:spacing w:after="0"/>
              <w:rPr>
                <w:sz w:val="16"/>
                <w:szCs w:val="16"/>
                <w:color w:val="auto"/>
              </w:rPr>
            </w:pPr>
          </w:p>
        </w:tc>
        <w:tc>
          <w:tcPr>
            <w:tcW w:w="16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Fixed</w:t>
            </w:r>
          </w:p>
        </w:tc>
        <w:tc>
          <w:tcPr>
            <w:tcW w:w="20" w:type="dxa"/>
            <w:vAlign w:val="bottom"/>
            <w:tcBorders>
              <w:bottom w:val="single" w:sz="8" w:color="959595"/>
            </w:tcBorders>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Borders>
              <w:bottom w:val="single" w:sz="8" w:color="012E6C"/>
            </w:tcBorders>
          </w:tcPr>
          <w:p>
            <w:pPr>
              <w:spacing w:after="0"/>
              <w:rPr>
                <w:sz w:val="16"/>
                <w:szCs w:val="16"/>
                <w:color w:val="auto"/>
              </w:rPr>
            </w:pPr>
          </w:p>
        </w:tc>
        <w:tc>
          <w:tcPr>
            <w:tcW w:w="200" w:type="dxa"/>
            <w:vAlign w:val="bottom"/>
            <w:tcBorders>
              <w:bottom w:val="single" w:sz="8" w:color="012E6C"/>
            </w:tcBorders>
          </w:tcPr>
          <w:p>
            <w:pPr>
              <w:spacing w:after="0"/>
              <w:rPr>
                <w:sz w:val="16"/>
                <w:szCs w:val="16"/>
                <w:color w:val="auto"/>
              </w:rPr>
            </w:pPr>
          </w:p>
        </w:tc>
        <w:tc>
          <w:tcPr>
            <w:tcW w:w="140" w:type="dxa"/>
            <w:vAlign w:val="bottom"/>
            <w:tcBorders>
              <w:bottom w:val="single" w:sz="8" w:color="012E6C"/>
            </w:tcBorders>
          </w:tcPr>
          <w:p>
            <w:pPr>
              <w:spacing w:after="0"/>
              <w:rPr>
                <w:sz w:val="16"/>
                <w:szCs w:val="16"/>
                <w:color w:val="auto"/>
              </w:rPr>
            </w:pPr>
          </w:p>
        </w:tc>
        <w:tc>
          <w:tcPr>
            <w:tcW w:w="1900" w:type="dxa"/>
            <w:vAlign w:val="bottom"/>
            <w:tcBorders>
              <w:bottom w:val="single" w:sz="8" w:color="012E6C"/>
            </w:tcBorders>
          </w:tcPr>
          <w:p>
            <w:pPr>
              <w:ind w:left="1300"/>
              <w:spacing w:after="0"/>
              <w:rPr>
                <w:sz w:val="20"/>
                <w:szCs w:val="20"/>
                <w:color w:val="auto"/>
              </w:rPr>
            </w:pPr>
            <w:r>
              <w:rPr>
                <w:rFonts w:ascii="Arial" w:cs="Arial" w:eastAsia="Arial" w:hAnsi="Arial"/>
                <w:sz w:val="14"/>
                <w:szCs w:val="14"/>
                <w:color w:val="auto"/>
              </w:rPr>
              <w:t>Variable</w:t>
            </w:r>
          </w:p>
        </w:tc>
        <w:tc>
          <w:tcPr>
            <w:tcW w:w="160" w:type="dxa"/>
            <w:vAlign w:val="bottom"/>
            <w:tcBorders>
              <w:bottom w:val="single" w:sz="8" w:color="012E6C"/>
            </w:tcBorders>
          </w:tcPr>
          <w:p>
            <w:pPr>
              <w:spacing w:after="0"/>
              <w:rPr>
                <w:sz w:val="16"/>
                <w:szCs w:val="16"/>
                <w:color w:val="auto"/>
              </w:rPr>
            </w:pPr>
          </w:p>
        </w:tc>
        <w:tc>
          <w:tcPr>
            <w:tcW w:w="1780" w:type="dxa"/>
            <w:vAlign w:val="bottom"/>
            <w:tcBorders>
              <w:bottom w:val="single" w:sz="8" w:color="012E6C"/>
            </w:tcBorders>
          </w:tcPr>
          <w:p>
            <w:pPr>
              <w:spacing w:after="0"/>
              <w:rPr>
                <w:sz w:val="16"/>
                <w:szCs w:val="16"/>
                <w:color w:val="auto"/>
              </w:rPr>
            </w:pPr>
          </w:p>
        </w:tc>
        <w:tc>
          <w:tcPr>
            <w:tcW w:w="1860" w:type="dxa"/>
            <w:vAlign w:val="bottom"/>
            <w:tcBorders>
              <w:bottom w:val="single" w:sz="8" w:color="012E6C"/>
            </w:tcBorders>
          </w:tcPr>
          <w:p>
            <w:pPr>
              <w:spacing w:after="0"/>
              <w:rPr>
                <w:sz w:val="16"/>
                <w:szCs w:val="16"/>
                <w:color w:val="auto"/>
              </w:rPr>
            </w:pPr>
          </w:p>
        </w:tc>
        <w:tc>
          <w:tcPr>
            <w:tcW w:w="20" w:type="dxa"/>
            <w:vAlign w:val="bottom"/>
            <w:tcBorders>
              <w:bottom w:val="single" w:sz="8" w:color="012E6C"/>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10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1620" w:type="dxa"/>
            <w:vAlign w:val="bottom"/>
            <w:vMerge w:val="restart"/>
            <w:shd w:val="clear" w:color="auto" w:fill="E5E7EF"/>
          </w:tcPr>
          <w:p>
            <w:pPr>
              <w:jc w:val="center"/>
              <w:spacing w:after="0"/>
              <w:rPr>
                <w:sz w:val="20"/>
                <w:szCs w:val="20"/>
                <w:color w:val="auto"/>
              </w:rPr>
            </w:pPr>
            <w:r>
              <w:rPr>
                <w:rFonts w:ascii="Arial" w:cs="Arial" w:eastAsia="Arial" w:hAnsi="Arial"/>
                <w:sz w:val="14"/>
                <w:szCs w:val="14"/>
                <w:color w:val="auto"/>
              </w:rPr>
              <w:t>Base Salary</w:t>
            </w:r>
          </w:p>
        </w:tc>
        <w:tc>
          <w:tcPr>
            <w:tcW w:w="2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2240" w:type="dxa"/>
            <w:vAlign w:val="bottom"/>
            <w:vMerge w:val="restart"/>
            <w:shd w:val="clear" w:color="auto" w:fill="808080"/>
          </w:tcPr>
          <w:p>
            <w:pPr>
              <w:jc w:val="center"/>
              <w:spacing w:after="0"/>
              <w:rPr>
                <w:sz w:val="20"/>
                <w:szCs w:val="20"/>
                <w:color w:val="auto"/>
              </w:rPr>
            </w:pPr>
            <w:r>
              <w:rPr>
                <w:rFonts w:ascii="Arial" w:cs="Arial" w:eastAsia="Arial" w:hAnsi="Arial"/>
                <w:sz w:val="14"/>
                <w:szCs w:val="14"/>
                <w:color w:val="FFFFFF"/>
              </w:rPr>
              <w:t>Annual Incentive</w:t>
            </w:r>
          </w:p>
        </w:tc>
        <w:tc>
          <w:tcPr>
            <w:tcW w:w="20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shd w:val="clear" w:color="auto" w:fill="002F6C"/>
          </w:tcPr>
          <w:p>
            <w:pPr>
              <w:spacing w:after="0"/>
              <w:rPr>
                <w:sz w:val="18"/>
                <w:szCs w:val="18"/>
                <w:color w:val="auto"/>
              </w:rPr>
            </w:pPr>
          </w:p>
        </w:tc>
        <w:tc>
          <w:tcPr>
            <w:tcW w:w="1900" w:type="dxa"/>
            <w:vAlign w:val="bottom"/>
            <w:shd w:val="clear" w:color="auto" w:fill="002F6C"/>
          </w:tcPr>
          <w:p>
            <w:pPr>
              <w:spacing w:after="0"/>
              <w:rPr>
                <w:sz w:val="18"/>
                <w:szCs w:val="18"/>
                <w:color w:val="auto"/>
              </w:rPr>
            </w:pPr>
          </w:p>
        </w:tc>
        <w:tc>
          <w:tcPr>
            <w:tcW w:w="160" w:type="dxa"/>
            <w:vAlign w:val="bottom"/>
            <w:shd w:val="clear" w:color="auto" w:fill="002F6C"/>
          </w:tcPr>
          <w:p>
            <w:pPr>
              <w:spacing w:after="0"/>
              <w:rPr>
                <w:sz w:val="18"/>
                <w:szCs w:val="18"/>
                <w:color w:val="auto"/>
              </w:rPr>
            </w:pPr>
          </w:p>
        </w:tc>
        <w:tc>
          <w:tcPr>
            <w:tcW w:w="1780" w:type="dxa"/>
            <w:vAlign w:val="bottom"/>
            <w:shd w:val="clear" w:color="auto" w:fill="002F6C"/>
          </w:tcPr>
          <w:p>
            <w:pPr>
              <w:spacing w:after="0"/>
              <w:rPr>
                <w:sz w:val="20"/>
                <w:szCs w:val="20"/>
                <w:color w:val="auto"/>
              </w:rPr>
            </w:pPr>
            <w:r>
              <w:rPr>
                <w:rFonts w:ascii="Arial" w:cs="Arial" w:eastAsia="Arial" w:hAnsi="Arial"/>
                <w:sz w:val="14"/>
                <w:szCs w:val="14"/>
                <w:color w:val="FFFFFF"/>
              </w:rPr>
              <w:t>Long-Term Incentives*</w:t>
            </w:r>
          </w:p>
        </w:tc>
        <w:tc>
          <w:tcPr>
            <w:tcW w:w="1860" w:type="dxa"/>
            <w:vAlign w:val="bottom"/>
            <w:shd w:val="clear" w:color="auto" w:fill="002F6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620" w:type="dxa"/>
            <w:vAlign w:val="bottom"/>
            <w:vMerge w:val="continue"/>
            <w:shd w:val="clear" w:color="auto" w:fill="E5E7EF"/>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2240" w:type="dxa"/>
            <w:vAlign w:val="bottom"/>
            <w:vMerge w:val="continue"/>
            <w:shd w:val="clear" w:color="auto" w:fill="808080"/>
          </w:tcPr>
          <w:p>
            <w:pPr>
              <w:spacing w:after="0"/>
              <w:rPr>
                <w:sz w:val="8"/>
                <w:szCs w:val="8"/>
                <w:color w:val="auto"/>
              </w:rPr>
            </w:pPr>
          </w:p>
        </w:tc>
        <w:tc>
          <w:tcPr>
            <w:tcW w:w="200" w:type="dxa"/>
            <w:vAlign w:val="bottom"/>
            <w:vMerge w:val="continue"/>
          </w:tcPr>
          <w:p>
            <w:pPr>
              <w:spacing w:after="0"/>
              <w:rPr>
                <w:sz w:val="8"/>
                <w:szCs w:val="8"/>
                <w:color w:val="auto"/>
              </w:rPr>
            </w:pPr>
          </w:p>
        </w:tc>
        <w:tc>
          <w:tcPr>
            <w:tcW w:w="140" w:type="dxa"/>
            <w:vAlign w:val="bottom"/>
            <w:shd w:val="clear" w:color="auto" w:fill="002F6C"/>
          </w:tcPr>
          <w:p>
            <w:pPr>
              <w:spacing w:after="0"/>
              <w:rPr>
                <w:sz w:val="8"/>
                <w:szCs w:val="8"/>
                <w:color w:val="auto"/>
              </w:rPr>
            </w:pPr>
          </w:p>
        </w:tc>
        <w:tc>
          <w:tcPr>
            <w:tcW w:w="1900" w:type="dxa"/>
            <w:vAlign w:val="bottom"/>
            <w:vMerge w:val="restart"/>
            <w:shd w:val="clear" w:color="auto" w:fill="002F6C"/>
          </w:tcPr>
          <w:p>
            <w:pPr>
              <w:jc w:val="center"/>
              <w:spacing w:after="0"/>
              <w:rPr>
                <w:sz w:val="20"/>
                <w:szCs w:val="20"/>
                <w:color w:val="auto"/>
              </w:rPr>
            </w:pPr>
            <w:r>
              <w:rPr>
                <w:rFonts w:ascii="Arial" w:cs="Arial" w:eastAsia="Arial" w:hAnsi="Arial"/>
                <w:sz w:val="14"/>
                <w:szCs w:val="14"/>
                <w:color w:val="FFFFFF"/>
              </w:rPr>
              <w:t>50% PSUs</w:t>
            </w:r>
          </w:p>
        </w:tc>
        <w:tc>
          <w:tcPr>
            <w:tcW w:w="160" w:type="dxa"/>
            <w:vAlign w:val="bottom"/>
            <w:shd w:val="clear" w:color="auto" w:fill="002F6C"/>
          </w:tcPr>
          <w:p>
            <w:pPr>
              <w:spacing w:after="0"/>
              <w:rPr>
                <w:sz w:val="8"/>
                <w:szCs w:val="8"/>
                <w:color w:val="auto"/>
              </w:rPr>
            </w:pPr>
          </w:p>
        </w:tc>
        <w:tc>
          <w:tcPr>
            <w:tcW w:w="1780" w:type="dxa"/>
            <w:vAlign w:val="bottom"/>
            <w:vMerge w:val="restart"/>
            <w:shd w:val="clear" w:color="auto" w:fill="002F6C"/>
          </w:tcPr>
          <w:p>
            <w:pPr>
              <w:ind w:left="580"/>
              <w:spacing w:after="0"/>
              <w:rPr>
                <w:sz w:val="20"/>
                <w:szCs w:val="20"/>
                <w:color w:val="auto"/>
              </w:rPr>
            </w:pPr>
            <w:r>
              <w:rPr>
                <w:rFonts w:ascii="Arial" w:cs="Arial" w:eastAsia="Arial" w:hAnsi="Arial"/>
                <w:sz w:val="14"/>
                <w:szCs w:val="14"/>
                <w:color w:val="FFFFFF"/>
              </w:rPr>
              <w:t>20% LTIP</w:t>
            </w:r>
          </w:p>
        </w:tc>
        <w:tc>
          <w:tcPr>
            <w:tcW w:w="1860" w:type="dxa"/>
            <w:vAlign w:val="bottom"/>
            <w:vMerge w:val="restart"/>
            <w:shd w:val="clear" w:color="auto" w:fill="002F6C"/>
          </w:tcPr>
          <w:p>
            <w:pPr>
              <w:jc w:val="center"/>
              <w:ind w:left="50"/>
              <w:spacing w:after="0"/>
              <w:rPr>
                <w:sz w:val="20"/>
                <w:szCs w:val="20"/>
                <w:color w:val="auto"/>
              </w:rPr>
            </w:pPr>
            <w:r>
              <w:rPr>
                <w:rFonts w:ascii="Arial" w:cs="Arial" w:eastAsia="Arial" w:hAnsi="Arial"/>
                <w:sz w:val="14"/>
                <w:szCs w:val="14"/>
                <w:color w:val="FFFFFF"/>
              </w:rPr>
              <w:t>30% RSUs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080" w:type="dxa"/>
            <w:vAlign w:val="bottom"/>
            <w:vMerge w:val="restart"/>
          </w:tcPr>
          <w:p>
            <w:pPr>
              <w:ind w:left="20"/>
              <w:spacing w:after="0"/>
              <w:rPr>
                <w:sz w:val="20"/>
                <w:szCs w:val="20"/>
                <w:color w:val="auto"/>
              </w:rPr>
            </w:pPr>
            <w:r>
              <w:rPr>
                <w:rFonts w:ascii="Calibri" w:cs="Calibri" w:eastAsia="Calibri" w:hAnsi="Calibri"/>
                <w:sz w:val="17"/>
                <w:szCs w:val="17"/>
                <w:color w:val="auto"/>
              </w:rPr>
              <w:t>WHAT?</w:t>
            </w:r>
          </w:p>
        </w:tc>
        <w:tc>
          <w:tcPr>
            <w:tcW w:w="1620" w:type="dxa"/>
            <w:vAlign w:val="bottom"/>
            <w:shd w:val="clear" w:color="auto" w:fill="E5E7EF"/>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shd w:val="clear" w:color="auto" w:fill="808080"/>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shd w:val="clear" w:color="auto" w:fill="002F6C"/>
          </w:tcPr>
          <w:p>
            <w:pPr>
              <w:spacing w:after="0"/>
              <w:rPr>
                <w:sz w:val="11"/>
                <w:szCs w:val="11"/>
                <w:color w:val="auto"/>
              </w:rPr>
            </w:pPr>
          </w:p>
        </w:tc>
        <w:tc>
          <w:tcPr>
            <w:tcW w:w="1900" w:type="dxa"/>
            <w:vAlign w:val="bottom"/>
            <w:vMerge w:val="continue"/>
            <w:shd w:val="clear" w:color="auto" w:fill="002F6C"/>
          </w:tcPr>
          <w:p>
            <w:pPr>
              <w:spacing w:after="0"/>
              <w:rPr>
                <w:sz w:val="11"/>
                <w:szCs w:val="11"/>
                <w:color w:val="auto"/>
              </w:rPr>
            </w:pPr>
          </w:p>
        </w:tc>
        <w:tc>
          <w:tcPr>
            <w:tcW w:w="160" w:type="dxa"/>
            <w:vAlign w:val="bottom"/>
            <w:shd w:val="clear" w:color="auto" w:fill="002F6C"/>
          </w:tcPr>
          <w:p>
            <w:pPr>
              <w:spacing w:after="0"/>
              <w:rPr>
                <w:sz w:val="11"/>
                <w:szCs w:val="11"/>
                <w:color w:val="auto"/>
              </w:rPr>
            </w:pPr>
          </w:p>
        </w:tc>
        <w:tc>
          <w:tcPr>
            <w:tcW w:w="1780" w:type="dxa"/>
            <w:vAlign w:val="bottom"/>
            <w:vMerge w:val="continue"/>
            <w:shd w:val="clear" w:color="auto" w:fill="002F6C"/>
          </w:tcPr>
          <w:p>
            <w:pPr>
              <w:spacing w:after="0"/>
              <w:rPr>
                <w:sz w:val="11"/>
                <w:szCs w:val="11"/>
                <w:color w:val="auto"/>
              </w:rPr>
            </w:pPr>
          </w:p>
        </w:tc>
        <w:tc>
          <w:tcPr>
            <w:tcW w:w="1860" w:type="dxa"/>
            <w:vAlign w:val="bottom"/>
            <w:vMerge w:val="continue"/>
            <w:shd w:val="clear" w:color="auto" w:fill="002F6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8"/>
              </w:rPr>
              <w:t>Cash</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3"/>
                <w:szCs w:val="13"/>
                <w:color w:val="auto"/>
              </w:rPr>
              <w:t>Cash</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3"/>
                <w:szCs w:val="13"/>
                <w:color w:val="auto"/>
                <w:w w:val="99"/>
              </w:rPr>
              <w:t>Equity</w:t>
            </w:r>
          </w:p>
        </w:tc>
        <w:tc>
          <w:tcPr>
            <w:tcW w:w="160" w:type="dxa"/>
            <w:vAlign w:val="bottom"/>
          </w:tcPr>
          <w:p>
            <w:pPr>
              <w:spacing w:after="0"/>
              <w:rPr>
                <w:sz w:val="16"/>
                <w:szCs w:val="16"/>
                <w:color w:val="auto"/>
              </w:rPr>
            </w:pPr>
          </w:p>
        </w:tc>
        <w:tc>
          <w:tcPr>
            <w:tcW w:w="1780" w:type="dxa"/>
            <w:vAlign w:val="bottom"/>
          </w:tcPr>
          <w:p>
            <w:pPr>
              <w:jc w:val="center"/>
              <w:ind w:right="30"/>
              <w:spacing w:after="0"/>
              <w:rPr>
                <w:sz w:val="20"/>
                <w:szCs w:val="20"/>
                <w:color w:val="auto"/>
              </w:rPr>
            </w:pPr>
            <w:r>
              <w:rPr>
                <w:rFonts w:ascii="Arial" w:cs="Arial" w:eastAsia="Arial" w:hAnsi="Arial"/>
                <w:sz w:val="13"/>
                <w:szCs w:val="13"/>
                <w:color w:val="auto"/>
              </w:rPr>
              <w:t>Cash</w:t>
            </w:r>
          </w:p>
        </w:tc>
        <w:tc>
          <w:tcPr>
            <w:tcW w:w="1860" w:type="dxa"/>
            <w:vAlign w:val="bottom"/>
          </w:tcPr>
          <w:p>
            <w:pPr>
              <w:jc w:val="center"/>
              <w:ind w:left="50"/>
              <w:spacing w:after="0"/>
              <w:rPr>
                <w:sz w:val="20"/>
                <w:szCs w:val="20"/>
                <w:color w:val="auto"/>
              </w:rPr>
            </w:pPr>
            <w:r>
              <w:rPr>
                <w:rFonts w:ascii="Arial" w:cs="Arial" w:eastAsia="Arial" w:hAnsi="Arial"/>
                <w:sz w:val="13"/>
                <w:szCs w:val="13"/>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80" w:type="dxa"/>
            <w:vAlign w:val="bottom"/>
            <w:tcBorders>
              <w:bottom w:val="single" w:sz="8" w:color="959595"/>
            </w:tcBorders>
          </w:tcPr>
          <w:p>
            <w:pPr>
              <w:spacing w:after="0"/>
              <w:rPr>
                <w:sz w:val="3"/>
                <w:szCs w:val="3"/>
                <w:color w:val="auto"/>
              </w:rPr>
            </w:pPr>
          </w:p>
        </w:tc>
        <w:tc>
          <w:tcPr>
            <w:tcW w:w="162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240" w:type="dxa"/>
            <w:vAlign w:val="bottom"/>
            <w:tcBorders>
              <w:bottom w:val="single" w:sz="8" w:color="959595"/>
            </w:tcBorders>
          </w:tcPr>
          <w:p>
            <w:pPr>
              <w:spacing w:after="0"/>
              <w:rPr>
                <w:sz w:val="3"/>
                <w:szCs w:val="3"/>
                <w:color w:val="auto"/>
              </w:rPr>
            </w:pPr>
          </w:p>
        </w:tc>
        <w:tc>
          <w:tcPr>
            <w:tcW w:w="2240" w:type="dxa"/>
            <w:vAlign w:val="bottom"/>
            <w:tcBorders>
              <w:bottom w:val="single" w:sz="8" w:color="959595"/>
            </w:tcBorders>
          </w:tcPr>
          <w:p>
            <w:pPr>
              <w:spacing w:after="0"/>
              <w:rPr>
                <w:sz w:val="3"/>
                <w:szCs w:val="3"/>
                <w:color w:val="auto"/>
              </w:rPr>
            </w:pPr>
          </w:p>
        </w:tc>
        <w:tc>
          <w:tcPr>
            <w:tcW w:w="200" w:type="dxa"/>
            <w:vAlign w:val="bottom"/>
            <w:tcBorders>
              <w:bottom w:val="single" w:sz="8" w:color="959595"/>
            </w:tcBorders>
          </w:tcPr>
          <w:p>
            <w:pPr>
              <w:spacing w:after="0"/>
              <w:rPr>
                <w:sz w:val="3"/>
                <w:szCs w:val="3"/>
                <w:color w:val="auto"/>
              </w:rPr>
            </w:pPr>
          </w:p>
        </w:tc>
        <w:tc>
          <w:tcPr>
            <w:tcW w:w="140" w:type="dxa"/>
            <w:vAlign w:val="bottom"/>
            <w:tcBorders>
              <w:bottom w:val="single" w:sz="8" w:color="959595"/>
            </w:tcBorders>
          </w:tcPr>
          <w:p>
            <w:pPr>
              <w:spacing w:after="0"/>
              <w:rPr>
                <w:sz w:val="3"/>
                <w:szCs w:val="3"/>
                <w:color w:val="auto"/>
              </w:rPr>
            </w:pPr>
          </w:p>
        </w:tc>
        <w:tc>
          <w:tcPr>
            <w:tcW w:w="1900" w:type="dxa"/>
            <w:vAlign w:val="bottom"/>
            <w:tcBorders>
              <w:bottom w:val="single" w:sz="8" w:color="959595"/>
            </w:tcBorders>
          </w:tcPr>
          <w:p>
            <w:pPr>
              <w:spacing w:after="0"/>
              <w:rPr>
                <w:sz w:val="3"/>
                <w:szCs w:val="3"/>
                <w:color w:val="auto"/>
              </w:rPr>
            </w:pPr>
          </w:p>
        </w:tc>
        <w:tc>
          <w:tcPr>
            <w:tcW w:w="160" w:type="dxa"/>
            <w:vAlign w:val="bottom"/>
            <w:tcBorders>
              <w:bottom w:val="single" w:sz="8" w:color="959595"/>
            </w:tcBorders>
          </w:tcPr>
          <w:p>
            <w:pPr>
              <w:spacing w:after="0"/>
              <w:rPr>
                <w:sz w:val="3"/>
                <w:szCs w:val="3"/>
                <w:color w:val="auto"/>
              </w:rPr>
            </w:pPr>
          </w:p>
        </w:tc>
        <w:tc>
          <w:tcPr>
            <w:tcW w:w="1780" w:type="dxa"/>
            <w:vAlign w:val="bottom"/>
            <w:tcBorders>
              <w:bottom w:val="single" w:sz="8" w:color="959595"/>
            </w:tcBorders>
          </w:tcPr>
          <w:p>
            <w:pPr>
              <w:spacing w:after="0"/>
              <w:rPr>
                <w:sz w:val="3"/>
                <w:szCs w:val="3"/>
                <w:color w:val="auto"/>
              </w:rPr>
            </w:pPr>
          </w:p>
        </w:tc>
        <w:tc>
          <w:tcPr>
            <w:tcW w:w="186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080" w:type="dxa"/>
            <w:vAlign w:val="bottom"/>
          </w:tcPr>
          <w:p>
            <w:pPr>
              <w:ind w:left="20"/>
              <w:spacing w:after="0" w:line="142" w:lineRule="exact"/>
              <w:rPr>
                <w:sz w:val="20"/>
                <w:szCs w:val="20"/>
                <w:color w:val="auto"/>
              </w:rPr>
            </w:pPr>
            <w:r>
              <w:rPr>
                <w:rFonts w:ascii="Calibri" w:cs="Calibri" w:eastAsia="Calibri" w:hAnsi="Calibri"/>
                <w:sz w:val="15"/>
                <w:szCs w:val="15"/>
                <w:color w:val="auto"/>
              </w:rPr>
              <w:t>WHEN?</w:t>
            </w:r>
          </w:p>
        </w:tc>
        <w:tc>
          <w:tcPr>
            <w:tcW w:w="1620" w:type="dxa"/>
            <w:vAlign w:val="bottom"/>
            <w:vMerge w:val="restart"/>
          </w:tcPr>
          <w:p>
            <w:pPr>
              <w:jc w:val="center"/>
              <w:spacing w:after="0"/>
              <w:rPr>
                <w:sz w:val="20"/>
                <w:szCs w:val="20"/>
                <w:color w:val="auto"/>
              </w:rPr>
            </w:pPr>
            <w:r>
              <w:rPr>
                <w:rFonts w:ascii="Arial" w:cs="Arial" w:eastAsia="Arial" w:hAnsi="Arial"/>
                <w:sz w:val="13"/>
                <w:szCs w:val="13"/>
                <w:color w:val="auto"/>
              </w:rPr>
              <w:t>Annual</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Arial" w:cs="Arial" w:eastAsia="Arial" w:hAnsi="Arial"/>
                <w:sz w:val="13"/>
                <w:szCs w:val="13"/>
                <w:color w:val="auto"/>
              </w:rPr>
              <w:t>Annual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jc w:val="center"/>
              <w:ind w:right="10"/>
              <w:spacing w:after="0" w:line="142" w:lineRule="exact"/>
              <w:rPr>
                <w:sz w:val="20"/>
                <w:szCs w:val="20"/>
                <w:color w:val="auto"/>
              </w:rPr>
            </w:pPr>
            <w:r>
              <w:rPr>
                <w:rFonts w:ascii="Arial" w:cs="Arial" w:eastAsia="Arial" w:hAnsi="Arial"/>
                <w:sz w:val="13"/>
                <w:szCs w:val="13"/>
                <w:color w:val="auto"/>
              </w:rPr>
              <w:t>3-year</w:t>
            </w:r>
          </w:p>
        </w:tc>
        <w:tc>
          <w:tcPr>
            <w:tcW w:w="160" w:type="dxa"/>
            <w:vAlign w:val="bottom"/>
          </w:tcPr>
          <w:p>
            <w:pPr>
              <w:spacing w:after="0"/>
              <w:rPr>
                <w:sz w:val="12"/>
                <w:szCs w:val="12"/>
                <w:color w:val="auto"/>
              </w:rPr>
            </w:pPr>
          </w:p>
        </w:tc>
        <w:tc>
          <w:tcPr>
            <w:tcW w:w="1780" w:type="dxa"/>
            <w:vAlign w:val="bottom"/>
          </w:tcPr>
          <w:p>
            <w:pPr>
              <w:jc w:val="center"/>
              <w:ind w:right="50"/>
              <w:spacing w:after="0" w:line="142" w:lineRule="exact"/>
              <w:rPr>
                <w:sz w:val="20"/>
                <w:szCs w:val="20"/>
                <w:color w:val="auto"/>
              </w:rPr>
            </w:pPr>
            <w:r>
              <w:rPr>
                <w:rFonts w:ascii="Arial" w:cs="Arial" w:eastAsia="Arial" w:hAnsi="Arial"/>
                <w:sz w:val="13"/>
                <w:szCs w:val="13"/>
                <w:color w:val="auto"/>
              </w:rPr>
              <w:t>3-year</w:t>
            </w:r>
          </w:p>
        </w:tc>
        <w:tc>
          <w:tcPr>
            <w:tcW w:w="1860" w:type="dxa"/>
            <w:vAlign w:val="bottom"/>
          </w:tcPr>
          <w:p>
            <w:pPr>
              <w:jc w:val="center"/>
              <w:ind w:left="10"/>
              <w:spacing w:after="0" w:line="142" w:lineRule="exact"/>
              <w:rPr>
                <w:sz w:val="20"/>
                <w:szCs w:val="20"/>
                <w:color w:val="auto"/>
              </w:rPr>
            </w:pPr>
            <w:r>
              <w:rPr>
                <w:rFonts w:ascii="Arial" w:cs="Arial" w:eastAsia="Arial" w:hAnsi="Arial"/>
                <w:sz w:val="13"/>
                <w:szCs w:val="13"/>
                <w:color w:val="auto"/>
              </w:rPr>
              <w:t>3-year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0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00" w:type="dxa"/>
            <w:vAlign w:val="bottom"/>
            <w:vMerge w:val="restart"/>
          </w:tcPr>
          <w:p>
            <w:pPr>
              <w:jc w:val="center"/>
              <w:spacing w:after="0"/>
              <w:rPr>
                <w:sz w:val="20"/>
                <w:szCs w:val="20"/>
                <w:color w:val="auto"/>
              </w:rPr>
            </w:pPr>
            <w:r>
              <w:rPr>
                <w:rFonts w:ascii="Arial" w:cs="Arial" w:eastAsia="Arial" w:hAnsi="Arial"/>
                <w:sz w:val="13"/>
                <w:szCs w:val="13"/>
                <w:color w:val="auto"/>
              </w:rPr>
              <w:t>Performance Cycle</w:t>
            </w:r>
          </w:p>
        </w:tc>
        <w:tc>
          <w:tcPr>
            <w:tcW w:w="160" w:type="dxa"/>
            <w:vAlign w:val="bottom"/>
          </w:tcPr>
          <w:p>
            <w:pPr>
              <w:spacing w:after="0"/>
              <w:rPr>
                <w:sz w:val="8"/>
                <w:szCs w:val="8"/>
                <w:color w:val="auto"/>
              </w:rPr>
            </w:pPr>
          </w:p>
        </w:tc>
        <w:tc>
          <w:tcPr>
            <w:tcW w:w="1780" w:type="dxa"/>
            <w:vAlign w:val="bottom"/>
            <w:vMerge w:val="restart"/>
          </w:tcPr>
          <w:p>
            <w:pPr>
              <w:jc w:val="center"/>
              <w:ind w:right="10"/>
              <w:spacing w:after="0"/>
              <w:rPr>
                <w:sz w:val="20"/>
                <w:szCs w:val="20"/>
                <w:color w:val="auto"/>
              </w:rPr>
            </w:pPr>
            <w:r>
              <w:rPr>
                <w:rFonts w:ascii="Arial" w:cs="Arial" w:eastAsia="Arial" w:hAnsi="Arial"/>
                <w:sz w:val="13"/>
                <w:szCs w:val="13"/>
                <w:color w:val="auto"/>
              </w:rPr>
              <w:t>Performance Cycle</w:t>
            </w:r>
          </w:p>
        </w:tc>
        <w:tc>
          <w:tcPr>
            <w:tcW w:w="1860" w:type="dxa"/>
            <w:vAlign w:val="bottom"/>
            <w:vMerge w:val="restart"/>
          </w:tcPr>
          <w:p>
            <w:pPr>
              <w:jc w:val="center"/>
              <w:ind w:left="30"/>
              <w:spacing w:after="0"/>
              <w:rPr>
                <w:sz w:val="20"/>
                <w:szCs w:val="20"/>
                <w:color w:val="auto"/>
              </w:rPr>
            </w:pPr>
            <w:r>
              <w:rPr>
                <w:rFonts w:ascii="Arial" w:cs="Arial" w:eastAsia="Arial" w:hAnsi="Arial"/>
                <w:sz w:val="13"/>
                <w:szCs w:val="13"/>
                <w:color w:val="auto"/>
              </w:rPr>
              <w:t>Cliff Vesting</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080" w:type="dxa"/>
            <w:vAlign w:val="bottom"/>
            <w:tcBorders>
              <w:bottom w:val="single" w:sz="8" w:color="959595"/>
            </w:tcBorders>
          </w:tcPr>
          <w:p>
            <w:pPr>
              <w:spacing w:after="0"/>
              <w:rPr>
                <w:sz w:val="6"/>
                <w:szCs w:val="6"/>
                <w:color w:val="auto"/>
              </w:rPr>
            </w:pPr>
          </w:p>
        </w:tc>
        <w:tc>
          <w:tcPr>
            <w:tcW w:w="1620" w:type="dxa"/>
            <w:vAlign w:val="bottom"/>
            <w:tcBorders>
              <w:bottom w:val="single" w:sz="8" w:color="959595"/>
            </w:tcBorders>
          </w:tcPr>
          <w:p>
            <w:pPr>
              <w:spacing w:after="0"/>
              <w:rPr>
                <w:sz w:val="6"/>
                <w:szCs w:val="6"/>
                <w:color w:val="auto"/>
              </w:rPr>
            </w:pPr>
          </w:p>
        </w:tc>
        <w:tc>
          <w:tcPr>
            <w:tcW w:w="20" w:type="dxa"/>
            <w:vAlign w:val="bottom"/>
            <w:tcBorders>
              <w:bottom w:val="single" w:sz="8" w:color="959595"/>
            </w:tcBorders>
          </w:tcPr>
          <w:p>
            <w:pPr>
              <w:spacing w:after="0"/>
              <w:rPr>
                <w:sz w:val="6"/>
                <w:szCs w:val="6"/>
                <w:color w:val="auto"/>
              </w:rPr>
            </w:pPr>
          </w:p>
        </w:tc>
        <w:tc>
          <w:tcPr>
            <w:tcW w:w="240" w:type="dxa"/>
            <w:vAlign w:val="bottom"/>
            <w:tcBorders>
              <w:bottom w:val="single" w:sz="8" w:color="959595"/>
            </w:tcBorders>
          </w:tcPr>
          <w:p>
            <w:pPr>
              <w:spacing w:after="0"/>
              <w:rPr>
                <w:sz w:val="6"/>
                <w:szCs w:val="6"/>
                <w:color w:val="auto"/>
              </w:rPr>
            </w:pPr>
          </w:p>
        </w:tc>
        <w:tc>
          <w:tcPr>
            <w:tcW w:w="2240" w:type="dxa"/>
            <w:vAlign w:val="bottom"/>
            <w:tcBorders>
              <w:bottom w:val="single" w:sz="8" w:color="959595"/>
            </w:tcBorders>
          </w:tcPr>
          <w:p>
            <w:pPr>
              <w:spacing w:after="0"/>
              <w:rPr>
                <w:sz w:val="6"/>
                <w:szCs w:val="6"/>
                <w:color w:val="auto"/>
              </w:rPr>
            </w:pPr>
          </w:p>
        </w:tc>
        <w:tc>
          <w:tcPr>
            <w:tcW w:w="200" w:type="dxa"/>
            <w:vAlign w:val="bottom"/>
            <w:tcBorders>
              <w:bottom w:val="single" w:sz="8" w:color="959595"/>
            </w:tcBorders>
          </w:tcPr>
          <w:p>
            <w:pPr>
              <w:spacing w:after="0"/>
              <w:rPr>
                <w:sz w:val="6"/>
                <w:szCs w:val="6"/>
                <w:color w:val="auto"/>
              </w:rPr>
            </w:pPr>
          </w:p>
        </w:tc>
        <w:tc>
          <w:tcPr>
            <w:tcW w:w="140" w:type="dxa"/>
            <w:vAlign w:val="bottom"/>
            <w:tcBorders>
              <w:bottom w:val="single" w:sz="8" w:color="959595"/>
            </w:tcBorders>
          </w:tcPr>
          <w:p>
            <w:pPr>
              <w:spacing w:after="0"/>
              <w:rPr>
                <w:sz w:val="6"/>
                <w:szCs w:val="6"/>
                <w:color w:val="auto"/>
              </w:rPr>
            </w:pPr>
          </w:p>
        </w:tc>
        <w:tc>
          <w:tcPr>
            <w:tcW w:w="1900" w:type="dxa"/>
            <w:vAlign w:val="bottom"/>
            <w:tcBorders>
              <w:bottom w:val="single" w:sz="8" w:color="959595"/>
            </w:tcBorders>
            <w:vMerge w:val="continue"/>
          </w:tcPr>
          <w:p>
            <w:pPr>
              <w:spacing w:after="0"/>
              <w:rPr>
                <w:sz w:val="6"/>
                <w:szCs w:val="6"/>
                <w:color w:val="auto"/>
              </w:rPr>
            </w:pPr>
          </w:p>
        </w:tc>
        <w:tc>
          <w:tcPr>
            <w:tcW w:w="160" w:type="dxa"/>
            <w:vAlign w:val="bottom"/>
            <w:tcBorders>
              <w:bottom w:val="single" w:sz="8" w:color="959595"/>
            </w:tcBorders>
          </w:tcPr>
          <w:p>
            <w:pPr>
              <w:spacing w:after="0"/>
              <w:rPr>
                <w:sz w:val="6"/>
                <w:szCs w:val="6"/>
                <w:color w:val="auto"/>
              </w:rPr>
            </w:pPr>
          </w:p>
        </w:tc>
        <w:tc>
          <w:tcPr>
            <w:tcW w:w="1780" w:type="dxa"/>
            <w:vAlign w:val="bottom"/>
            <w:tcBorders>
              <w:bottom w:val="single" w:sz="8" w:color="959595"/>
            </w:tcBorders>
            <w:vMerge w:val="continue"/>
          </w:tcPr>
          <w:p>
            <w:pPr>
              <w:spacing w:after="0"/>
              <w:rPr>
                <w:sz w:val="6"/>
                <w:szCs w:val="6"/>
                <w:color w:val="auto"/>
              </w:rPr>
            </w:pPr>
          </w:p>
        </w:tc>
        <w:tc>
          <w:tcPr>
            <w:tcW w:w="1860" w:type="dxa"/>
            <w:vAlign w:val="bottom"/>
            <w:tcBorders>
              <w:bottom w:val="single" w:sz="8" w:color="959595"/>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0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70% Financial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40" w:type="dxa"/>
            <w:vAlign w:val="bottom"/>
            <w:gridSpan w:val="3"/>
          </w:tcPr>
          <w:p>
            <w:pPr>
              <w:jc w:val="right"/>
              <w:ind w:right="1430"/>
              <w:spacing w:after="0" w:line="115" w:lineRule="exact"/>
              <w:rPr>
                <w:sz w:val="20"/>
                <w:szCs w:val="20"/>
                <w:color w:val="auto"/>
              </w:rPr>
            </w:pPr>
            <w:r>
              <w:rPr>
                <w:rFonts w:ascii="Calibri" w:cs="Calibri" w:eastAsia="Calibri" w:hAnsi="Calibri"/>
                <w:sz w:val="12"/>
                <w:szCs w:val="12"/>
                <w:b w:val="1"/>
                <w:bCs w:val="1"/>
                <w:color w:val="auto"/>
              </w:rPr>
              <w:t>Relatve TSR (50%)</w:t>
            </w:r>
          </w:p>
        </w:tc>
        <w:tc>
          <w:tcPr>
            <w:tcW w:w="1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80" w:type="dxa"/>
            <w:vAlign w:val="bottom"/>
            <w:vMerge w:val="restart"/>
          </w:tcPr>
          <w:p>
            <w:pPr>
              <w:ind w:left="20"/>
              <w:spacing w:after="0" w:line="162" w:lineRule="exact"/>
              <w:rPr>
                <w:sz w:val="20"/>
                <w:szCs w:val="20"/>
                <w:color w:val="auto"/>
              </w:rPr>
            </w:pPr>
            <w:r>
              <w:rPr>
                <w:rFonts w:ascii="Calibri" w:cs="Calibri" w:eastAsia="Calibri" w:hAnsi="Calibri"/>
                <w:sz w:val="17"/>
                <w:szCs w:val="17"/>
                <w:color w:val="auto"/>
              </w:rPr>
              <w:t>HOW?</w:t>
            </w:r>
          </w:p>
        </w:tc>
        <w:tc>
          <w:tcPr>
            <w:tcW w:w="1620" w:type="dxa"/>
            <w:vAlign w:val="bottom"/>
            <w:vMerge w:val="restart"/>
          </w:tcPr>
          <w:p>
            <w:pPr>
              <w:ind w:left="20"/>
              <w:spacing w:after="0" w:line="162" w:lineRule="exact"/>
              <w:rPr>
                <w:sz w:val="20"/>
                <w:szCs w:val="20"/>
                <w:color w:val="auto"/>
              </w:rPr>
            </w:pPr>
            <w:r>
              <w:rPr>
                <w:rFonts w:ascii="Calibri" w:cs="Calibri" w:eastAsia="Calibri" w:hAnsi="Calibri"/>
                <w:sz w:val="14"/>
                <w:szCs w:val="14"/>
                <w:color w:val="auto"/>
              </w:rPr>
              <w:t>Market rate, as well as</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40" w:type="dxa"/>
            <w:vAlign w:val="bottom"/>
            <w:gridSpan w:val="3"/>
            <w:vMerge w:val="restart"/>
          </w:tcPr>
          <w:p>
            <w:pPr>
              <w:jc w:val="right"/>
              <w:ind w:right="1430"/>
              <w:spacing w:after="0" w:line="162" w:lineRule="exact"/>
              <w:rPr>
                <w:sz w:val="20"/>
                <w:szCs w:val="20"/>
                <w:color w:val="auto"/>
              </w:rPr>
            </w:pPr>
            <w:r>
              <w:rPr>
                <w:rFonts w:ascii="Calibri" w:cs="Calibri" w:eastAsia="Calibri" w:hAnsi="Calibri"/>
                <w:sz w:val="14"/>
                <w:szCs w:val="14"/>
                <w:b w:val="1"/>
                <w:bCs w:val="1"/>
                <w:color w:val="auto"/>
              </w:rPr>
              <w:t>ROIC** (25%)</w:t>
            </w:r>
          </w:p>
        </w:tc>
        <w:tc>
          <w:tcPr>
            <w:tcW w:w="1860" w:type="dxa"/>
            <w:vAlign w:val="bottom"/>
            <w:vMerge w:val="restart"/>
          </w:tcPr>
          <w:p>
            <w:pPr>
              <w:ind w:left="120"/>
              <w:spacing w:after="0" w:line="162" w:lineRule="exact"/>
              <w:rPr>
                <w:sz w:val="20"/>
                <w:szCs w:val="20"/>
                <w:color w:val="auto"/>
              </w:rPr>
            </w:pPr>
            <w:r>
              <w:rPr>
                <w:rFonts w:ascii="Calibri" w:cs="Calibri" w:eastAsia="Calibri" w:hAnsi="Calibri"/>
                <w:sz w:val="14"/>
                <w:szCs w:val="14"/>
                <w:color w:val="auto"/>
              </w:rPr>
              <w:t>Value delivered through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0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40" w:type="dxa"/>
            <w:vAlign w:val="bottom"/>
            <w:gridSpan w:val="3"/>
            <w:vMerge w:val="continue"/>
          </w:tcPr>
          <w:p>
            <w:pPr>
              <w:spacing w:after="0"/>
              <w:rPr>
                <w:sz w:val="4"/>
                <w:szCs w:val="4"/>
                <w:color w:val="auto"/>
              </w:rPr>
            </w:pPr>
          </w:p>
        </w:tc>
        <w:tc>
          <w:tcPr>
            <w:tcW w:w="18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ind w:left="20"/>
              <w:spacing w:after="0"/>
              <w:rPr>
                <w:sz w:val="20"/>
                <w:szCs w:val="20"/>
                <w:color w:val="auto"/>
              </w:rPr>
            </w:pPr>
            <w:r>
              <w:rPr>
                <w:rFonts w:ascii="Calibri" w:cs="Calibri" w:eastAsia="Calibri" w:hAnsi="Calibri"/>
                <w:sz w:val="14"/>
                <w:szCs w:val="14"/>
                <w:color w:val="auto"/>
              </w:rPr>
              <w:t>Measures,</w:t>
            </w:r>
          </w:p>
        </w:tc>
        <w:tc>
          <w:tcPr>
            <w:tcW w:w="1620" w:type="dxa"/>
            <w:vAlign w:val="bottom"/>
          </w:tcPr>
          <w:p>
            <w:pPr>
              <w:ind w:left="20"/>
              <w:spacing w:after="0"/>
              <w:rPr>
                <w:sz w:val="20"/>
                <w:szCs w:val="20"/>
                <w:color w:val="auto"/>
              </w:rPr>
            </w:pPr>
            <w:r>
              <w:rPr>
                <w:rFonts w:ascii="Calibri" w:cs="Calibri" w:eastAsia="Calibri" w:hAnsi="Calibri"/>
                <w:sz w:val="14"/>
                <w:szCs w:val="14"/>
                <w:color w:val="auto"/>
              </w:rPr>
              <w:t>internal pay equity,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ind w:left="20"/>
              <w:spacing w:after="0"/>
              <w:rPr>
                <w:sz w:val="20"/>
                <w:szCs w:val="20"/>
                <w:color w:val="auto"/>
              </w:rPr>
            </w:pPr>
            <w:r>
              <w:rPr>
                <w:rFonts w:ascii="Calibri" w:cs="Calibri" w:eastAsia="Calibri" w:hAnsi="Calibri"/>
                <w:sz w:val="14"/>
                <w:szCs w:val="14"/>
                <w:color w:val="auto"/>
              </w:rPr>
              <w:t>20% Sales, 40% Segment Operatng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40" w:type="dxa"/>
            <w:vAlign w:val="bottom"/>
            <w:gridSpan w:val="3"/>
          </w:tcPr>
          <w:p>
            <w:pPr>
              <w:jc w:val="right"/>
              <w:ind w:right="1430"/>
              <w:spacing w:after="0"/>
              <w:rPr>
                <w:sz w:val="20"/>
                <w:szCs w:val="20"/>
                <w:color w:val="auto"/>
              </w:rPr>
            </w:pPr>
            <w:r>
              <w:rPr>
                <w:rFonts w:ascii="Calibri" w:cs="Calibri" w:eastAsia="Calibri" w:hAnsi="Calibri"/>
                <w:sz w:val="14"/>
                <w:szCs w:val="14"/>
                <w:b w:val="1"/>
                <w:bCs w:val="1"/>
                <w:color w:val="auto"/>
              </w:rPr>
              <w:t>Free Cash Flow** (25%)</w:t>
            </w:r>
          </w:p>
        </w:tc>
        <w:tc>
          <w:tcPr>
            <w:tcW w:w="1860" w:type="dxa"/>
            <w:vAlign w:val="bottom"/>
          </w:tcPr>
          <w:p>
            <w:pPr>
              <w:ind w:left="120"/>
              <w:spacing w:after="0"/>
              <w:rPr>
                <w:sz w:val="20"/>
                <w:szCs w:val="20"/>
                <w:color w:val="auto"/>
              </w:rPr>
            </w:pPr>
            <w:r>
              <w:rPr>
                <w:rFonts w:ascii="Calibri" w:cs="Calibri" w:eastAsia="Calibri" w:hAnsi="Calibri"/>
                <w:sz w:val="14"/>
                <w:szCs w:val="14"/>
                <w:color w:val="auto"/>
              </w:rPr>
              <w:t>long-term stock price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080" w:type="dxa"/>
            <w:vAlign w:val="bottom"/>
            <w:vMerge w:val="continue"/>
          </w:tcPr>
          <w:p>
            <w:pPr>
              <w:spacing w:after="0"/>
              <w:rPr>
                <w:sz w:val="6"/>
                <w:szCs w:val="6"/>
                <w:color w:val="auto"/>
              </w:rPr>
            </w:pPr>
          </w:p>
        </w:tc>
        <w:tc>
          <w:tcPr>
            <w:tcW w:w="1620" w:type="dxa"/>
            <w:vAlign w:val="bottom"/>
            <w:vMerge w:val="restart"/>
          </w:tcPr>
          <w:p>
            <w:pPr>
              <w:ind w:left="20"/>
              <w:spacing w:after="0"/>
              <w:rPr>
                <w:sz w:val="20"/>
                <w:szCs w:val="20"/>
                <w:color w:val="auto"/>
              </w:rPr>
            </w:pPr>
            <w:r>
              <w:rPr>
                <w:rFonts w:ascii="Calibri" w:cs="Calibri" w:eastAsia="Calibri" w:hAnsi="Calibri"/>
                <w:sz w:val="14"/>
                <w:szCs w:val="14"/>
                <w:color w:val="auto"/>
              </w:rPr>
              <w:t>experience and critcal</w:t>
            </w: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40" w:type="dxa"/>
            <w:vAlign w:val="bottom"/>
            <w:vMerge w:val="restart"/>
          </w:tcPr>
          <w:p>
            <w:pPr>
              <w:ind w:left="20"/>
              <w:spacing w:after="0"/>
              <w:rPr>
                <w:sz w:val="20"/>
                <w:szCs w:val="20"/>
                <w:color w:val="auto"/>
              </w:rPr>
            </w:pPr>
            <w:r>
              <w:rPr>
                <w:rFonts w:ascii="Calibri" w:cs="Calibri" w:eastAsia="Calibri" w:hAnsi="Calibri"/>
                <w:sz w:val="14"/>
                <w:szCs w:val="14"/>
                <w:color w:val="auto"/>
              </w:rPr>
              <w:t>Proft, 40% Free Cash Flow**</w:t>
            </w:r>
          </w:p>
        </w:tc>
        <w:tc>
          <w:tcPr>
            <w:tcW w:w="200" w:type="dxa"/>
            <w:vAlign w:val="bottom"/>
          </w:tcPr>
          <w:p>
            <w:pPr>
              <w:spacing w:after="0"/>
              <w:rPr>
                <w:sz w:val="6"/>
                <w:szCs w:val="6"/>
                <w:color w:val="auto"/>
              </w:rPr>
            </w:pPr>
          </w:p>
        </w:tc>
        <w:tc>
          <w:tcPr>
            <w:tcW w:w="140" w:type="dxa"/>
            <w:vAlign w:val="bottom"/>
            <w:tcBorders>
              <w:bottom w:val="single" w:sz="8" w:color="959595"/>
            </w:tcBorders>
          </w:tcPr>
          <w:p>
            <w:pPr>
              <w:spacing w:after="0"/>
              <w:rPr>
                <w:sz w:val="6"/>
                <w:szCs w:val="6"/>
                <w:color w:val="auto"/>
              </w:rPr>
            </w:pPr>
          </w:p>
        </w:tc>
        <w:tc>
          <w:tcPr>
            <w:tcW w:w="1900" w:type="dxa"/>
            <w:vAlign w:val="bottom"/>
            <w:tcBorders>
              <w:bottom w:val="single" w:sz="8" w:color="959595"/>
            </w:tcBorders>
          </w:tcPr>
          <w:p>
            <w:pPr>
              <w:spacing w:after="0"/>
              <w:rPr>
                <w:sz w:val="6"/>
                <w:szCs w:val="6"/>
                <w:color w:val="auto"/>
              </w:rPr>
            </w:pPr>
          </w:p>
        </w:tc>
        <w:tc>
          <w:tcPr>
            <w:tcW w:w="160" w:type="dxa"/>
            <w:vAlign w:val="bottom"/>
            <w:tcBorders>
              <w:bottom w:val="single" w:sz="8" w:color="959595"/>
            </w:tcBorders>
          </w:tcPr>
          <w:p>
            <w:pPr>
              <w:spacing w:after="0"/>
              <w:rPr>
                <w:sz w:val="6"/>
                <w:szCs w:val="6"/>
                <w:color w:val="auto"/>
              </w:rPr>
            </w:pPr>
          </w:p>
        </w:tc>
        <w:tc>
          <w:tcPr>
            <w:tcW w:w="1780" w:type="dxa"/>
            <w:vAlign w:val="bottom"/>
            <w:tcBorders>
              <w:bottom w:val="single" w:sz="8" w:color="959595"/>
            </w:tcBorders>
          </w:tcPr>
          <w:p>
            <w:pPr>
              <w:spacing w:after="0"/>
              <w:rPr>
                <w:sz w:val="6"/>
                <w:szCs w:val="6"/>
                <w:color w:val="auto"/>
              </w:rPr>
            </w:pPr>
          </w:p>
        </w:tc>
        <w:tc>
          <w:tcPr>
            <w:tcW w:w="1860" w:type="dxa"/>
            <w:vAlign w:val="bottom"/>
            <w:vMerge w:val="restart"/>
          </w:tcPr>
          <w:p>
            <w:pPr>
              <w:ind w:left="120"/>
              <w:spacing w:after="0"/>
              <w:rPr>
                <w:sz w:val="20"/>
                <w:szCs w:val="20"/>
                <w:color w:val="auto"/>
              </w:rPr>
            </w:pPr>
            <w:r>
              <w:rPr>
                <w:rFonts w:ascii="Calibri" w:cs="Calibri" w:eastAsia="Calibri" w:hAnsi="Calibri"/>
                <w:sz w:val="14"/>
                <w:szCs w:val="14"/>
                <w:color w:val="auto"/>
              </w:rPr>
              <w:t>performance</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080" w:type="dxa"/>
            <w:vAlign w:val="bottom"/>
            <w:vMerge w:val="restart"/>
          </w:tcPr>
          <w:p>
            <w:pPr>
              <w:ind w:left="20"/>
              <w:spacing w:after="0" w:line="136" w:lineRule="exact"/>
              <w:rPr>
                <w:sz w:val="20"/>
                <w:szCs w:val="20"/>
                <w:color w:val="auto"/>
              </w:rPr>
            </w:pPr>
            <w:r>
              <w:rPr>
                <w:rFonts w:ascii="Calibri" w:cs="Calibri" w:eastAsia="Calibri" w:hAnsi="Calibri"/>
                <w:sz w:val="14"/>
                <w:szCs w:val="14"/>
                <w:color w:val="auto"/>
              </w:rPr>
              <w:t>Weightngs &amp;</w:t>
            </w:r>
          </w:p>
        </w:tc>
        <w:tc>
          <w:tcPr>
            <w:tcW w:w="1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restart"/>
          </w:tcPr>
          <w:p>
            <w:pPr>
              <w:ind w:left="20"/>
              <w:spacing w:after="0" w:line="136" w:lineRule="exact"/>
              <w:rPr>
                <w:sz w:val="20"/>
                <w:szCs w:val="20"/>
                <w:color w:val="auto"/>
              </w:rPr>
            </w:pPr>
            <w:r>
              <w:rPr>
                <w:rFonts w:ascii="Calibri" w:cs="Calibri" w:eastAsia="Calibri" w:hAnsi="Calibri"/>
                <w:sz w:val="14"/>
                <w:szCs w:val="14"/>
                <w:color w:val="auto"/>
              </w:rPr>
              <w:t>•</w:t>
            </w:r>
          </w:p>
        </w:tc>
        <w:tc>
          <w:tcPr>
            <w:tcW w:w="1900" w:type="dxa"/>
            <w:vAlign w:val="bottom"/>
            <w:vMerge w:val="restart"/>
          </w:tcPr>
          <w:p>
            <w:pPr>
              <w:ind w:left="40"/>
              <w:spacing w:after="0" w:line="136" w:lineRule="exact"/>
              <w:rPr>
                <w:sz w:val="20"/>
                <w:szCs w:val="20"/>
                <w:color w:val="auto"/>
              </w:rPr>
            </w:pPr>
            <w:r>
              <w:rPr>
                <w:rFonts w:ascii="Calibri" w:cs="Calibri" w:eastAsia="Calibri" w:hAnsi="Calibri"/>
                <w:sz w:val="14"/>
                <w:szCs w:val="14"/>
                <w:color w:val="auto"/>
              </w:rPr>
              <w:t>Award 0-200% of target # of</w:t>
            </w:r>
          </w:p>
        </w:tc>
        <w:tc>
          <w:tcPr>
            <w:tcW w:w="160" w:type="dxa"/>
            <w:vAlign w:val="bottom"/>
            <w:vMerge w:val="restart"/>
          </w:tcPr>
          <w:p>
            <w:pPr>
              <w:ind w:left="100"/>
              <w:spacing w:after="0"/>
              <w:rPr>
                <w:sz w:val="20"/>
                <w:szCs w:val="20"/>
                <w:color w:val="auto"/>
              </w:rPr>
            </w:pPr>
            <w:r>
              <w:rPr>
                <w:rFonts w:ascii="Calibri" w:cs="Calibri" w:eastAsia="Calibri" w:hAnsi="Calibri"/>
                <w:sz w:val="11"/>
                <w:szCs w:val="11"/>
                <w:color w:val="auto"/>
                <w:w w:val="72"/>
              </w:rPr>
              <w:t>•</w:t>
            </w:r>
          </w:p>
        </w:tc>
        <w:tc>
          <w:tcPr>
            <w:tcW w:w="1780" w:type="dxa"/>
            <w:vAlign w:val="bottom"/>
            <w:vMerge w:val="restart"/>
          </w:tcPr>
          <w:p>
            <w:pPr>
              <w:ind w:left="80"/>
              <w:spacing w:after="0" w:line="136" w:lineRule="exact"/>
              <w:rPr>
                <w:sz w:val="20"/>
                <w:szCs w:val="20"/>
                <w:color w:val="auto"/>
              </w:rPr>
            </w:pPr>
            <w:r>
              <w:rPr>
                <w:rFonts w:ascii="Calibri" w:cs="Calibri" w:eastAsia="Calibri" w:hAnsi="Calibri"/>
                <w:sz w:val="14"/>
                <w:szCs w:val="14"/>
                <w:color w:val="auto"/>
              </w:rPr>
              <w:t>Payout 0-200% of target</w:t>
            </w:r>
          </w:p>
        </w:tc>
        <w:tc>
          <w:tcPr>
            <w:tcW w:w="18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1080" w:type="dxa"/>
            <w:vAlign w:val="bottom"/>
            <w:vMerge w:val="continue"/>
          </w:tcPr>
          <w:p>
            <w:pPr>
              <w:spacing w:after="0"/>
              <w:rPr>
                <w:sz w:val="4"/>
                <w:szCs w:val="4"/>
                <w:color w:val="auto"/>
              </w:rPr>
            </w:pPr>
          </w:p>
        </w:tc>
        <w:tc>
          <w:tcPr>
            <w:tcW w:w="1620" w:type="dxa"/>
            <w:vAlign w:val="bottom"/>
            <w:vMerge w:val="restart"/>
          </w:tcPr>
          <w:p>
            <w:pPr>
              <w:ind w:left="20"/>
              <w:spacing w:after="0"/>
              <w:rPr>
                <w:sz w:val="20"/>
                <w:szCs w:val="20"/>
                <w:color w:val="auto"/>
              </w:rPr>
            </w:pPr>
            <w:r>
              <w:rPr>
                <w:rFonts w:ascii="Calibri" w:cs="Calibri" w:eastAsia="Calibri" w:hAnsi="Calibri"/>
                <w:sz w:val="14"/>
                <w:szCs w:val="14"/>
                <w:color w:val="auto"/>
              </w:rPr>
              <w:t>skills</w:t>
            </w: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1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80" w:type="dxa"/>
            <w:vAlign w:val="bottom"/>
            <w:vMerge w:val="restart"/>
          </w:tcPr>
          <w:p>
            <w:pPr>
              <w:ind w:left="20"/>
              <w:spacing w:after="0"/>
              <w:rPr>
                <w:sz w:val="20"/>
                <w:szCs w:val="20"/>
                <w:color w:val="auto"/>
              </w:rPr>
            </w:pPr>
            <w:r>
              <w:rPr>
                <w:rFonts w:ascii="Calibri" w:cs="Calibri" w:eastAsia="Calibri" w:hAnsi="Calibri"/>
                <w:sz w:val="14"/>
                <w:szCs w:val="14"/>
                <w:color w:val="auto"/>
              </w:rPr>
              <w:t>Payouts</w:t>
            </w:r>
          </w:p>
        </w:tc>
        <w:tc>
          <w:tcPr>
            <w:tcW w:w="1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 xml:space="preserve">30% Strategic &amp; Operatonal </w:t>
            </w:r>
            <w:r>
              <w:rPr>
                <w:rFonts w:ascii="Calibri" w:cs="Calibri" w:eastAsia="Calibri" w:hAnsi="Calibri"/>
                <w:sz w:val="14"/>
                <w:szCs w:val="14"/>
                <w:color w:val="auto"/>
              </w:rPr>
              <w:t>Key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vMerge w:val="restart"/>
          </w:tcPr>
          <w:p>
            <w:pPr>
              <w:ind w:left="40"/>
              <w:spacing w:after="0"/>
              <w:rPr>
                <w:sz w:val="20"/>
                <w:szCs w:val="20"/>
                <w:color w:val="auto"/>
              </w:rPr>
            </w:pPr>
            <w:r>
              <w:rPr>
                <w:rFonts w:ascii="Calibri" w:cs="Calibri" w:eastAsia="Calibri" w:hAnsi="Calibri"/>
                <w:sz w:val="14"/>
                <w:szCs w:val="14"/>
                <w:color w:val="auto"/>
              </w:rPr>
              <w:t>shares</w:t>
            </w:r>
          </w:p>
        </w:tc>
        <w:tc>
          <w:tcPr>
            <w:tcW w:w="160" w:type="dxa"/>
            <w:vAlign w:val="bottom"/>
            <w:vMerge w:val="restart"/>
          </w:tcPr>
          <w:p>
            <w:pPr>
              <w:ind w:left="100"/>
              <w:spacing w:after="0"/>
              <w:rPr>
                <w:sz w:val="20"/>
                <w:szCs w:val="20"/>
                <w:color w:val="auto"/>
              </w:rPr>
            </w:pPr>
            <w:r>
              <w:rPr>
                <w:rFonts w:ascii="Calibri" w:cs="Calibri" w:eastAsia="Calibri" w:hAnsi="Calibri"/>
                <w:sz w:val="11"/>
                <w:szCs w:val="11"/>
                <w:color w:val="auto"/>
                <w:w w:val="72"/>
              </w:rPr>
              <w:t>•</w:t>
            </w:r>
          </w:p>
        </w:tc>
        <w:tc>
          <w:tcPr>
            <w:tcW w:w="1780" w:type="dxa"/>
            <w:vAlign w:val="bottom"/>
            <w:vMerge w:val="restart"/>
          </w:tcPr>
          <w:p>
            <w:pPr>
              <w:ind w:left="80"/>
              <w:spacing w:after="0"/>
              <w:rPr>
                <w:sz w:val="20"/>
                <w:szCs w:val="20"/>
                <w:color w:val="auto"/>
              </w:rPr>
            </w:pPr>
            <w:r>
              <w:rPr>
                <w:rFonts w:ascii="Calibri" w:cs="Calibri" w:eastAsia="Calibri" w:hAnsi="Calibri"/>
                <w:sz w:val="14"/>
                <w:szCs w:val="14"/>
                <w:color w:val="auto"/>
              </w:rPr>
              <w:t>Relatve TSR measure</w:t>
            </w:r>
          </w:p>
        </w:tc>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08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ind w:left="20"/>
              <w:spacing w:after="0"/>
              <w:rPr>
                <w:sz w:val="20"/>
                <w:szCs w:val="20"/>
                <w:color w:val="auto"/>
              </w:rPr>
            </w:pPr>
            <w:r>
              <w:rPr>
                <w:rFonts w:ascii="Calibri" w:cs="Calibri" w:eastAsia="Calibri" w:hAnsi="Calibri"/>
                <w:sz w:val="14"/>
                <w:szCs w:val="14"/>
                <w:color w:val="auto"/>
              </w:rPr>
              <w:t>Goals: Enterprise Performance, New</w:t>
            </w:r>
          </w:p>
        </w:tc>
        <w:tc>
          <w:tcPr>
            <w:tcW w:w="200" w:type="dxa"/>
            <w:vAlign w:val="bottom"/>
          </w:tcPr>
          <w:p>
            <w:pPr>
              <w:spacing w:after="0"/>
              <w:rPr>
                <w:sz w:val="16"/>
                <w:szCs w:val="16"/>
                <w:color w:val="auto"/>
              </w:rPr>
            </w:pPr>
          </w:p>
        </w:tc>
        <w:tc>
          <w:tcPr>
            <w:tcW w:w="2040" w:type="dxa"/>
            <w:vAlign w:val="bottom"/>
            <w:gridSpan w:val="2"/>
          </w:tcPr>
          <w:p>
            <w:pPr>
              <w:ind w:left="20"/>
              <w:spacing w:after="0"/>
              <w:rPr>
                <w:sz w:val="20"/>
                <w:szCs w:val="20"/>
                <w:color w:val="auto"/>
              </w:rPr>
            </w:pPr>
            <w:r>
              <w:rPr>
                <w:rFonts w:ascii="Calibri" w:cs="Calibri" w:eastAsia="Calibri" w:hAnsi="Calibri"/>
                <w:sz w:val="14"/>
                <w:szCs w:val="14"/>
                <w:color w:val="auto"/>
              </w:rPr>
              <w:t>• Relatve TSR measure capped</w:t>
            </w:r>
          </w:p>
        </w:tc>
        <w:tc>
          <w:tcPr>
            <w:tcW w:w="16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Calibri" w:cs="Calibri" w:eastAsia="Calibri" w:hAnsi="Calibri"/>
                <w:sz w:val="14"/>
                <w:szCs w:val="14"/>
                <w:color w:val="auto"/>
              </w:rPr>
              <w:t>capped at 100% if TSR is</w:t>
            </w: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ind w:left="20"/>
              <w:spacing w:after="0"/>
              <w:rPr>
                <w:sz w:val="20"/>
                <w:szCs w:val="20"/>
                <w:color w:val="auto"/>
              </w:rPr>
            </w:pPr>
            <w:r>
              <w:rPr>
                <w:rFonts w:ascii="Calibri" w:cs="Calibri" w:eastAsia="Calibri" w:hAnsi="Calibri"/>
                <w:sz w:val="14"/>
                <w:szCs w:val="14"/>
                <w:color w:val="auto"/>
              </w:rPr>
              <w:t>Business/Growth, Strategy,</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ind w:left="40"/>
              <w:spacing w:after="0"/>
              <w:rPr>
                <w:sz w:val="20"/>
                <w:szCs w:val="20"/>
                <w:color w:val="auto"/>
              </w:rPr>
            </w:pPr>
            <w:r>
              <w:rPr>
                <w:rFonts w:ascii="Calibri" w:cs="Calibri" w:eastAsia="Calibri" w:hAnsi="Calibri"/>
                <w:sz w:val="14"/>
                <w:szCs w:val="14"/>
                <w:color w:val="auto"/>
              </w:rPr>
              <w:t>at 100% if TSR is negatve</w:t>
            </w:r>
          </w:p>
        </w:tc>
        <w:tc>
          <w:tcPr>
            <w:tcW w:w="160" w:type="dxa"/>
            <w:vAlign w:val="bottom"/>
          </w:tcPr>
          <w:p>
            <w:pPr>
              <w:spacing w:after="0"/>
              <w:rPr>
                <w:sz w:val="16"/>
                <w:szCs w:val="16"/>
                <w:color w:val="auto"/>
              </w:rPr>
            </w:pPr>
          </w:p>
        </w:tc>
        <w:tc>
          <w:tcPr>
            <w:tcW w:w="1780" w:type="dxa"/>
            <w:vAlign w:val="bottom"/>
          </w:tcPr>
          <w:p>
            <w:pPr>
              <w:ind w:left="100"/>
              <w:spacing w:after="0"/>
              <w:rPr>
                <w:sz w:val="20"/>
                <w:szCs w:val="20"/>
                <w:color w:val="auto"/>
              </w:rPr>
            </w:pPr>
            <w:r>
              <w:rPr>
                <w:rFonts w:ascii="Calibri" w:cs="Calibri" w:eastAsia="Calibri" w:hAnsi="Calibri"/>
                <w:sz w:val="14"/>
                <w:szCs w:val="14"/>
                <w:color w:val="auto"/>
              </w:rPr>
              <w:t>negatve</w:t>
            </w: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Calibri" w:cs="Calibri" w:eastAsia="Calibri" w:hAnsi="Calibri"/>
                <w:sz w:val="14"/>
                <w:szCs w:val="14"/>
                <w:color w:val="auto"/>
              </w:rPr>
              <w:t>Environmental, Social</w:t>
            </w:r>
          </w:p>
        </w:tc>
        <w:tc>
          <w:tcPr>
            <w:tcW w:w="20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Calibri" w:cs="Calibri" w:eastAsia="Calibri" w:hAnsi="Calibri"/>
                <w:sz w:val="14"/>
                <w:szCs w:val="14"/>
                <w:color w:val="auto"/>
              </w:rPr>
              <w:t>•</w:t>
            </w:r>
          </w:p>
        </w:tc>
        <w:tc>
          <w:tcPr>
            <w:tcW w:w="1900" w:type="dxa"/>
            <w:vAlign w:val="bottom"/>
            <w:vMerge w:val="restart"/>
          </w:tcPr>
          <w:p>
            <w:pPr>
              <w:ind w:left="40"/>
              <w:spacing w:after="0"/>
              <w:rPr>
                <w:sz w:val="20"/>
                <w:szCs w:val="20"/>
                <w:color w:val="auto"/>
              </w:rPr>
            </w:pPr>
            <w:r>
              <w:rPr>
                <w:rFonts w:ascii="Calibri" w:cs="Calibri" w:eastAsia="Calibri" w:hAnsi="Calibri"/>
                <w:sz w:val="14"/>
                <w:szCs w:val="14"/>
                <w:color w:val="auto"/>
              </w:rPr>
              <w:t>Value capped at 400% of stock</w:t>
            </w: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40" w:type="dxa"/>
            <w:vAlign w:val="bottom"/>
            <w:vMerge w:val="restart"/>
          </w:tcPr>
          <w:p>
            <w:pPr>
              <w:ind w:left="20"/>
              <w:spacing w:after="0"/>
              <w:rPr>
                <w:sz w:val="20"/>
                <w:szCs w:val="20"/>
                <w:color w:val="auto"/>
              </w:rPr>
            </w:pPr>
            <w:r>
              <w:rPr>
                <w:rFonts w:ascii="Calibri" w:cs="Calibri" w:eastAsia="Calibri" w:hAnsi="Calibri"/>
                <w:sz w:val="14"/>
                <w:szCs w:val="14"/>
                <w:color w:val="auto"/>
              </w:rPr>
              <w:t>and Governance</w:t>
            </w:r>
          </w:p>
        </w:tc>
        <w:tc>
          <w:tcPr>
            <w:tcW w:w="2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vMerge w:val="restart"/>
          </w:tcPr>
          <w:p>
            <w:pPr>
              <w:ind w:left="40"/>
              <w:spacing w:after="0"/>
              <w:rPr>
                <w:sz w:val="20"/>
                <w:szCs w:val="20"/>
                <w:color w:val="auto"/>
              </w:rPr>
            </w:pPr>
            <w:r>
              <w:rPr>
                <w:rFonts w:ascii="Calibri" w:cs="Calibri" w:eastAsia="Calibri" w:hAnsi="Calibri"/>
                <w:sz w:val="14"/>
                <w:szCs w:val="14"/>
                <w:color w:val="auto"/>
              </w:rPr>
              <w:t>price on date of grant x</w:t>
            </w: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ind w:left="20"/>
              <w:spacing w:after="0"/>
              <w:rPr>
                <w:sz w:val="20"/>
                <w:szCs w:val="20"/>
                <w:color w:val="auto"/>
              </w:rPr>
            </w:pPr>
            <w:r>
              <w:rPr>
                <w:rFonts w:ascii="Calibri" w:cs="Calibri" w:eastAsia="Calibri" w:hAnsi="Calibri"/>
                <w:sz w:val="14"/>
                <w:szCs w:val="14"/>
                <w:color w:val="auto"/>
              </w:rPr>
              <w:t>Payout: 0-200% of target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ind w:left="40"/>
              <w:spacing w:after="0"/>
              <w:rPr>
                <w:sz w:val="20"/>
                <w:szCs w:val="20"/>
                <w:color w:val="auto"/>
              </w:rPr>
            </w:pPr>
            <w:r>
              <w:rPr>
                <w:rFonts w:ascii="Calibri" w:cs="Calibri" w:eastAsia="Calibri" w:hAnsi="Calibri"/>
                <w:sz w:val="14"/>
                <w:szCs w:val="14"/>
                <w:color w:val="auto"/>
              </w:rPr>
              <w:t>shares earned</w:t>
            </w: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-1915795</wp:posOffset>
            </wp:positionV>
            <wp:extent cx="8255"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-1915795</wp:posOffset>
            </wp:positionV>
            <wp:extent cx="889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-1915795</wp:posOffset>
            </wp:positionV>
            <wp:extent cx="8255"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-1915795</wp:posOffset>
            </wp:positionV>
            <wp:extent cx="8255"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-1735455</wp:posOffset>
            </wp:positionV>
            <wp:extent cx="90868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ectPr>
          <w:pgSz w:w="11900" w:h="16838" w:orient="portrait"/>
          <w:cols w:equalWidth="0" w:num="1">
            <w:col w:w="11260"/>
          </w:cols>
          <w:pgMar w:left="320" w:top="231" w:right="319" w:bottom="1440" w:gutter="0" w:footer="0" w:header="0"/>
        </w:sect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WHY?</w:t>
      </w:r>
    </w:p>
    <w:p>
      <w:pPr>
        <w:ind w:left="1100"/>
        <w:spacing w:after="0" w:line="199" w:lineRule="auto"/>
        <w:tabs>
          <w:tab w:leader="none" w:pos="2960" w:val="left"/>
        </w:tabs>
        <w:rPr>
          <w:sz w:val="20"/>
          <w:szCs w:val="20"/>
          <w:color w:val="auto"/>
        </w:rPr>
      </w:pPr>
      <w:r>
        <w:rPr>
          <w:rFonts w:ascii="Calibri" w:cs="Calibri" w:eastAsia="Calibri" w:hAnsi="Calibri"/>
          <w:sz w:val="14"/>
          <w:szCs w:val="14"/>
          <w:color w:val="auto"/>
        </w:rPr>
        <w:t>Provides compettve</w:t>
      </w:r>
      <w:r>
        <w:rPr>
          <w:sz w:val="20"/>
          <w:szCs w:val="20"/>
          <w:color w:val="auto"/>
        </w:rPr>
        <w:tab/>
      </w:r>
      <w:r>
        <w:rPr>
          <w:rFonts w:ascii="Calibri" w:cs="Calibri" w:eastAsia="Calibri" w:hAnsi="Calibri"/>
          <w:sz w:val="14"/>
          <w:szCs w:val="14"/>
          <w:color w:val="auto"/>
        </w:rPr>
        <w:t>Atracts and motvates executves by</w:t>
      </w:r>
    </w:p>
    <w:p>
      <w:pPr>
        <w:spacing w:after="0" w:line="5" w:lineRule="exact"/>
        <w:rPr>
          <w:sz w:val="20"/>
          <w:szCs w:val="20"/>
          <w:color w:val="auto"/>
        </w:rPr>
      </w:pPr>
    </w:p>
    <w:p>
      <w:pPr>
        <w:jc w:val="right"/>
        <w:spacing w:after="0"/>
        <w:tabs>
          <w:tab w:leader="none" w:pos="2160" w:val="left"/>
        </w:tabs>
        <w:rPr>
          <w:sz w:val="20"/>
          <w:szCs w:val="20"/>
          <w:color w:val="auto"/>
        </w:rPr>
      </w:pPr>
      <w:r>
        <w:rPr>
          <w:rFonts w:ascii="Calibri" w:cs="Calibri" w:eastAsia="Calibri" w:hAnsi="Calibri"/>
          <w:sz w:val="14"/>
          <w:szCs w:val="14"/>
          <w:color w:val="auto"/>
        </w:rPr>
        <w:t>levels of fxed pay to</w:t>
      </w:r>
      <w:r>
        <w:rPr>
          <w:sz w:val="20"/>
          <w:szCs w:val="20"/>
          <w:color w:val="auto"/>
        </w:rPr>
        <w:tab/>
      </w:r>
      <w:r>
        <w:rPr>
          <w:rFonts w:ascii="Calibri" w:cs="Calibri" w:eastAsia="Calibri" w:hAnsi="Calibri"/>
          <w:sz w:val="14"/>
          <w:szCs w:val="14"/>
          <w:color w:val="auto"/>
        </w:rPr>
        <w:t>linking annual Company performance</w:t>
      </w:r>
    </w:p>
    <w:p>
      <w:pPr>
        <w:spacing w:after="0" w:line="18" w:lineRule="exact"/>
        <w:rPr>
          <w:sz w:val="20"/>
          <w:szCs w:val="20"/>
          <w:color w:val="auto"/>
        </w:rPr>
      </w:pPr>
    </w:p>
    <w:p>
      <w:pPr>
        <w:ind w:left="1100"/>
        <w:spacing w:after="0"/>
        <w:tabs>
          <w:tab w:leader="none" w:pos="2960" w:val="left"/>
        </w:tabs>
        <w:rPr>
          <w:sz w:val="20"/>
          <w:szCs w:val="20"/>
          <w:color w:val="auto"/>
        </w:rPr>
      </w:pPr>
      <w:r>
        <w:rPr>
          <w:rFonts w:ascii="Calibri" w:cs="Calibri" w:eastAsia="Calibri" w:hAnsi="Calibri"/>
          <w:sz w:val="14"/>
          <w:szCs w:val="14"/>
          <w:color w:val="auto"/>
        </w:rPr>
        <w:t>atract and</w:t>
      </w:r>
      <w:r>
        <w:rPr>
          <w:sz w:val="20"/>
          <w:szCs w:val="20"/>
          <w:color w:val="auto"/>
        </w:rPr>
        <w:tab/>
      </w:r>
      <w:r>
        <w:rPr>
          <w:rFonts w:ascii="Calibri" w:cs="Calibri" w:eastAsia="Calibri" w:hAnsi="Calibri"/>
          <w:sz w:val="14"/>
          <w:szCs w:val="14"/>
          <w:color w:val="auto"/>
        </w:rPr>
        <w:t>to an annual cash incentve.</w:t>
      </w:r>
    </w:p>
    <w:p>
      <w:pPr>
        <w:spacing w:after="0" w:line="18" w:lineRule="exact"/>
        <w:rPr>
          <w:sz w:val="20"/>
          <w:szCs w:val="20"/>
          <w:color w:val="auto"/>
        </w:rPr>
      </w:pPr>
    </w:p>
    <w:p>
      <w:pPr>
        <w:ind w:left="1100"/>
        <w:spacing w:after="0"/>
        <w:rPr>
          <w:sz w:val="20"/>
          <w:szCs w:val="20"/>
          <w:color w:val="auto"/>
        </w:rPr>
      </w:pPr>
      <w:r>
        <w:rPr>
          <w:rFonts w:ascii="Calibri" w:cs="Calibri" w:eastAsia="Calibri" w:hAnsi="Calibri"/>
          <w:sz w:val="14"/>
          <w:szCs w:val="14"/>
          <w:color w:val="auto"/>
        </w:rPr>
        <w:t>retain executves.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258" w:lineRule="auto"/>
        <w:rPr>
          <w:sz w:val="20"/>
          <w:szCs w:val="20"/>
          <w:color w:val="auto"/>
        </w:rPr>
      </w:pPr>
      <w:r>
        <w:rPr>
          <w:rFonts w:ascii="Calibri" w:cs="Calibri" w:eastAsia="Calibri" w:hAnsi="Calibri"/>
          <w:sz w:val="14"/>
          <w:szCs w:val="14"/>
          <w:color w:val="auto"/>
        </w:rPr>
        <w:t>Creates strong alignment with stockholder interests by linking long-term pay to key performance metrics and stock price. Provides a balance of internal and market-based measures to assess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99695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-551180</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both"/>
        <w:ind w:right="220"/>
        <w:spacing w:after="0" w:line="255" w:lineRule="auto"/>
        <w:rPr>
          <w:sz w:val="20"/>
          <w:szCs w:val="20"/>
          <w:color w:val="auto"/>
        </w:rPr>
      </w:pPr>
      <w:r>
        <w:rPr>
          <w:rFonts w:ascii="Calibri" w:cs="Calibri" w:eastAsia="Calibri" w:hAnsi="Calibri"/>
          <w:sz w:val="14"/>
          <w:szCs w:val="14"/>
          <w:color w:val="auto"/>
        </w:rPr>
        <w:t>Promotes retenton of key talent and aligns executve and stockholder interests.</w:t>
      </w:r>
    </w:p>
    <w:p>
      <w:pPr>
        <w:spacing w:after="0" w:line="390" w:lineRule="exact"/>
        <w:rPr>
          <w:sz w:val="20"/>
          <w:szCs w:val="20"/>
          <w:color w:val="auto"/>
        </w:rPr>
      </w:pPr>
    </w:p>
    <w:p>
      <w:pPr>
        <w:sectPr>
          <w:pgSz w:w="11900" w:h="16838" w:orient="portrait"/>
          <w:cols w:equalWidth="0" w:num="3">
            <w:col w:w="5160" w:space="260"/>
            <w:col w:w="3940" w:space="140"/>
            <w:col w:w="1760"/>
          </w:cols>
          <w:pgMar w:left="320" w:top="231" w:right="319" w:bottom="1440" w:gutter="0" w:footer="0" w:header="0"/>
          <w:type w:val="continuous"/>
        </w:sectPr>
      </w:pPr>
    </w:p>
    <w:p>
      <w:pPr>
        <w:spacing w:after="0" w:line="145" w:lineRule="exact"/>
        <w:rPr>
          <w:sz w:val="20"/>
          <w:szCs w:val="20"/>
          <w:color w:val="auto"/>
        </w:rPr>
      </w:pPr>
    </w:p>
    <w:p>
      <w:pPr>
        <w:ind w:left="260" w:right="480" w:hanging="252"/>
        <w:spacing w:after="0" w:line="264" w:lineRule="auto"/>
        <w:tabs>
          <w:tab w:leader="none" w:pos="219" w:val="left"/>
        </w:tabs>
        <w:numPr>
          <w:ilvl w:val="0"/>
          <w:numId w:val="69"/>
        </w:numPr>
        <w:rPr>
          <w:rFonts w:ascii="Calibri" w:cs="Calibri" w:eastAsia="Calibri" w:hAnsi="Calibri"/>
          <w:sz w:val="14"/>
          <w:szCs w:val="14"/>
          <w:color w:val="auto"/>
        </w:rPr>
      </w:pPr>
      <w:r>
        <w:rPr>
          <w:rFonts w:ascii="Calibri" w:cs="Calibri" w:eastAsia="Calibri" w:hAnsi="Calibri"/>
          <w:sz w:val="14"/>
          <w:szCs w:val="14"/>
          <w:color w:val="auto"/>
        </w:rPr>
        <w:t>Refects long-term incentve mix for the CEO, EVPs and SVPs; Mr. Mollard received a long-term incentve mix in 2022 of 10% PSUs, 40% LTIP and 50% RSUs based on his role as VP and Treasurer at the tme of award.</w:t>
      </w:r>
    </w:p>
    <w:p>
      <w:pPr>
        <w:spacing w:after="0" w:line="56" w:lineRule="exact"/>
        <w:rPr>
          <w:sz w:val="20"/>
          <w:szCs w:val="20"/>
          <w:color w:val="auto"/>
        </w:rPr>
      </w:pPr>
    </w:p>
    <w:p>
      <w:pPr>
        <w:ind w:left="260" w:right="60" w:hanging="252"/>
        <w:spacing w:after="0" w:line="264" w:lineRule="auto"/>
        <w:tabs>
          <w:tab w:leader="none" w:pos="290" w:val="left"/>
        </w:tabs>
        <w:numPr>
          <w:ilvl w:val="0"/>
          <w:numId w:val="70"/>
        </w:numPr>
        <w:rPr>
          <w:rFonts w:ascii="Calibri" w:cs="Calibri" w:eastAsia="Calibri" w:hAnsi="Calibri"/>
          <w:sz w:val="14"/>
          <w:szCs w:val="14"/>
          <w:color w:val="auto"/>
        </w:rPr>
      </w:pPr>
      <w:r>
        <w:rPr>
          <w:rFonts w:ascii="Calibri" w:cs="Calibri" w:eastAsia="Calibri" w:hAnsi="Calibri"/>
          <w:sz w:val="14"/>
          <w:szCs w:val="14"/>
          <w:color w:val="auto"/>
        </w:rPr>
        <w:t>Refer to the next page for adjustments made to Free Cash Flow for compensaton purposes and Appendix A for an explanaton of Non-GAAP measures (Segment Operatng Proft, ROIC and Free Cash Flow) as well as our disclosure regarding forward-looking statements concerning future performance or goals for future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818EB4"/>
        </w:rPr>
        <w:t>Base Salary</w:t>
      </w:r>
    </w:p>
    <w:p>
      <w:pPr>
        <w:spacing w:after="0" w:line="88" w:lineRule="exact"/>
        <w:rPr>
          <w:sz w:val="20"/>
          <w:szCs w:val="20"/>
          <w:color w:val="auto"/>
        </w:rPr>
      </w:pPr>
    </w:p>
    <w:p>
      <w:pPr>
        <w:spacing w:after="0"/>
        <w:rPr>
          <w:sz w:val="20"/>
          <w:szCs w:val="20"/>
          <w:color w:val="auto"/>
        </w:rPr>
      </w:pPr>
      <w:r>
        <w:rPr>
          <w:rFonts w:ascii="Calibri" w:cs="Calibri" w:eastAsia="Calibri" w:hAnsi="Calibri"/>
          <w:sz w:val="17"/>
          <w:szCs w:val="17"/>
          <w:color w:val="auto"/>
        </w:rPr>
        <w:t>Base salaries are reviewed annually taking into account the market rate (50</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percentle), the executve’s individual performance and internal pay equity.</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818EB4"/>
        </w:rPr>
        <w:t>2022 Annual Incentive</w:t>
      </w:r>
    </w:p>
    <w:p>
      <w:pPr>
        <w:spacing w:after="0" w:line="124" w:lineRule="exact"/>
        <w:rPr>
          <w:sz w:val="20"/>
          <w:szCs w:val="20"/>
          <w:color w:val="auto"/>
        </w:rPr>
      </w:pPr>
    </w:p>
    <w:p>
      <w:pPr>
        <w:ind w:right="40"/>
        <w:spacing w:after="0" w:line="252" w:lineRule="auto"/>
        <w:rPr>
          <w:sz w:val="20"/>
          <w:szCs w:val="20"/>
          <w:color w:val="auto"/>
        </w:rPr>
      </w:pPr>
      <w:r>
        <w:rPr>
          <w:rFonts w:ascii="Calibri" w:cs="Calibri" w:eastAsia="Calibri" w:hAnsi="Calibri"/>
          <w:sz w:val="17"/>
          <w:szCs w:val="17"/>
          <w:color w:val="auto"/>
        </w:rPr>
        <w:t>The 2022 annual incentve plan for our CEO, other NEOs and all other ofcers elected by the Board was based 70% on fnancial goals and 30% on strategic and operatonal goals measured at the enterprise level, as illustrated in the graphic below. Although the annual incentve plan uses a formulaic approach, the Compensaton Commitee retains discreton in administering the plan, which discreton includes choosing and approving goals, assessing strategic and operatonal results and modifying payouts based on business segment and individual performance for any ofcer elected by the Board, including the NEOs. The commitee did not exercise any discreton in modifying payouts for the NEOs.</w:t>
      </w:r>
    </w:p>
    <w:p>
      <w:pPr>
        <w:sectPr>
          <w:pgSz w:w="11900" w:h="16838" w:orient="portrait"/>
          <w:cols w:equalWidth="0" w:num="1">
            <w:col w:w="11260"/>
          </w:cols>
          <w:pgMar w:left="320" w:top="2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1" w:right="319"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372745</wp:posOffset>
            </wp:positionV>
            <wp:extent cx="4603115" cy="7543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6031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20"/>
        <w:spacing w:after="0" w:line="245" w:lineRule="auto"/>
        <w:rPr>
          <w:sz w:val="20"/>
          <w:szCs w:val="20"/>
          <w:color w:val="auto"/>
        </w:rPr>
      </w:pPr>
      <w:r>
        <w:rPr>
          <w:rFonts w:ascii="Calibri" w:cs="Calibri" w:eastAsia="Calibri" w:hAnsi="Calibri"/>
          <w:sz w:val="17"/>
          <w:szCs w:val="17"/>
          <w:color w:val="auto"/>
        </w:rPr>
        <w:t>Under the terms of our annual incentve plan, the CEO’s annual incentve and the annual incentve for each of the other NEOs cannot exceed 0.3% and 0.2%, respectvely, of Cash from Operatons. Annual incentve payouts range from 0% to 200% of target.</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003478"/>
        </w:rPr>
        <w:t>2022 Annual Incentive Goals and Results</w:t>
      </w:r>
    </w:p>
    <w:p>
      <w:pPr>
        <w:spacing w:after="0" w:line="115" w:lineRule="exact"/>
        <w:rPr>
          <w:sz w:val="20"/>
          <w:szCs w:val="20"/>
          <w:color w:val="auto"/>
        </w:rPr>
      </w:pPr>
    </w:p>
    <w:p>
      <w:pPr>
        <w:ind w:right="20"/>
        <w:spacing w:after="0" w:line="255" w:lineRule="auto"/>
        <w:rPr>
          <w:sz w:val="20"/>
          <w:szCs w:val="20"/>
          <w:color w:val="auto"/>
        </w:rPr>
      </w:pPr>
      <w:r>
        <w:rPr>
          <w:rFonts w:ascii="Calibri" w:cs="Calibri" w:eastAsia="Calibri" w:hAnsi="Calibri"/>
          <w:sz w:val="17"/>
          <w:szCs w:val="17"/>
          <w:color w:val="auto"/>
        </w:rPr>
        <w:t>At its February 2022 meetng, the Compensaton Commitee approved enterprise-wide objectves for 2022 refectng fnancial and strategic and operatonal goals. These goals are used as the Enterprise Component for all executves in the Company and serve as the only goals for the CEO, NEOs and all other ofcers elected by the Board. We have not made any modifcatons to our annual incentve goals in response to COVID-19. For 2022, the Compensaton Commitee approved the use of Free Cash Flow to replace Cash From Operatons. The use of Free Cash Flow beter aligns to Company strategy as it incorporates capital expenditures. Notably, by including a cash measure in both our annual and long-term incentve plans, the plans mitgate the risk of short-term cash strategies that do not create long-term value.</w:t>
      </w:r>
    </w:p>
    <w:p>
      <w:pPr>
        <w:spacing w:after="0" w:line="122" w:lineRule="exact"/>
        <w:rPr>
          <w:sz w:val="20"/>
          <w:szCs w:val="20"/>
          <w:color w:val="auto"/>
        </w:rPr>
      </w:pPr>
    </w:p>
    <w:p>
      <w:pPr>
        <w:spacing w:after="0" w:line="256" w:lineRule="auto"/>
        <w:rPr>
          <w:sz w:val="20"/>
          <w:szCs w:val="20"/>
          <w:color w:val="auto"/>
        </w:rPr>
      </w:pPr>
      <w:r>
        <w:rPr>
          <w:rFonts w:ascii="Calibri" w:cs="Calibri" w:eastAsia="Calibri" w:hAnsi="Calibri"/>
          <w:sz w:val="17"/>
          <w:szCs w:val="17"/>
          <w:b w:val="1"/>
          <w:bCs w:val="1"/>
          <w:color w:val="auto"/>
        </w:rPr>
        <w:t xml:space="preserve">Financial Assessment (70% Weight). </w:t>
      </w:r>
      <w:r>
        <w:rPr>
          <w:rFonts w:ascii="Calibri" w:cs="Calibri" w:eastAsia="Calibri" w:hAnsi="Calibri"/>
          <w:sz w:val="17"/>
          <w:szCs w:val="17"/>
          <w:color w:val="auto"/>
        </w:rPr>
        <w:t>The fnancial targets under the annual incentve plan align with the guidance we disclosed publicly at the beginning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2022. We believe this approach to setng the fnancial metrics for annual incentve purposes appropriately links compensaton to our efectveness in meetng our public commitments to our stockholders. Our fnancial commitments are established following the completon of our annual long-range planning process and are consistent with our long-range plan commitments. The long-range planning process includes reviews of the assumptons used by the business segments in generatng their fnancial projectons, such as industry trends and compettve assessments, current and future projected program performance levels and the risks and opportunites surrounding these baseline assumptons. The long-range plan on which our fnancial goals are based is ted to the business environment in which we operate and can vary year to year.</w:t>
      </w:r>
    </w:p>
    <w:p>
      <w:pPr>
        <w:spacing w:after="0" w:line="111" w:lineRule="exact"/>
        <w:rPr>
          <w:sz w:val="20"/>
          <w:szCs w:val="20"/>
          <w:color w:val="auto"/>
        </w:rPr>
      </w:pPr>
    </w:p>
    <w:p>
      <w:pPr>
        <w:ind w:right="280"/>
        <w:spacing w:after="0" w:line="256" w:lineRule="auto"/>
        <w:rPr>
          <w:sz w:val="20"/>
          <w:szCs w:val="20"/>
          <w:color w:val="auto"/>
        </w:rPr>
      </w:pPr>
      <w:r>
        <w:rPr>
          <w:rFonts w:ascii="Calibri" w:cs="Calibri" w:eastAsia="Calibri" w:hAnsi="Calibri"/>
          <w:sz w:val="17"/>
          <w:szCs w:val="17"/>
          <w:color w:val="auto"/>
        </w:rPr>
        <w:t>Our long-range plan values for Sales, Segment Operatng Proft* and Free Cash Flow* are set forth in the 2022 outlook we provided publicly to investors in January 2022 and represent the target level (100% performance) for each of these metrics. Our 2022 goals were set with the same process and rigor as previous years, taking into account a more challenging operatng environment, the renatonalizaton of the Atomic Weapons Establishment by the U.K. Ministry of Defence in June 2021 and the eliminaton of the opton to deduct for tax purposes research and development (R&amp;D) expenditures in the year incurred beginning in 2022.</w:t>
      </w:r>
    </w:p>
    <w:p>
      <w:pPr>
        <w:spacing w:after="0" w:line="108" w:lineRule="exact"/>
        <w:rPr>
          <w:sz w:val="20"/>
          <w:szCs w:val="20"/>
          <w:color w:val="auto"/>
        </w:rPr>
      </w:pPr>
    </w:p>
    <w:p>
      <w:pPr>
        <w:ind w:right="40"/>
        <w:spacing w:after="0" w:line="258" w:lineRule="auto"/>
        <w:rPr>
          <w:sz w:val="20"/>
          <w:szCs w:val="20"/>
          <w:color w:val="auto"/>
        </w:rPr>
      </w:pPr>
      <w:r>
        <w:rPr>
          <w:rFonts w:ascii="Calibri" w:cs="Calibri" w:eastAsia="Calibri" w:hAnsi="Calibri"/>
          <w:sz w:val="17"/>
          <w:szCs w:val="17"/>
          <w:color w:val="auto"/>
        </w:rPr>
        <w:t>We established threshold payout levels (50% performance) and maximum (200% performance) around these targets based on a review of historical performance against long-range plan commitments for each of the three annual incentve metrics, which ensures the appropriate level of rigor on each of the threshold, target and maximum goals. We used straight-line interpolaton between target and both minimum and maximum historical performance levels. The Compensaton Commitee reviewed the methodology and the targets established as part of its annual process during 2022.</w:t>
      </w:r>
    </w:p>
    <w:p>
      <w:pPr>
        <w:spacing w:after="0" w:line="107" w:lineRule="exact"/>
        <w:rPr>
          <w:sz w:val="20"/>
          <w:szCs w:val="20"/>
          <w:color w:val="auto"/>
        </w:rPr>
      </w:pPr>
    </w:p>
    <w:p>
      <w:pPr>
        <w:ind w:right="20"/>
        <w:spacing w:after="0" w:line="253" w:lineRule="auto"/>
        <w:rPr>
          <w:sz w:val="20"/>
          <w:szCs w:val="20"/>
          <w:color w:val="auto"/>
        </w:rPr>
      </w:pPr>
      <w:r>
        <w:rPr>
          <w:rFonts w:ascii="Calibri" w:cs="Calibri" w:eastAsia="Calibri" w:hAnsi="Calibri"/>
          <w:sz w:val="17"/>
          <w:szCs w:val="17"/>
          <w:color w:val="auto"/>
        </w:rPr>
        <w:t>For purposes of assessing performance under our annual incentve plan, Free Cash Flow must be adjusted to neutralize the impact from unplanned pension contributons (net of tax), acquisitons and divesttures greater than $1B in value, tax reform, unplanned changes in tax laws or interpretatons of law related to the amortzaton of R&amp;D expenditures for tax purposes, unplanned tax payments or benefts of divesttures, and changes in GAAP accountng standards. No adjustments were made for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13"/>
                <w:szCs w:val="13"/>
                <w:color w:val="auto"/>
              </w:rPr>
              <w:t>2022 Financial Measures</w:t>
            </w:r>
          </w:p>
        </w:tc>
        <w:tc>
          <w:tcPr>
            <w:tcW w:w="2320" w:type="dxa"/>
            <w:vAlign w:val="bottom"/>
            <w:tcBorders>
              <w:bottom w:val="single" w:sz="8" w:color="E4E6EF"/>
            </w:tcBorders>
            <w:shd w:val="clear" w:color="auto" w:fill="E4E6EF"/>
          </w:tcPr>
          <w:p>
            <w:pPr>
              <w:jc w:val="center"/>
              <w:ind w:left="907"/>
              <w:spacing w:after="0"/>
              <w:rPr>
                <w:sz w:val="20"/>
                <w:szCs w:val="20"/>
                <w:color w:val="auto"/>
              </w:rPr>
            </w:pPr>
            <w:r>
              <w:rPr>
                <w:rFonts w:ascii="Arial" w:cs="Arial" w:eastAsia="Arial" w:hAnsi="Arial"/>
                <w:sz w:val="13"/>
                <w:szCs w:val="13"/>
                <w:color w:val="auto"/>
                <w:w w:val="93"/>
              </w:rPr>
              <w:t>Weight</w:t>
            </w:r>
          </w:p>
        </w:tc>
        <w:tc>
          <w:tcPr>
            <w:tcW w:w="1620" w:type="dxa"/>
            <w:vAlign w:val="bottom"/>
            <w:tcBorders>
              <w:bottom w:val="single" w:sz="8" w:color="E4E6EF"/>
            </w:tcBorders>
            <w:shd w:val="clear" w:color="auto" w:fill="E4E6EF"/>
          </w:tcPr>
          <w:p>
            <w:pPr>
              <w:jc w:val="right"/>
              <w:ind w:right="267"/>
              <w:spacing w:after="0"/>
              <w:rPr>
                <w:sz w:val="20"/>
                <w:szCs w:val="20"/>
                <w:color w:val="auto"/>
              </w:rPr>
            </w:pPr>
            <w:r>
              <w:rPr>
                <w:rFonts w:ascii="Arial" w:cs="Arial" w:eastAsia="Arial" w:hAnsi="Arial"/>
                <w:sz w:val="13"/>
                <w:szCs w:val="13"/>
                <w:color w:val="auto"/>
              </w:rPr>
              <w:t>2022 Goals ($)</w:t>
            </w:r>
          </w:p>
        </w:tc>
        <w:tc>
          <w:tcPr>
            <w:tcW w:w="1220" w:type="dxa"/>
            <w:vAlign w:val="bottom"/>
            <w:tcBorders>
              <w:bottom w:val="single" w:sz="8" w:color="E4E6EF"/>
            </w:tcBorders>
            <w:shd w:val="clear" w:color="auto" w:fill="E4E6EF"/>
          </w:tcPr>
          <w:p>
            <w:pPr>
              <w:jc w:val="right"/>
              <w:ind w:right="207"/>
              <w:spacing w:after="0"/>
              <w:rPr>
                <w:sz w:val="20"/>
                <w:szCs w:val="20"/>
                <w:color w:val="auto"/>
              </w:rPr>
            </w:pPr>
            <w:r>
              <w:rPr>
                <w:rFonts w:ascii="Arial" w:cs="Arial" w:eastAsia="Arial" w:hAnsi="Arial"/>
                <w:sz w:val="13"/>
                <w:szCs w:val="13"/>
                <w:color w:val="auto"/>
              </w:rPr>
              <w:t>Results ($)</w:t>
            </w:r>
          </w:p>
        </w:tc>
        <w:tc>
          <w:tcPr>
            <w:tcW w:w="1640" w:type="dxa"/>
            <w:vAlign w:val="bottom"/>
            <w:tcBorders>
              <w:bottom w:val="single" w:sz="8" w:color="E4E6EF"/>
            </w:tcBorders>
            <w:shd w:val="clear" w:color="auto" w:fill="E4E6EF"/>
          </w:tcPr>
          <w:p>
            <w:pPr>
              <w:jc w:val="right"/>
              <w:ind w:right="287"/>
              <w:spacing w:after="0"/>
              <w:rPr>
                <w:sz w:val="20"/>
                <w:szCs w:val="20"/>
                <w:color w:val="auto"/>
              </w:rPr>
            </w:pPr>
            <w:r>
              <w:rPr>
                <w:rFonts w:ascii="Arial" w:cs="Arial" w:eastAsia="Arial" w:hAnsi="Arial"/>
                <w:sz w:val="13"/>
                <w:szCs w:val="13"/>
                <w:color w:val="auto"/>
              </w:rPr>
              <w:t>Calculated Payout</w:t>
            </w:r>
          </w:p>
        </w:tc>
        <w:tc>
          <w:tcPr>
            <w:tcW w:w="132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Weighted Payout</w:t>
            </w:r>
          </w:p>
        </w:tc>
      </w:tr>
      <w:tr>
        <w:trPr>
          <w:trHeight w:val="190"/>
        </w:trPr>
        <w:tc>
          <w:tcPr>
            <w:tcW w:w="3120" w:type="dxa"/>
            <w:vAlign w:val="bottom"/>
            <w:tcBorders>
              <w:top w:val="single" w:sz="8" w:color="003478"/>
              <w:bottom w:val="single" w:sz="8" w:color="959595"/>
            </w:tcBorders>
          </w:tcPr>
          <w:p>
            <w:pPr>
              <w:ind w:left="20"/>
              <w:spacing w:after="0"/>
              <w:rPr>
                <w:sz w:val="20"/>
                <w:szCs w:val="20"/>
                <w:color w:val="auto"/>
              </w:rPr>
            </w:pPr>
            <w:r>
              <w:rPr>
                <w:rFonts w:ascii="Calibri" w:cs="Calibri" w:eastAsia="Calibri" w:hAnsi="Calibri"/>
                <w:sz w:val="15"/>
                <w:szCs w:val="15"/>
                <w:color w:val="auto"/>
              </w:rPr>
              <w:t>Sales</w:t>
            </w:r>
          </w:p>
        </w:tc>
        <w:tc>
          <w:tcPr>
            <w:tcW w:w="2320" w:type="dxa"/>
            <w:vAlign w:val="bottom"/>
            <w:tcBorders>
              <w:top w:val="single" w:sz="8" w:color="003478"/>
              <w:bottom w:val="single" w:sz="8" w:color="959595"/>
            </w:tcBorders>
          </w:tcPr>
          <w:p>
            <w:pPr>
              <w:jc w:val="center"/>
              <w:ind w:left="907"/>
              <w:spacing w:after="0"/>
              <w:rPr>
                <w:sz w:val="20"/>
                <w:szCs w:val="20"/>
                <w:color w:val="auto"/>
              </w:rPr>
            </w:pPr>
            <w:r>
              <w:rPr>
                <w:rFonts w:ascii="Calibri" w:cs="Calibri" w:eastAsia="Calibri" w:hAnsi="Calibri"/>
                <w:sz w:val="15"/>
                <w:szCs w:val="15"/>
                <w:color w:val="auto"/>
              </w:rPr>
              <w:t>20%</w:t>
            </w:r>
          </w:p>
        </w:tc>
        <w:tc>
          <w:tcPr>
            <w:tcW w:w="1620" w:type="dxa"/>
            <w:vAlign w:val="bottom"/>
            <w:tcBorders>
              <w:top w:val="single" w:sz="8" w:color="003478"/>
              <w:bottom w:val="single" w:sz="8" w:color="959595"/>
            </w:tcBorders>
          </w:tcPr>
          <w:p>
            <w:pPr>
              <w:jc w:val="right"/>
              <w:ind w:right="267"/>
              <w:spacing w:after="0"/>
              <w:rPr>
                <w:sz w:val="20"/>
                <w:szCs w:val="20"/>
                <w:color w:val="auto"/>
              </w:rPr>
            </w:pPr>
            <w:r>
              <w:rPr>
                <w:rFonts w:ascii="Calibri" w:cs="Calibri" w:eastAsia="Calibri" w:hAnsi="Calibri"/>
                <w:sz w:val="15"/>
                <w:szCs w:val="15"/>
                <w:color w:val="auto"/>
              </w:rPr>
              <w:t>66,000M</w:t>
            </w:r>
          </w:p>
        </w:tc>
        <w:tc>
          <w:tcPr>
            <w:tcW w:w="1220" w:type="dxa"/>
            <w:vAlign w:val="bottom"/>
            <w:tcBorders>
              <w:top w:val="single" w:sz="8" w:color="003478"/>
              <w:bottom w:val="single" w:sz="8" w:color="959595"/>
            </w:tcBorders>
          </w:tcPr>
          <w:p>
            <w:pPr>
              <w:jc w:val="right"/>
              <w:ind w:right="207"/>
              <w:spacing w:after="0"/>
              <w:rPr>
                <w:sz w:val="20"/>
                <w:szCs w:val="20"/>
                <w:color w:val="auto"/>
              </w:rPr>
            </w:pPr>
            <w:r>
              <w:rPr>
                <w:rFonts w:ascii="Calibri" w:cs="Calibri" w:eastAsia="Calibri" w:hAnsi="Calibri"/>
                <w:sz w:val="15"/>
                <w:szCs w:val="15"/>
                <w:color w:val="auto"/>
              </w:rPr>
              <w:t>65,984M</w:t>
            </w:r>
          </w:p>
        </w:tc>
        <w:tc>
          <w:tcPr>
            <w:tcW w:w="1640" w:type="dxa"/>
            <w:vAlign w:val="bottom"/>
            <w:tcBorders>
              <w:top w:val="single" w:sz="8" w:color="003478"/>
              <w:bottom w:val="single" w:sz="8" w:color="959595"/>
            </w:tcBorders>
          </w:tcPr>
          <w:p>
            <w:pPr>
              <w:jc w:val="right"/>
              <w:ind w:right="287"/>
              <w:spacing w:after="0"/>
              <w:rPr>
                <w:sz w:val="20"/>
                <w:szCs w:val="20"/>
                <w:color w:val="auto"/>
              </w:rPr>
            </w:pPr>
            <w:r>
              <w:rPr>
                <w:rFonts w:ascii="Calibri" w:cs="Calibri" w:eastAsia="Calibri" w:hAnsi="Calibri"/>
                <w:sz w:val="15"/>
                <w:szCs w:val="15"/>
                <w:color w:val="auto"/>
              </w:rPr>
              <w:t>99.8%</w:t>
            </w:r>
          </w:p>
        </w:tc>
        <w:tc>
          <w:tcPr>
            <w:tcW w:w="1320" w:type="dxa"/>
            <w:vAlign w:val="bottom"/>
            <w:tcBorders>
              <w:top w:val="single" w:sz="8" w:color="003478"/>
              <w:bottom w:val="single" w:sz="8" w:color="959595"/>
            </w:tcBorders>
          </w:tcPr>
          <w:p>
            <w:pPr>
              <w:jc w:val="right"/>
              <w:spacing w:after="0"/>
              <w:rPr>
                <w:sz w:val="20"/>
                <w:szCs w:val="20"/>
                <w:color w:val="auto"/>
              </w:rPr>
            </w:pPr>
            <w:r>
              <w:rPr>
                <w:rFonts w:ascii="Calibri" w:cs="Calibri" w:eastAsia="Calibri" w:hAnsi="Calibri"/>
                <w:sz w:val="15"/>
                <w:szCs w:val="15"/>
                <w:color w:val="auto"/>
              </w:rPr>
              <w:t>20%</w:t>
            </w:r>
          </w:p>
        </w:tc>
      </w:tr>
      <w:tr>
        <w:trPr>
          <w:trHeight w:val="196"/>
        </w:trPr>
        <w:tc>
          <w:tcPr>
            <w:tcW w:w="3120" w:type="dxa"/>
            <w:vAlign w:val="bottom"/>
            <w:tcBorders>
              <w:bottom w:val="single" w:sz="8" w:color="959595"/>
            </w:tcBorders>
          </w:tcPr>
          <w:p>
            <w:pPr>
              <w:ind w:left="20"/>
              <w:spacing w:after="0"/>
              <w:rPr>
                <w:sz w:val="20"/>
                <w:szCs w:val="20"/>
                <w:color w:val="auto"/>
              </w:rPr>
            </w:pPr>
            <w:r>
              <w:rPr>
                <w:rFonts w:ascii="Calibri" w:cs="Calibri" w:eastAsia="Calibri" w:hAnsi="Calibri"/>
                <w:sz w:val="15"/>
                <w:szCs w:val="15"/>
                <w:color w:val="auto"/>
              </w:rPr>
              <w:t>Segment Operatng Proft*</w:t>
            </w:r>
          </w:p>
        </w:tc>
        <w:tc>
          <w:tcPr>
            <w:tcW w:w="2320" w:type="dxa"/>
            <w:vAlign w:val="bottom"/>
            <w:tcBorders>
              <w:bottom w:val="single" w:sz="8" w:color="959595"/>
            </w:tcBorders>
          </w:tcPr>
          <w:p>
            <w:pPr>
              <w:jc w:val="center"/>
              <w:ind w:left="907"/>
              <w:spacing w:after="0"/>
              <w:rPr>
                <w:sz w:val="20"/>
                <w:szCs w:val="20"/>
                <w:color w:val="auto"/>
              </w:rPr>
            </w:pPr>
            <w:r>
              <w:rPr>
                <w:rFonts w:ascii="Calibri" w:cs="Calibri" w:eastAsia="Calibri" w:hAnsi="Calibri"/>
                <w:sz w:val="15"/>
                <w:szCs w:val="15"/>
                <w:color w:val="auto"/>
              </w:rPr>
              <w:t>40%</w:t>
            </w:r>
          </w:p>
        </w:tc>
        <w:tc>
          <w:tcPr>
            <w:tcW w:w="1620" w:type="dxa"/>
            <w:vAlign w:val="bottom"/>
            <w:tcBorders>
              <w:bottom w:val="single" w:sz="8" w:color="959595"/>
            </w:tcBorders>
          </w:tcPr>
          <w:p>
            <w:pPr>
              <w:jc w:val="right"/>
              <w:ind w:right="267"/>
              <w:spacing w:after="0"/>
              <w:rPr>
                <w:sz w:val="20"/>
                <w:szCs w:val="20"/>
                <w:color w:val="auto"/>
              </w:rPr>
            </w:pPr>
            <w:r>
              <w:rPr>
                <w:rFonts w:ascii="Calibri" w:cs="Calibri" w:eastAsia="Calibri" w:hAnsi="Calibri"/>
                <w:sz w:val="15"/>
                <w:szCs w:val="15"/>
                <w:color w:val="auto"/>
              </w:rPr>
              <w:t>7,175M</w:t>
            </w:r>
          </w:p>
        </w:tc>
        <w:tc>
          <w:tcPr>
            <w:tcW w:w="1220" w:type="dxa"/>
            <w:vAlign w:val="bottom"/>
            <w:tcBorders>
              <w:bottom w:val="single" w:sz="8" w:color="959595"/>
            </w:tcBorders>
          </w:tcPr>
          <w:p>
            <w:pPr>
              <w:jc w:val="right"/>
              <w:ind w:right="207"/>
              <w:spacing w:after="0"/>
              <w:rPr>
                <w:sz w:val="20"/>
                <w:szCs w:val="20"/>
                <w:color w:val="auto"/>
              </w:rPr>
            </w:pPr>
            <w:r>
              <w:rPr>
                <w:rFonts w:ascii="Calibri" w:cs="Calibri" w:eastAsia="Calibri" w:hAnsi="Calibri"/>
                <w:sz w:val="15"/>
                <w:szCs w:val="15"/>
                <w:color w:val="auto"/>
              </w:rPr>
              <w:t>7,219M</w:t>
            </w:r>
          </w:p>
        </w:tc>
        <w:tc>
          <w:tcPr>
            <w:tcW w:w="1640" w:type="dxa"/>
            <w:vAlign w:val="bottom"/>
            <w:tcBorders>
              <w:bottom w:val="single" w:sz="8" w:color="959595"/>
            </w:tcBorders>
          </w:tcPr>
          <w:p>
            <w:pPr>
              <w:jc w:val="right"/>
              <w:ind w:right="287"/>
              <w:spacing w:after="0"/>
              <w:rPr>
                <w:sz w:val="20"/>
                <w:szCs w:val="20"/>
                <w:color w:val="auto"/>
              </w:rPr>
            </w:pPr>
            <w:r>
              <w:rPr>
                <w:rFonts w:ascii="Calibri" w:cs="Calibri" w:eastAsia="Calibri" w:hAnsi="Calibri"/>
                <w:sz w:val="15"/>
                <w:szCs w:val="15"/>
                <w:color w:val="auto"/>
              </w:rPr>
              <w:t>106.1%</w:t>
            </w:r>
          </w:p>
        </w:tc>
        <w:tc>
          <w:tcPr>
            <w:tcW w:w="1320" w:type="dxa"/>
            <w:vAlign w:val="bottom"/>
            <w:tcBorders>
              <w:bottom w:val="single" w:sz="8" w:color="959595"/>
            </w:tcBorders>
          </w:tcPr>
          <w:p>
            <w:pPr>
              <w:jc w:val="right"/>
              <w:spacing w:after="0"/>
              <w:rPr>
                <w:sz w:val="20"/>
                <w:szCs w:val="20"/>
                <w:color w:val="auto"/>
              </w:rPr>
            </w:pPr>
            <w:r>
              <w:rPr>
                <w:rFonts w:ascii="Calibri" w:cs="Calibri" w:eastAsia="Calibri" w:hAnsi="Calibri"/>
                <w:sz w:val="15"/>
                <w:szCs w:val="15"/>
                <w:color w:val="auto"/>
              </w:rPr>
              <w:t>42%</w:t>
            </w:r>
          </w:p>
        </w:tc>
      </w:tr>
      <w:tr>
        <w:trPr>
          <w:trHeight w:val="196"/>
        </w:trPr>
        <w:tc>
          <w:tcPr>
            <w:tcW w:w="3120" w:type="dxa"/>
            <w:vAlign w:val="bottom"/>
            <w:tcBorders>
              <w:bottom w:val="single" w:sz="8" w:color="959595"/>
            </w:tcBorders>
          </w:tcPr>
          <w:p>
            <w:pPr>
              <w:ind w:left="20"/>
              <w:spacing w:after="0"/>
              <w:rPr>
                <w:sz w:val="20"/>
                <w:szCs w:val="20"/>
                <w:color w:val="auto"/>
              </w:rPr>
            </w:pPr>
            <w:r>
              <w:rPr>
                <w:rFonts w:ascii="Calibri" w:cs="Calibri" w:eastAsia="Calibri" w:hAnsi="Calibri"/>
                <w:sz w:val="15"/>
                <w:szCs w:val="15"/>
                <w:color w:val="auto"/>
              </w:rPr>
              <w:t>Free Cash Flow*</w:t>
            </w:r>
          </w:p>
        </w:tc>
        <w:tc>
          <w:tcPr>
            <w:tcW w:w="2320" w:type="dxa"/>
            <w:vAlign w:val="bottom"/>
            <w:tcBorders>
              <w:bottom w:val="single" w:sz="8" w:color="959595"/>
            </w:tcBorders>
          </w:tcPr>
          <w:p>
            <w:pPr>
              <w:jc w:val="center"/>
              <w:ind w:left="907"/>
              <w:spacing w:after="0"/>
              <w:rPr>
                <w:sz w:val="20"/>
                <w:szCs w:val="20"/>
                <w:color w:val="auto"/>
              </w:rPr>
            </w:pPr>
            <w:r>
              <w:rPr>
                <w:rFonts w:ascii="Calibri" w:cs="Calibri" w:eastAsia="Calibri" w:hAnsi="Calibri"/>
                <w:sz w:val="15"/>
                <w:szCs w:val="15"/>
                <w:color w:val="auto"/>
              </w:rPr>
              <w:t>40%</w:t>
            </w:r>
          </w:p>
        </w:tc>
        <w:tc>
          <w:tcPr>
            <w:tcW w:w="1620" w:type="dxa"/>
            <w:vAlign w:val="bottom"/>
            <w:tcBorders>
              <w:bottom w:val="single" w:sz="8" w:color="959595"/>
            </w:tcBorders>
          </w:tcPr>
          <w:p>
            <w:pPr>
              <w:jc w:val="right"/>
              <w:ind w:right="267"/>
              <w:spacing w:after="0"/>
              <w:rPr>
                <w:sz w:val="20"/>
                <w:szCs w:val="20"/>
                <w:color w:val="auto"/>
              </w:rPr>
            </w:pPr>
            <w:r>
              <w:rPr>
                <w:rFonts w:ascii="Calibri" w:cs="Calibri" w:eastAsia="Calibri" w:hAnsi="Calibri"/>
                <w:sz w:val="15"/>
                <w:szCs w:val="15"/>
                <w:color w:val="auto"/>
              </w:rPr>
              <w:t>≥ 6,000M</w:t>
            </w:r>
          </w:p>
        </w:tc>
        <w:tc>
          <w:tcPr>
            <w:tcW w:w="1220" w:type="dxa"/>
            <w:vAlign w:val="bottom"/>
            <w:tcBorders>
              <w:bottom w:val="single" w:sz="8" w:color="959595"/>
            </w:tcBorders>
          </w:tcPr>
          <w:p>
            <w:pPr>
              <w:jc w:val="right"/>
              <w:ind w:right="207"/>
              <w:spacing w:after="0"/>
              <w:rPr>
                <w:sz w:val="20"/>
                <w:szCs w:val="20"/>
                <w:color w:val="auto"/>
              </w:rPr>
            </w:pPr>
            <w:r>
              <w:rPr>
                <w:rFonts w:ascii="Calibri" w:cs="Calibri" w:eastAsia="Calibri" w:hAnsi="Calibri"/>
                <w:sz w:val="15"/>
                <w:szCs w:val="15"/>
                <w:color w:val="auto"/>
              </w:rPr>
              <w:t>6,132M</w:t>
            </w:r>
          </w:p>
        </w:tc>
        <w:tc>
          <w:tcPr>
            <w:tcW w:w="1640" w:type="dxa"/>
            <w:vAlign w:val="bottom"/>
            <w:tcBorders>
              <w:bottom w:val="single" w:sz="8" w:color="959595"/>
            </w:tcBorders>
          </w:tcPr>
          <w:p>
            <w:pPr>
              <w:jc w:val="right"/>
              <w:ind w:right="287"/>
              <w:spacing w:after="0"/>
              <w:rPr>
                <w:sz w:val="20"/>
                <w:szCs w:val="20"/>
                <w:color w:val="auto"/>
              </w:rPr>
            </w:pPr>
            <w:r>
              <w:rPr>
                <w:rFonts w:ascii="Calibri" w:cs="Calibri" w:eastAsia="Calibri" w:hAnsi="Calibri"/>
                <w:sz w:val="15"/>
                <w:szCs w:val="15"/>
                <w:color w:val="auto"/>
              </w:rPr>
              <w:t>108.8%</w:t>
            </w:r>
          </w:p>
        </w:tc>
        <w:tc>
          <w:tcPr>
            <w:tcW w:w="1320" w:type="dxa"/>
            <w:vAlign w:val="bottom"/>
            <w:tcBorders>
              <w:bottom w:val="single" w:sz="8" w:color="959595"/>
            </w:tcBorders>
          </w:tcPr>
          <w:p>
            <w:pPr>
              <w:jc w:val="right"/>
              <w:spacing w:after="0"/>
              <w:rPr>
                <w:sz w:val="20"/>
                <w:szCs w:val="20"/>
                <w:color w:val="auto"/>
              </w:rPr>
            </w:pPr>
            <w:r>
              <w:rPr>
                <w:rFonts w:ascii="Calibri" w:cs="Calibri" w:eastAsia="Calibri" w:hAnsi="Calibri"/>
                <w:sz w:val="15"/>
                <w:szCs w:val="15"/>
                <w:color w:val="auto"/>
              </w:rPr>
              <w:t>44%</w:t>
            </w:r>
          </w:p>
        </w:tc>
      </w:tr>
      <w:tr>
        <w:trPr>
          <w:trHeight w:val="194"/>
        </w:trPr>
        <w:tc>
          <w:tcPr>
            <w:tcW w:w="312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002E6D"/>
              </w:rPr>
              <w:t>Financial Payout Factor</w:t>
            </w:r>
          </w:p>
        </w:tc>
        <w:tc>
          <w:tcPr>
            <w:tcW w:w="2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002E6D"/>
              </w:rPr>
              <w:t>106 %</w:t>
            </w:r>
          </w:p>
        </w:tc>
      </w:tr>
      <w:tr>
        <w:trPr>
          <w:trHeight w:val="36"/>
        </w:trPr>
        <w:tc>
          <w:tcPr>
            <w:tcW w:w="3120" w:type="dxa"/>
            <w:vAlign w:val="bottom"/>
            <w:tcBorders>
              <w:bottom w:val="single" w:sz="8" w:color="959595"/>
            </w:tcBorders>
          </w:tcPr>
          <w:p>
            <w:pPr>
              <w:spacing w:after="0"/>
              <w:rPr>
                <w:sz w:val="3"/>
                <w:szCs w:val="3"/>
                <w:color w:val="auto"/>
              </w:rPr>
            </w:pPr>
          </w:p>
        </w:tc>
        <w:tc>
          <w:tcPr>
            <w:tcW w:w="2320" w:type="dxa"/>
            <w:vAlign w:val="bottom"/>
            <w:tcBorders>
              <w:bottom w:val="single" w:sz="8" w:color="959595"/>
            </w:tcBorders>
          </w:tcPr>
          <w:p>
            <w:pPr>
              <w:spacing w:after="0"/>
              <w:rPr>
                <w:sz w:val="3"/>
                <w:szCs w:val="3"/>
                <w:color w:val="auto"/>
              </w:rPr>
            </w:pPr>
          </w:p>
        </w:tc>
        <w:tc>
          <w:tcPr>
            <w:tcW w:w="162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640" w:type="dxa"/>
            <w:vAlign w:val="bottom"/>
            <w:tcBorders>
              <w:bottom w:val="single" w:sz="8" w:color="959595"/>
            </w:tcBorders>
          </w:tcPr>
          <w:p>
            <w:pPr>
              <w:spacing w:after="0"/>
              <w:rPr>
                <w:sz w:val="3"/>
                <w:szCs w:val="3"/>
                <w:color w:val="auto"/>
              </w:rPr>
            </w:pPr>
          </w:p>
        </w:tc>
        <w:tc>
          <w:tcPr>
            <w:tcW w:w="1320" w:type="dxa"/>
            <w:vAlign w:val="bottom"/>
            <w:tcBorders>
              <w:bottom w:val="single" w:sz="8" w:color="959595"/>
            </w:tcBorders>
          </w:tcPr>
          <w:p>
            <w:pPr>
              <w:spacing w:after="0"/>
              <w:rPr>
                <w:sz w:val="3"/>
                <w:szCs w:val="3"/>
                <w:color w:val="auto"/>
              </w:rPr>
            </w:pPr>
          </w:p>
        </w:tc>
      </w:tr>
    </w:tbl>
    <w:p>
      <w:pPr>
        <w:spacing w:after="0" w:line="187" w:lineRule="exact"/>
        <w:rPr>
          <w:sz w:val="20"/>
          <w:szCs w:val="20"/>
          <w:color w:val="auto"/>
        </w:rPr>
      </w:pPr>
    </w:p>
    <w:p>
      <w:pPr>
        <w:ind w:left="260" w:hanging="252"/>
        <w:spacing w:after="0"/>
        <w:tabs>
          <w:tab w:leader="none" w:pos="260" w:val="left"/>
        </w:tabs>
        <w:numPr>
          <w:ilvl w:val="0"/>
          <w:numId w:val="71"/>
        </w:numPr>
        <w:rPr>
          <w:rFonts w:ascii="Calibri" w:cs="Calibri" w:eastAsia="Calibri" w:hAnsi="Calibri"/>
          <w:sz w:val="14"/>
          <w:szCs w:val="14"/>
          <w:color w:val="auto"/>
        </w:rPr>
      </w:pPr>
      <w:r>
        <w:rPr>
          <w:rFonts w:ascii="Calibri" w:cs="Calibri" w:eastAsia="Calibri" w:hAnsi="Calibri"/>
          <w:sz w:val="14"/>
          <w:szCs w:val="14"/>
          <w:color w:val="auto"/>
        </w:rPr>
        <w:t>See Appendix A for defniton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287020</wp:posOffset>
            </wp:positionV>
            <wp:extent cx="1071880"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4" w:name="page55"/>
    <w:bookmarkEnd w:id="54"/>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4" w:lineRule="exact"/>
        <w:rPr>
          <w:sz w:val="20"/>
          <w:szCs w:val="20"/>
          <w:color w:val="auto"/>
        </w:rPr>
      </w:pPr>
    </w:p>
    <w:p>
      <w:pPr>
        <w:ind w:right="40"/>
        <w:spacing w:after="0" w:line="256" w:lineRule="auto"/>
        <w:rPr>
          <w:sz w:val="20"/>
          <w:szCs w:val="20"/>
          <w:color w:val="auto"/>
        </w:rPr>
      </w:pPr>
      <w:r>
        <w:rPr>
          <w:rFonts w:ascii="Calibri" w:cs="Calibri" w:eastAsia="Calibri" w:hAnsi="Calibri"/>
          <w:sz w:val="17"/>
          <w:szCs w:val="17"/>
          <w:b w:val="1"/>
          <w:bCs w:val="1"/>
          <w:color w:val="auto"/>
        </w:rPr>
        <w:t xml:space="preserve">Strategic &amp; Operatonal Assessment (30% Weight). </w:t>
      </w:r>
      <w:r>
        <w:rPr>
          <w:rFonts w:ascii="Calibri" w:cs="Calibri" w:eastAsia="Calibri" w:hAnsi="Calibri"/>
          <w:sz w:val="17"/>
          <w:szCs w:val="17"/>
          <w:color w:val="auto"/>
        </w:rPr>
        <w:t>Our strategic and operatonal performance assessments are evaluated diferently than fnancial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performance assessments. For the 2022 performance year, a broad set of goals was established for our strategic and operatonal commitments at the beginning of the year, including goals ted to enterprise performance, new business and growth, strategy and ESG. Strategic and operatonal performance goals are both quanttatve and qualitatve in nature and measured against pre-established criteria using a scorecard approach. When determining the payout factor, the Compensaton Commitee considers the results and evaluates performance in totality. The strategic and operatonal performance goals and assessments are set forth below. The Compensaton Commitee reviewed these accomplishments and recommended the payout factor to recognize the Company’s strong operatonal performance in a highly compettve environment while undertaking and executng major strategic initatves.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40" w:type="dxa"/>
            <w:vAlign w:val="bottom"/>
            <w:vMerge w:val="restart"/>
            <w:shd w:val="clear" w:color="auto" w:fill="E4E6EF"/>
          </w:tcPr>
          <w:p>
            <w:pPr>
              <w:ind w:left="20"/>
              <w:spacing w:after="0"/>
              <w:rPr>
                <w:sz w:val="20"/>
                <w:szCs w:val="20"/>
                <w:color w:val="auto"/>
              </w:rPr>
            </w:pPr>
            <w:r>
              <w:rPr>
                <w:rFonts w:ascii="Calibri" w:cs="Calibri" w:eastAsia="Calibri" w:hAnsi="Calibri"/>
                <w:sz w:val="16"/>
                <w:szCs w:val="16"/>
                <w:b w:val="1"/>
                <w:bCs w:val="1"/>
                <w:color w:val="003478"/>
              </w:rPr>
              <w:t>2022 Strategic &amp; Operatonal Goals Summary</w:t>
            </w:r>
          </w:p>
        </w:tc>
        <w:tc>
          <w:tcPr>
            <w:tcW w:w="7100" w:type="dxa"/>
            <w:vAlign w:val="bottom"/>
            <w:shd w:val="clear" w:color="auto" w:fill="E4E6EF"/>
          </w:tcPr>
          <w:p>
            <w:pPr>
              <w:ind w:left="1080"/>
              <w:spacing w:after="0"/>
              <w:rPr>
                <w:sz w:val="20"/>
                <w:szCs w:val="20"/>
                <w:color w:val="auto"/>
              </w:rPr>
            </w:pPr>
            <w:r>
              <w:rPr>
                <w:rFonts w:ascii="Calibri" w:cs="Calibri" w:eastAsia="Calibri" w:hAnsi="Calibri"/>
                <w:sz w:val="16"/>
                <w:szCs w:val="16"/>
                <w:b w:val="1"/>
                <w:bCs w:val="1"/>
                <w:color w:val="003478"/>
              </w:rPr>
              <w:t>Assessment Summary Highlights</w:t>
            </w:r>
          </w:p>
        </w:tc>
        <w:tc>
          <w:tcPr>
            <w:tcW w:w="0" w:type="dxa"/>
            <w:vAlign w:val="bottom"/>
          </w:tcPr>
          <w:p>
            <w:pPr>
              <w:spacing w:after="0"/>
              <w:rPr>
                <w:sz w:val="1"/>
                <w:szCs w:val="1"/>
                <w:color w:val="auto"/>
              </w:rPr>
            </w:pPr>
          </w:p>
        </w:tc>
      </w:tr>
      <w:tr>
        <w:trPr>
          <w:trHeight w:val="54"/>
        </w:trPr>
        <w:tc>
          <w:tcPr>
            <w:tcW w:w="4140" w:type="dxa"/>
            <w:vAlign w:val="bottom"/>
            <w:vMerge w:val="continue"/>
            <w:shd w:val="clear" w:color="auto" w:fill="E4E6EF"/>
          </w:tcPr>
          <w:p>
            <w:pPr>
              <w:spacing w:after="0"/>
              <w:rPr>
                <w:sz w:val="4"/>
                <w:szCs w:val="4"/>
                <w:color w:val="auto"/>
              </w:rPr>
            </w:pPr>
          </w:p>
        </w:tc>
        <w:tc>
          <w:tcPr>
            <w:tcW w:w="7100" w:type="dxa"/>
            <w:vAlign w:val="bottom"/>
            <w:shd w:val="clear" w:color="auto" w:fill="E4E6EF"/>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4140" w:type="dxa"/>
            <w:vAlign w:val="bottom"/>
            <w:tcBorders>
              <w:bottom w:val="single" w:sz="8" w:color="003478"/>
            </w:tcBorders>
            <w:shd w:val="clear" w:color="auto" w:fill="E4E6EF"/>
          </w:tcPr>
          <w:p>
            <w:pPr>
              <w:spacing w:after="0"/>
              <w:rPr>
                <w:sz w:val="7"/>
                <w:szCs w:val="7"/>
                <w:color w:val="auto"/>
              </w:rPr>
            </w:pPr>
          </w:p>
        </w:tc>
        <w:tc>
          <w:tcPr>
            <w:tcW w:w="7100" w:type="dxa"/>
            <w:vAlign w:val="bottom"/>
            <w:tcBorders>
              <w:bottom w:val="single" w:sz="8" w:color="003478"/>
            </w:tcBorders>
            <w:shd w:val="clear" w:color="auto" w:fill="E4E6EF"/>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ectPr>
          <w:pgSz w:w="11900" w:h="16838" w:orient="portrait"/>
          <w:cols w:equalWidth="0" w:num="1">
            <w:col w:w="11240"/>
          </w:cols>
          <w:pgMar w:left="320" w:top="231"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840" w:right="1540"/>
        <w:spacing w:after="0" w:line="326" w:lineRule="auto"/>
        <w:rPr>
          <w:sz w:val="20"/>
          <w:szCs w:val="20"/>
          <w:color w:val="auto"/>
        </w:rPr>
      </w:pPr>
      <w:r>
        <w:rPr>
          <w:rFonts w:ascii="Arial" w:cs="Arial" w:eastAsia="Arial" w:hAnsi="Arial"/>
          <w:sz w:val="17"/>
          <w:szCs w:val="17"/>
          <w:color w:val="auto"/>
        </w:rPr>
        <w:t xml:space="preserve">ENTERPRISE PERFORMANCE </w:t>
      </w:r>
      <w:r>
        <w:rPr>
          <w:rFonts w:ascii="Calibri" w:cs="Calibri" w:eastAsia="Calibri" w:hAnsi="Calibri"/>
          <w:sz w:val="17"/>
          <w:szCs w:val="17"/>
          <w:color w:val="auto"/>
        </w:rPr>
        <w:t>Achieve Mission Success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-204470</wp:posOffset>
            </wp:positionV>
            <wp:extent cx="308610" cy="3517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08610" cy="351790"/>
                    </a:xfrm>
                    <a:prstGeom prst="rect">
                      <a:avLst/>
                    </a:prstGeom>
                    <a:noFill/>
                  </pic:spPr>
                </pic:pic>
              </a:graphicData>
            </a:graphic>
          </wp:anchor>
        </w:drawing>
      </w:r>
    </w:p>
    <w:p>
      <w:pPr>
        <w:ind w:left="840"/>
        <w:spacing w:after="0" w:line="261" w:lineRule="auto"/>
        <w:rPr>
          <w:sz w:val="20"/>
          <w:szCs w:val="20"/>
          <w:color w:val="auto"/>
        </w:rPr>
      </w:pPr>
      <w:r>
        <w:rPr>
          <w:rFonts w:ascii="Calibri" w:cs="Calibri" w:eastAsia="Calibri" w:hAnsi="Calibri"/>
          <w:sz w:val="17"/>
          <w:szCs w:val="17"/>
          <w:color w:val="auto"/>
        </w:rPr>
        <w:t>Execute programs to achieve customer commitments and increase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330009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6" w:hanging="156"/>
        <w:spacing w:after="0"/>
        <w:tabs>
          <w:tab w:leader="none" w:pos="156"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Orders of $80.4 billion; year-end backlog of $150 billion</w:t>
      </w:r>
    </w:p>
    <w:p>
      <w:pPr>
        <w:spacing w:after="0" w:line="79" w:lineRule="exact"/>
        <w:rPr>
          <w:rFonts w:ascii="Calibri" w:cs="Calibri" w:eastAsia="Calibri" w:hAnsi="Calibri"/>
          <w:sz w:val="17"/>
          <w:szCs w:val="17"/>
          <w:color w:val="auto"/>
        </w:rPr>
      </w:pPr>
    </w:p>
    <w:p>
      <w:pPr>
        <w:ind w:left="156" w:right="280" w:hanging="156"/>
        <w:spacing w:after="0" w:line="245" w:lineRule="auto"/>
        <w:tabs>
          <w:tab w:leader="none" w:pos="148"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Achieved key metrics while mitgatng external factors, and completed 94% of mission success events</w:t>
      </w:r>
    </w:p>
    <w:p>
      <w:pPr>
        <w:spacing w:after="0" w:line="75" w:lineRule="exact"/>
        <w:rPr>
          <w:rFonts w:ascii="Calibri" w:cs="Calibri" w:eastAsia="Calibri" w:hAnsi="Calibri"/>
          <w:sz w:val="17"/>
          <w:szCs w:val="17"/>
          <w:color w:val="auto"/>
        </w:rPr>
      </w:pPr>
    </w:p>
    <w:p>
      <w:pPr>
        <w:ind w:left="156" w:right="180" w:hanging="156"/>
        <w:spacing w:after="0" w:line="245" w:lineRule="auto"/>
        <w:tabs>
          <w:tab w:leader="none" w:pos="148"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Returned $10.9 billion of cash to our stockholders through dividends and share repurchases</w:t>
      </w:r>
    </w:p>
    <w:p>
      <w:pPr>
        <w:spacing w:after="0" w:line="62" w:lineRule="exact"/>
        <w:rPr>
          <w:rFonts w:ascii="Calibri" w:cs="Calibri" w:eastAsia="Calibri" w:hAnsi="Calibri"/>
          <w:sz w:val="17"/>
          <w:szCs w:val="17"/>
          <w:color w:val="auto"/>
        </w:rPr>
      </w:pPr>
    </w:p>
    <w:p>
      <w:pPr>
        <w:ind w:left="156" w:right="640" w:hanging="156"/>
        <w:spacing w:after="0" w:line="261" w:lineRule="auto"/>
        <w:tabs>
          <w:tab w:leader="none" w:pos="148"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Achieved $368 million in Retained Savings across business segments and reduced Red Subcontracts</w:t>
      </w:r>
    </w:p>
    <w:p>
      <w:pPr>
        <w:spacing w:after="0" w:line="44" w:lineRule="exact"/>
        <w:rPr>
          <w:rFonts w:ascii="Calibri" w:cs="Calibri" w:eastAsia="Calibri" w:hAnsi="Calibri"/>
          <w:sz w:val="17"/>
          <w:szCs w:val="17"/>
          <w:color w:val="auto"/>
        </w:rPr>
      </w:pPr>
    </w:p>
    <w:p>
      <w:pPr>
        <w:ind w:left="156" w:hanging="156"/>
        <w:spacing w:after="0"/>
        <w:tabs>
          <w:tab w:leader="none" w:pos="156"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All business segments maintained or improved on-tme-deliveries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76200</wp:posOffset>
            </wp:positionV>
            <wp:extent cx="38315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940" w:space="364"/>
            <w:col w:w="5936"/>
          </w:cols>
          <w:pgMar w:left="320" w:top="231" w:right="339" w:bottom="1440" w:gutter="0" w:footer="0" w:header="0"/>
          <w:type w:val="continuous"/>
        </w:sectPr>
      </w:pPr>
    </w:p>
    <w:p>
      <w:pPr>
        <w:spacing w:after="0" w:line="14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NEW BUSINESS / GROWTH</w:t>
      </w:r>
    </w:p>
    <w:p>
      <w:pPr>
        <w:spacing w:after="0" w:line="83" w:lineRule="exact"/>
        <w:rPr>
          <w:sz w:val="20"/>
          <w:szCs w:val="20"/>
          <w:color w:val="auto"/>
        </w:rPr>
      </w:pPr>
    </w:p>
    <w:p>
      <w:pPr>
        <w:ind w:left="840"/>
        <w:spacing w:after="0" w:line="245" w:lineRule="auto"/>
        <w:rPr>
          <w:sz w:val="20"/>
          <w:szCs w:val="20"/>
          <w:color w:val="auto"/>
        </w:rPr>
      </w:pPr>
      <w:r>
        <w:rPr>
          <w:rFonts w:ascii="Calibri" w:cs="Calibri" w:eastAsia="Calibri" w:hAnsi="Calibri"/>
          <w:sz w:val="17"/>
          <w:szCs w:val="17"/>
          <w:color w:val="auto"/>
        </w:rPr>
        <w:t>Shape and secure key Focus Program wins and achieve Keep Sold Program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-259715</wp:posOffset>
            </wp:positionV>
            <wp:extent cx="351155" cy="3511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51155" cy="351155"/>
                    </a:xfrm>
                    <a:prstGeom prst="rect">
                      <a:avLst/>
                    </a:prstGeom>
                    <a:noFill/>
                  </pic:spPr>
                </pic:pic>
              </a:graphicData>
            </a:graphic>
          </wp:anchor>
        </w:drawing>
      </w:r>
    </w:p>
    <w:p>
      <w:pPr>
        <w:spacing w:after="0" w:line="56" w:lineRule="exact"/>
        <w:rPr>
          <w:sz w:val="20"/>
          <w:szCs w:val="20"/>
          <w:color w:val="auto"/>
        </w:rPr>
      </w:pPr>
    </w:p>
    <w:p>
      <w:pPr>
        <w:ind w:left="840" w:right="80"/>
        <w:spacing w:after="0" w:line="245" w:lineRule="auto"/>
        <w:rPr>
          <w:sz w:val="20"/>
          <w:szCs w:val="20"/>
          <w:color w:val="auto"/>
        </w:rPr>
      </w:pPr>
      <w:r>
        <w:rPr>
          <w:rFonts w:ascii="Calibri" w:cs="Calibri" w:eastAsia="Calibri" w:hAnsi="Calibri"/>
          <w:sz w:val="17"/>
          <w:szCs w:val="17"/>
          <w:color w:val="auto"/>
        </w:rPr>
        <w:t>Contnue internatonal expansion through increased orders and sales</w:t>
      </w:r>
    </w:p>
    <w:p>
      <w:pPr>
        <w:spacing w:after="0" w:line="20" w:lineRule="exact"/>
        <w:rPr>
          <w:sz w:val="20"/>
          <w:szCs w:val="20"/>
          <w:color w:val="auto"/>
        </w:rPr>
      </w:pPr>
      <w:r>
        <w:rPr>
          <w:sz w:val="20"/>
          <w:szCs w:val="20"/>
          <w:color w:val="auto"/>
        </w:rPr>
        <w:br w:type="column"/>
      </w:r>
    </w:p>
    <w:p>
      <w:pPr>
        <w:ind w:left="156" w:hanging="156"/>
        <w:spacing w:after="0"/>
        <w:tabs>
          <w:tab w:leader="none" w:pos="156" w:val="left"/>
        </w:tabs>
        <w:numPr>
          <w:ilvl w:val="0"/>
          <w:numId w:val="73"/>
        </w:numPr>
        <w:rPr>
          <w:rFonts w:ascii="Calibri" w:cs="Calibri" w:eastAsia="Calibri" w:hAnsi="Calibri"/>
          <w:sz w:val="17"/>
          <w:szCs w:val="17"/>
          <w:color w:val="auto"/>
        </w:rPr>
      </w:pPr>
      <w:r>
        <w:rPr>
          <w:rFonts w:ascii="Calibri" w:cs="Calibri" w:eastAsia="Calibri" w:hAnsi="Calibri"/>
          <w:sz w:val="17"/>
          <w:szCs w:val="17"/>
          <w:color w:val="auto"/>
        </w:rPr>
        <w:t>Compettve win rate on programs throughout the year (70% bids, 81% dollars)</w:t>
      </w:r>
    </w:p>
    <w:p>
      <w:pPr>
        <w:spacing w:after="0" w:line="79" w:lineRule="exact"/>
        <w:rPr>
          <w:rFonts w:ascii="Calibri" w:cs="Calibri" w:eastAsia="Calibri" w:hAnsi="Calibri"/>
          <w:sz w:val="17"/>
          <w:szCs w:val="17"/>
          <w:color w:val="auto"/>
        </w:rPr>
      </w:pPr>
    </w:p>
    <w:p>
      <w:pPr>
        <w:ind w:left="156" w:right="300" w:hanging="156"/>
        <w:spacing w:after="0" w:line="245" w:lineRule="auto"/>
        <w:tabs>
          <w:tab w:leader="none" w:pos="148" w:val="left"/>
        </w:tabs>
        <w:numPr>
          <w:ilvl w:val="0"/>
          <w:numId w:val="73"/>
        </w:numPr>
        <w:rPr>
          <w:rFonts w:ascii="Calibri" w:cs="Calibri" w:eastAsia="Calibri" w:hAnsi="Calibri"/>
          <w:sz w:val="17"/>
          <w:szCs w:val="17"/>
          <w:color w:val="auto"/>
        </w:rPr>
      </w:pPr>
      <w:r>
        <w:rPr>
          <w:rFonts w:ascii="Calibri" w:cs="Calibri" w:eastAsia="Calibri" w:hAnsi="Calibri"/>
          <w:sz w:val="17"/>
          <w:szCs w:val="17"/>
          <w:color w:val="auto"/>
        </w:rPr>
        <w:t>Secured key F-35 internatonal selectons in Finland, Switzerland, Canada and Germany</w:t>
      </w:r>
    </w:p>
    <w:p>
      <w:pPr>
        <w:spacing w:after="0" w:line="72" w:lineRule="exact"/>
        <w:rPr>
          <w:rFonts w:ascii="Calibri" w:cs="Calibri" w:eastAsia="Calibri" w:hAnsi="Calibri"/>
          <w:sz w:val="17"/>
          <w:szCs w:val="17"/>
          <w:color w:val="auto"/>
        </w:rPr>
      </w:pPr>
    </w:p>
    <w:p>
      <w:pPr>
        <w:ind w:left="156" w:hanging="156"/>
        <w:spacing w:after="0"/>
        <w:tabs>
          <w:tab w:leader="none" w:pos="156" w:val="left"/>
        </w:tabs>
        <w:numPr>
          <w:ilvl w:val="0"/>
          <w:numId w:val="73"/>
        </w:numPr>
        <w:rPr>
          <w:rFonts w:ascii="Calibri" w:cs="Calibri" w:eastAsia="Calibri" w:hAnsi="Calibri"/>
          <w:sz w:val="17"/>
          <w:szCs w:val="17"/>
          <w:color w:val="auto"/>
        </w:rPr>
      </w:pPr>
      <w:r>
        <w:rPr>
          <w:rFonts w:ascii="Calibri" w:cs="Calibri" w:eastAsia="Calibri" w:hAnsi="Calibri"/>
          <w:sz w:val="17"/>
          <w:szCs w:val="17"/>
          <w:color w:val="auto"/>
        </w:rPr>
        <w:t>Expanded the customer base for key franchises, including F-16, PAC-3 and H-60</w:t>
      </w:r>
    </w:p>
    <w:p>
      <w:pPr>
        <w:spacing w:after="0" w:line="65" w:lineRule="exact"/>
        <w:rPr>
          <w:rFonts w:ascii="Calibri" w:cs="Calibri" w:eastAsia="Calibri" w:hAnsi="Calibri"/>
          <w:sz w:val="17"/>
          <w:szCs w:val="17"/>
          <w:color w:val="auto"/>
        </w:rPr>
      </w:pPr>
    </w:p>
    <w:p>
      <w:pPr>
        <w:ind w:left="156" w:right="1020" w:hanging="156"/>
        <w:spacing w:after="0" w:line="245" w:lineRule="auto"/>
        <w:tabs>
          <w:tab w:leader="none" w:pos="148" w:val="left"/>
        </w:tabs>
        <w:numPr>
          <w:ilvl w:val="0"/>
          <w:numId w:val="73"/>
        </w:numPr>
        <w:rPr>
          <w:rFonts w:ascii="Calibri" w:cs="Calibri" w:eastAsia="Calibri" w:hAnsi="Calibri"/>
          <w:sz w:val="17"/>
          <w:szCs w:val="17"/>
          <w:color w:val="auto"/>
        </w:rPr>
      </w:pPr>
      <w:r>
        <w:rPr>
          <w:rFonts w:ascii="Calibri" w:cs="Calibri" w:eastAsia="Calibri" w:hAnsi="Calibri"/>
          <w:sz w:val="17"/>
          <w:szCs w:val="17"/>
          <w:color w:val="auto"/>
        </w:rPr>
        <w:t>Signifcant growth in Command &amp; Control, Intelligence Surveillance Reconnaissance (ISR) &amp; Missile Warning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73660</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184"/>
            <w:col w:w="5936"/>
          </w:cols>
          <w:pgMar w:left="320" w:top="231" w:right="339" w:bottom="1440" w:gutter="0" w:footer="0" w:header="0"/>
          <w:type w:val="continuous"/>
        </w:sectPr>
      </w:pPr>
    </w:p>
    <w:p>
      <w:pPr>
        <w:spacing w:after="0" w:line="2" w:lineRule="exact"/>
        <w:rPr>
          <w:sz w:val="20"/>
          <w:szCs w:val="20"/>
          <w:color w:val="auto"/>
        </w:rPr>
      </w:pPr>
    </w:p>
    <w:tbl>
      <w:tblPr>
        <w:tblLayout w:type="fixed"/>
        <w:tblInd w:w="840" w:type="dxa"/>
        <w:tblCellMar>
          <w:top w:w="0" w:type="dxa"/>
          <w:left w:w="0" w:type="dxa"/>
          <w:bottom w:w="0" w:type="dxa"/>
          <w:right w:w="0" w:type="dxa"/>
        </w:tblCellMar>
      </w:tblPr>
      <w:tr>
        <w:trPr>
          <w:trHeight w:val="225"/>
        </w:trPr>
        <w:tc>
          <w:tcPr>
            <w:tcW w:w="4380" w:type="dxa"/>
            <w:vAlign w:val="bottom"/>
          </w:tcPr>
          <w:p>
            <w:pPr>
              <w:spacing w:after="0"/>
              <w:rPr>
                <w:sz w:val="20"/>
                <w:szCs w:val="20"/>
                <w:color w:val="auto"/>
              </w:rPr>
            </w:pPr>
            <w:r>
              <w:rPr>
                <w:rFonts w:ascii="Arial" w:cs="Arial" w:eastAsia="Arial" w:hAnsi="Arial"/>
                <w:sz w:val="17"/>
                <w:szCs w:val="17"/>
                <w:color w:val="auto"/>
              </w:rPr>
              <w:t>STRATEGY</w:t>
            </w:r>
          </w:p>
        </w:tc>
        <w:tc>
          <w:tcPr>
            <w:tcW w:w="5720" w:type="dxa"/>
            <w:vAlign w:val="bottom"/>
            <w:vMerge w:val="restart"/>
          </w:tcPr>
          <w:p>
            <w:pPr>
              <w:ind w:left="80"/>
              <w:spacing w:after="0"/>
              <w:rPr>
                <w:sz w:val="20"/>
                <w:szCs w:val="20"/>
                <w:color w:val="auto"/>
              </w:rPr>
            </w:pPr>
            <w:r>
              <w:rPr>
                <w:rFonts w:ascii="Calibri" w:cs="Calibri" w:eastAsia="Calibri" w:hAnsi="Calibri"/>
                <w:sz w:val="17"/>
                <w:szCs w:val="17"/>
                <w:color w:val="auto"/>
              </w:rPr>
              <w:t>• Aligned enterprise objectves and milestones with 21st Century Security</w:t>
            </w:r>
          </w:p>
        </w:tc>
        <w:tc>
          <w:tcPr>
            <w:tcW w:w="0" w:type="dxa"/>
            <w:vAlign w:val="bottom"/>
          </w:tcPr>
          <w:p>
            <w:pPr>
              <w:spacing w:after="0"/>
              <w:rPr>
                <w:sz w:val="1"/>
                <w:szCs w:val="1"/>
                <w:color w:val="auto"/>
              </w:rPr>
            </w:pPr>
          </w:p>
        </w:tc>
      </w:tr>
      <w:tr>
        <w:trPr>
          <w:trHeight w:val="55"/>
        </w:trPr>
        <w:tc>
          <w:tcPr>
            <w:tcW w:w="4380" w:type="dxa"/>
            <w:vAlign w:val="bottom"/>
            <w:vMerge w:val="restart"/>
          </w:tcPr>
          <w:p>
            <w:pPr>
              <w:spacing w:after="0"/>
              <w:rPr>
                <w:sz w:val="20"/>
                <w:szCs w:val="20"/>
                <w:color w:val="auto"/>
              </w:rPr>
            </w:pPr>
            <w:r>
              <w:rPr>
                <w:rFonts w:ascii="Calibri" w:cs="Calibri" w:eastAsia="Calibri" w:hAnsi="Calibri"/>
                <w:sz w:val="17"/>
                <w:szCs w:val="17"/>
                <w:color w:val="auto"/>
              </w:rPr>
              <w:t>Assess portolio on an ongoing basis to maximize</w:t>
            </w:r>
          </w:p>
        </w:tc>
        <w:tc>
          <w:tcPr>
            <w:tcW w:w="5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380" w:type="dxa"/>
            <w:vAlign w:val="bottom"/>
            <w:vMerge w:val="continue"/>
          </w:tcPr>
          <w:p>
            <w:pPr>
              <w:spacing w:after="0"/>
              <w:rPr>
                <w:sz w:val="18"/>
                <w:szCs w:val="18"/>
                <w:color w:val="auto"/>
              </w:rPr>
            </w:pPr>
          </w:p>
        </w:tc>
        <w:tc>
          <w:tcPr>
            <w:tcW w:w="5720" w:type="dxa"/>
            <w:vAlign w:val="bottom"/>
          </w:tcPr>
          <w:p>
            <w:pPr>
              <w:ind w:left="240"/>
              <w:spacing w:after="0"/>
              <w:rPr>
                <w:sz w:val="20"/>
                <w:szCs w:val="20"/>
                <w:color w:val="auto"/>
              </w:rPr>
            </w:pPr>
            <w:r>
              <w:rPr>
                <w:rFonts w:ascii="Calibri" w:cs="Calibri" w:eastAsia="Calibri" w:hAnsi="Calibri"/>
                <w:sz w:val="17"/>
                <w:szCs w:val="17"/>
                <w:color w:val="auto"/>
              </w:rPr>
              <w:t>strategic vision</w:t>
            </w:r>
          </w:p>
        </w:tc>
        <w:tc>
          <w:tcPr>
            <w:tcW w:w="0" w:type="dxa"/>
            <w:vAlign w:val="bottom"/>
          </w:tcPr>
          <w:p>
            <w:pPr>
              <w:spacing w:after="0"/>
              <w:rPr>
                <w:sz w:val="1"/>
                <w:szCs w:val="1"/>
                <w:color w:val="auto"/>
              </w:rPr>
            </w:pPr>
          </w:p>
        </w:tc>
      </w:tr>
      <w:tr>
        <w:trPr>
          <w:trHeight w:val="204"/>
        </w:trPr>
        <w:tc>
          <w:tcPr>
            <w:tcW w:w="4380" w:type="dxa"/>
            <w:vAlign w:val="bottom"/>
          </w:tcPr>
          <w:p>
            <w:pPr>
              <w:spacing w:after="0" w:line="205" w:lineRule="exact"/>
              <w:rPr>
                <w:sz w:val="20"/>
                <w:szCs w:val="20"/>
                <w:color w:val="auto"/>
              </w:rPr>
            </w:pPr>
            <w:r>
              <w:rPr>
                <w:rFonts w:ascii="Calibri" w:cs="Calibri" w:eastAsia="Calibri" w:hAnsi="Calibri"/>
                <w:sz w:val="17"/>
                <w:szCs w:val="17"/>
                <w:color w:val="auto"/>
              </w:rPr>
              <w:t>stockholder value, which includes M&amp;A actvity, cost</w:t>
            </w:r>
          </w:p>
        </w:tc>
        <w:tc>
          <w:tcPr>
            <w:tcW w:w="5720" w:type="dxa"/>
            <w:vAlign w:val="bottom"/>
            <w:vMerge w:val="restart"/>
          </w:tcPr>
          <w:p>
            <w:pPr>
              <w:ind w:left="80"/>
              <w:spacing w:after="0"/>
              <w:rPr>
                <w:sz w:val="20"/>
                <w:szCs w:val="20"/>
                <w:color w:val="auto"/>
              </w:rPr>
            </w:pPr>
            <w:r>
              <w:rPr>
                <w:rFonts w:ascii="Calibri" w:cs="Calibri" w:eastAsia="Calibri" w:hAnsi="Calibri"/>
                <w:sz w:val="17"/>
                <w:szCs w:val="17"/>
                <w:color w:val="auto"/>
              </w:rPr>
              <w:t>• Accelerated enterprise-wide business process and digital transformaton</w:t>
            </w:r>
          </w:p>
        </w:tc>
        <w:tc>
          <w:tcPr>
            <w:tcW w:w="0" w:type="dxa"/>
            <w:vAlign w:val="bottom"/>
          </w:tcPr>
          <w:p>
            <w:pPr>
              <w:spacing w:after="0"/>
              <w:rPr>
                <w:sz w:val="1"/>
                <w:szCs w:val="1"/>
                <w:color w:val="auto"/>
              </w:rPr>
            </w:pPr>
          </w:p>
        </w:tc>
      </w:tr>
      <w:tr>
        <w:trPr>
          <w:trHeight w:val="81"/>
        </w:trPr>
        <w:tc>
          <w:tcPr>
            <w:tcW w:w="4380" w:type="dxa"/>
            <w:vAlign w:val="bottom"/>
            <w:vMerge w:val="restart"/>
          </w:tcPr>
          <w:p>
            <w:pPr>
              <w:spacing w:after="0"/>
              <w:rPr>
                <w:sz w:val="20"/>
                <w:szCs w:val="20"/>
                <w:color w:val="auto"/>
              </w:rPr>
            </w:pPr>
            <w:r>
              <w:rPr>
                <w:rFonts w:ascii="Calibri" w:cs="Calibri" w:eastAsia="Calibri" w:hAnsi="Calibri"/>
                <w:sz w:val="17"/>
                <w:szCs w:val="17"/>
                <w:color w:val="auto"/>
              </w:rPr>
              <w:t>compettveness, and other enterprise initatves</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380" w:type="dxa"/>
            <w:vAlign w:val="bottom"/>
            <w:vMerge w:val="continue"/>
          </w:tcPr>
          <w:p>
            <w:pPr>
              <w:spacing w:after="0"/>
              <w:rPr>
                <w:sz w:val="12"/>
                <w:szCs w:val="12"/>
                <w:color w:val="auto"/>
              </w:rPr>
            </w:pPr>
          </w:p>
        </w:tc>
        <w:tc>
          <w:tcPr>
            <w:tcW w:w="5720" w:type="dxa"/>
            <w:vAlign w:val="bottom"/>
            <w:vMerge w:val="restart"/>
          </w:tcPr>
          <w:p>
            <w:pPr>
              <w:ind w:left="80"/>
              <w:spacing w:after="0"/>
              <w:rPr>
                <w:sz w:val="20"/>
                <w:szCs w:val="20"/>
                <w:color w:val="auto"/>
              </w:rPr>
            </w:pPr>
            <w:r>
              <w:rPr>
                <w:rFonts w:ascii="Calibri" w:cs="Calibri" w:eastAsia="Calibri" w:hAnsi="Calibri"/>
                <w:sz w:val="17"/>
                <w:szCs w:val="17"/>
                <w:color w:val="auto"/>
              </w:rPr>
              <w:t>• Established partnerships across technology focused domains and commercial</w:t>
            </w:r>
          </w:p>
        </w:tc>
        <w:tc>
          <w:tcPr>
            <w:tcW w:w="0" w:type="dxa"/>
            <w:vAlign w:val="bottom"/>
          </w:tcPr>
          <w:p>
            <w:pPr>
              <w:spacing w:after="0"/>
              <w:rPr>
                <w:sz w:val="1"/>
                <w:szCs w:val="1"/>
                <w:color w:val="auto"/>
              </w:rPr>
            </w:pPr>
          </w:p>
        </w:tc>
      </w:tr>
      <w:tr>
        <w:trPr>
          <w:trHeight w:val="135"/>
        </w:trPr>
        <w:tc>
          <w:tcPr>
            <w:tcW w:w="4380" w:type="dxa"/>
            <w:vAlign w:val="bottom"/>
            <w:vMerge w:val="restart"/>
          </w:tcPr>
          <w:p>
            <w:pPr>
              <w:spacing w:after="0"/>
              <w:rPr>
                <w:sz w:val="20"/>
                <w:szCs w:val="20"/>
                <w:color w:val="auto"/>
              </w:rPr>
            </w:pPr>
            <w:r>
              <w:rPr>
                <w:rFonts w:ascii="Calibri" w:cs="Calibri" w:eastAsia="Calibri" w:hAnsi="Calibri"/>
                <w:sz w:val="17"/>
                <w:szCs w:val="17"/>
                <w:color w:val="auto"/>
              </w:rPr>
              <w:t>Execute 21st Century Security strategy to include technology</w:t>
            </w:r>
          </w:p>
        </w:tc>
        <w:tc>
          <w:tcPr>
            <w:tcW w:w="5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vMerge w:val="continue"/>
          </w:tcPr>
          <w:p>
            <w:pPr>
              <w:spacing w:after="0"/>
              <w:rPr>
                <w:sz w:val="11"/>
                <w:szCs w:val="11"/>
                <w:color w:val="auto"/>
              </w:rPr>
            </w:pPr>
          </w:p>
        </w:tc>
        <w:tc>
          <w:tcPr>
            <w:tcW w:w="5720" w:type="dxa"/>
            <w:vAlign w:val="bottom"/>
            <w:vMerge w:val="restart"/>
          </w:tcPr>
          <w:p>
            <w:pPr>
              <w:ind w:left="240"/>
              <w:spacing w:after="0"/>
              <w:rPr>
                <w:sz w:val="20"/>
                <w:szCs w:val="20"/>
                <w:color w:val="auto"/>
              </w:rPr>
            </w:pPr>
            <w:r>
              <w:rPr>
                <w:rFonts w:ascii="Calibri" w:cs="Calibri" w:eastAsia="Calibri" w:hAnsi="Calibri"/>
                <w:sz w:val="17"/>
                <w:szCs w:val="17"/>
                <w:color w:val="auto"/>
              </w:rPr>
              <w:t>5G.MIL</w:t>
            </w:r>
          </w:p>
        </w:tc>
        <w:tc>
          <w:tcPr>
            <w:tcW w:w="0" w:type="dxa"/>
            <w:vAlign w:val="bottom"/>
          </w:tcPr>
          <w:p>
            <w:pPr>
              <w:spacing w:after="0"/>
              <w:rPr>
                <w:sz w:val="1"/>
                <w:szCs w:val="1"/>
                <w:color w:val="auto"/>
              </w:rPr>
            </w:pPr>
          </w:p>
        </w:tc>
      </w:tr>
      <w:tr>
        <w:trPr>
          <w:trHeight w:val="81"/>
        </w:trPr>
        <w:tc>
          <w:tcPr>
            <w:tcW w:w="4380" w:type="dxa"/>
            <w:vAlign w:val="bottom"/>
            <w:vMerge w:val="restart"/>
          </w:tcPr>
          <w:p>
            <w:pPr>
              <w:spacing w:after="0"/>
              <w:rPr>
                <w:sz w:val="20"/>
                <w:szCs w:val="20"/>
                <w:color w:val="auto"/>
              </w:rPr>
            </w:pPr>
            <w:r>
              <w:rPr>
                <w:rFonts w:ascii="Calibri" w:cs="Calibri" w:eastAsia="Calibri" w:hAnsi="Calibri"/>
                <w:sz w:val="17"/>
                <w:szCs w:val="17"/>
                <w:color w:val="auto"/>
              </w:rPr>
              <w:t>development, demonstratons and commercial partnerships</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380" w:type="dxa"/>
            <w:vAlign w:val="bottom"/>
            <w:vMerge w:val="continue"/>
          </w:tcPr>
          <w:p>
            <w:pPr>
              <w:spacing w:after="0"/>
              <w:rPr>
                <w:sz w:val="11"/>
                <w:szCs w:val="11"/>
                <w:color w:val="auto"/>
              </w:rPr>
            </w:pPr>
          </w:p>
        </w:tc>
        <w:tc>
          <w:tcPr>
            <w:tcW w:w="5720" w:type="dxa"/>
            <w:vAlign w:val="bottom"/>
            <w:vMerge w:val="restart"/>
          </w:tcPr>
          <w:p>
            <w:pPr>
              <w:ind w:left="80"/>
              <w:spacing w:after="0"/>
              <w:rPr>
                <w:sz w:val="20"/>
                <w:szCs w:val="20"/>
                <w:color w:val="auto"/>
              </w:rPr>
            </w:pPr>
            <w:r>
              <w:rPr>
                <w:rFonts w:ascii="Calibri" w:cs="Calibri" w:eastAsia="Calibri" w:hAnsi="Calibri"/>
                <w:sz w:val="17"/>
                <w:szCs w:val="17"/>
                <w:color w:val="auto"/>
              </w:rPr>
              <w:t>• Exceeded cost compettveness goals</w:t>
            </w:r>
          </w:p>
        </w:tc>
        <w:tc>
          <w:tcPr>
            <w:tcW w:w="0" w:type="dxa"/>
            <w:vAlign w:val="bottom"/>
          </w:tcPr>
          <w:p>
            <w:pPr>
              <w:spacing w:after="0"/>
              <w:rPr>
                <w:sz w:val="1"/>
                <w:szCs w:val="1"/>
                <w:color w:val="auto"/>
              </w:rPr>
            </w:pPr>
          </w:p>
        </w:tc>
      </w:tr>
      <w:tr>
        <w:trPr>
          <w:trHeight w:val="113"/>
        </w:trPr>
        <w:tc>
          <w:tcPr>
            <w:tcW w:w="4380" w:type="dxa"/>
            <w:vAlign w:val="bottom"/>
          </w:tcPr>
          <w:p>
            <w:pPr>
              <w:spacing w:after="0"/>
              <w:rPr>
                <w:sz w:val="9"/>
                <w:szCs w:val="9"/>
                <w:color w:val="auto"/>
              </w:rPr>
            </w:pPr>
          </w:p>
        </w:tc>
        <w:tc>
          <w:tcPr>
            <w:tcW w:w="5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-492125</wp:posOffset>
            </wp:positionV>
            <wp:extent cx="316865" cy="3771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16865" cy="377190"/>
                    </a:xfrm>
                    <a:prstGeom prst="rect">
                      <a:avLst/>
                    </a:prstGeom>
                    <a:noFill/>
                  </pic:spPr>
                </pic:pic>
              </a:graphicData>
            </a:graphic>
          </wp:anchor>
        </w:drawing>
      </w:r>
    </w:p>
    <w:p>
      <w:pPr>
        <w:ind w:left="840"/>
        <w:spacing w:after="0" w:line="189" w:lineRule="auto"/>
        <w:rPr>
          <w:sz w:val="20"/>
          <w:szCs w:val="20"/>
          <w:color w:val="auto"/>
        </w:rPr>
      </w:pPr>
      <w:r>
        <w:rPr>
          <w:rFonts w:ascii="Calibri" w:cs="Calibri" w:eastAsia="Calibri" w:hAnsi="Calibri"/>
          <w:sz w:val="14"/>
          <w:szCs w:val="14"/>
          <w:color w:val="auto"/>
        </w:rPr>
        <w:t>Drive infrastructure modernizaton, technology development</w:t>
      </w:r>
    </w:p>
    <w:tbl>
      <w:tblPr>
        <w:tblLayout w:type="fixed"/>
        <w:tblInd w:w="0" w:type="dxa"/>
        <w:tblCellMar>
          <w:top w:w="0" w:type="dxa"/>
          <w:left w:w="0" w:type="dxa"/>
          <w:bottom w:w="0" w:type="dxa"/>
          <w:right w:w="0" w:type="dxa"/>
        </w:tblCellMar>
      </w:tblPr>
      <w:tr>
        <w:trPr>
          <w:trHeight w:val="205"/>
        </w:trPr>
        <w:tc>
          <w:tcPr>
            <w:tcW w:w="5200" w:type="dxa"/>
            <w:vAlign w:val="bottom"/>
            <w:vMerge w:val="restart"/>
          </w:tcPr>
          <w:p>
            <w:pPr>
              <w:ind w:left="840"/>
              <w:spacing w:after="0"/>
              <w:rPr>
                <w:sz w:val="20"/>
                <w:szCs w:val="20"/>
                <w:color w:val="auto"/>
              </w:rPr>
            </w:pPr>
            <w:r>
              <w:rPr>
                <w:rFonts w:ascii="Calibri" w:cs="Calibri" w:eastAsia="Calibri" w:hAnsi="Calibri"/>
                <w:sz w:val="17"/>
                <w:szCs w:val="17"/>
                <w:color w:val="auto"/>
              </w:rPr>
              <w:t>and functonal capability adopton to digitally transform the</w:t>
            </w:r>
          </w:p>
        </w:tc>
        <w:tc>
          <w:tcPr>
            <w:tcW w:w="6040" w:type="dxa"/>
            <w:vAlign w:val="bottom"/>
          </w:tcPr>
          <w:p>
            <w:pPr>
              <w:ind w:left="100"/>
              <w:spacing w:after="0" w:line="205" w:lineRule="exact"/>
              <w:rPr>
                <w:sz w:val="20"/>
                <w:szCs w:val="20"/>
                <w:color w:val="auto"/>
              </w:rPr>
            </w:pPr>
            <w:r>
              <w:rPr>
                <w:rFonts w:ascii="Calibri" w:cs="Calibri" w:eastAsia="Calibri" w:hAnsi="Calibri"/>
                <w:sz w:val="17"/>
                <w:szCs w:val="17"/>
                <w:color w:val="auto"/>
              </w:rPr>
              <w:t>• Multple Demonstratons of Cross Domain Capabilites in partnership with</w:t>
            </w:r>
          </w:p>
        </w:tc>
        <w:tc>
          <w:tcPr>
            <w:tcW w:w="0" w:type="dxa"/>
            <w:vAlign w:val="bottom"/>
          </w:tcPr>
          <w:p>
            <w:pPr>
              <w:spacing w:after="0"/>
              <w:rPr>
                <w:sz w:val="1"/>
                <w:szCs w:val="1"/>
                <w:color w:val="auto"/>
              </w:rPr>
            </w:pPr>
          </w:p>
        </w:tc>
      </w:tr>
      <w:tr>
        <w:trPr>
          <w:trHeight w:val="47"/>
        </w:trPr>
        <w:tc>
          <w:tcPr>
            <w:tcW w:w="5200" w:type="dxa"/>
            <w:vAlign w:val="bottom"/>
            <w:vMerge w:val="continue"/>
          </w:tcPr>
          <w:p>
            <w:pPr>
              <w:spacing w:after="0"/>
              <w:rPr>
                <w:sz w:val="4"/>
                <w:szCs w:val="4"/>
                <w:color w:val="auto"/>
              </w:rPr>
            </w:pPr>
          </w:p>
        </w:tc>
        <w:tc>
          <w:tcPr>
            <w:tcW w:w="6040" w:type="dxa"/>
            <w:vAlign w:val="bottom"/>
            <w:vMerge w:val="restart"/>
          </w:tcPr>
          <w:p>
            <w:pPr>
              <w:ind w:left="260"/>
              <w:spacing w:after="0" w:line="205" w:lineRule="exact"/>
              <w:rPr>
                <w:sz w:val="20"/>
                <w:szCs w:val="20"/>
                <w:color w:val="auto"/>
              </w:rPr>
            </w:pPr>
            <w:r>
              <w:rPr>
                <w:rFonts w:ascii="Calibri" w:cs="Calibri" w:eastAsia="Calibri" w:hAnsi="Calibri"/>
                <w:sz w:val="17"/>
                <w:szCs w:val="17"/>
                <w:color w:val="auto"/>
              </w:rPr>
              <w:t>operatonal customer exercises</w:t>
            </w:r>
          </w:p>
        </w:tc>
        <w:tc>
          <w:tcPr>
            <w:tcW w:w="0" w:type="dxa"/>
            <w:vAlign w:val="bottom"/>
          </w:tcPr>
          <w:p>
            <w:pPr>
              <w:spacing w:after="0"/>
              <w:rPr>
                <w:sz w:val="1"/>
                <w:szCs w:val="1"/>
                <w:color w:val="auto"/>
              </w:rPr>
            </w:pPr>
          </w:p>
        </w:tc>
      </w:tr>
      <w:tr>
        <w:trPr>
          <w:trHeight w:val="157"/>
        </w:trPr>
        <w:tc>
          <w:tcPr>
            <w:tcW w:w="5200" w:type="dxa"/>
            <w:vAlign w:val="bottom"/>
            <w:vMerge w:val="restart"/>
          </w:tcPr>
          <w:p>
            <w:pPr>
              <w:ind w:left="840"/>
              <w:spacing w:after="0"/>
              <w:rPr>
                <w:sz w:val="20"/>
                <w:szCs w:val="20"/>
                <w:color w:val="auto"/>
              </w:rPr>
            </w:pPr>
            <w:r>
              <w:rPr>
                <w:rFonts w:ascii="Calibri" w:cs="Calibri" w:eastAsia="Calibri" w:hAnsi="Calibri"/>
                <w:sz w:val="17"/>
                <w:szCs w:val="17"/>
                <w:color w:val="auto"/>
              </w:rPr>
              <w:t>enterprise</w:t>
            </w:r>
          </w:p>
        </w:tc>
        <w:tc>
          <w:tcPr>
            <w:tcW w:w="6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5200" w:type="dxa"/>
            <w:vAlign w:val="bottom"/>
            <w:vMerge w:val="continue"/>
          </w:tcPr>
          <w:p>
            <w:pPr>
              <w:spacing w:after="0"/>
              <w:rPr>
                <w:sz w:val="6"/>
                <w:szCs w:val="6"/>
                <w:color w:val="auto"/>
              </w:rPr>
            </w:pPr>
          </w:p>
        </w:tc>
        <w:tc>
          <w:tcPr>
            <w:tcW w:w="6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5200" w:type="dxa"/>
            <w:vAlign w:val="bottom"/>
            <w:tcBorders>
              <w:bottom w:val="single" w:sz="8" w:color="959595"/>
            </w:tcBorders>
          </w:tcPr>
          <w:p>
            <w:pPr>
              <w:spacing w:after="0"/>
              <w:rPr>
                <w:sz w:val="9"/>
                <w:szCs w:val="9"/>
                <w:color w:val="auto"/>
              </w:rPr>
            </w:pPr>
          </w:p>
        </w:tc>
        <w:tc>
          <w:tcPr>
            <w:tcW w:w="6040" w:type="dxa"/>
            <w:vAlign w:val="bottom"/>
            <w:tcBorders>
              <w:bottom w:val="single" w:sz="8" w:color="959595"/>
            </w:tcBorders>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5200" w:type="dxa"/>
            <w:vAlign w:val="bottom"/>
          </w:tcPr>
          <w:p>
            <w:pPr>
              <w:ind w:left="840"/>
              <w:spacing w:after="0"/>
              <w:rPr>
                <w:sz w:val="20"/>
                <w:szCs w:val="20"/>
                <w:color w:val="auto"/>
              </w:rPr>
            </w:pPr>
            <w:r>
              <w:rPr>
                <w:rFonts w:ascii="Arial" w:cs="Arial" w:eastAsia="Arial" w:hAnsi="Arial"/>
                <w:sz w:val="17"/>
                <w:szCs w:val="17"/>
                <w:color w:val="auto"/>
              </w:rPr>
              <w:t>ENVIRONMENTAL, SOCIAL</w:t>
            </w:r>
          </w:p>
        </w:tc>
        <w:tc>
          <w:tcPr>
            <w:tcW w:w="6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840"/>
              <w:spacing w:after="0"/>
              <w:rPr>
                <w:sz w:val="20"/>
                <w:szCs w:val="20"/>
                <w:color w:val="auto"/>
              </w:rPr>
            </w:pPr>
            <w:r>
              <w:rPr>
                <w:rFonts w:ascii="Arial" w:cs="Arial" w:eastAsia="Arial" w:hAnsi="Arial"/>
                <w:sz w:val="17"/>
                <w:szCs w:val="17"/>
                <w:color w:val="auto"/>
              </w:rPr>
              <w:t>AND GOVERNANCE</w:t>
            </w:r>
          </w:p>
        </w:tc>
        <w:tc>
          <w:tcPr>
            <w:tcW w:w="6040" w:type="dxa"/>
            <w:vAlign w:val="bottom"/>
            <w:vMerge w:val="restart"/>
          </w:tcPr>
          <w:p>
            <w:pPr>
              <w:ind w:left="100"/>
              <w:spacing w:after="0"/>
              <w:rPr>
                <w:sz w:val="20"/>
                <w:szCs w:val="20"/>
                <w:color w:val="auto"/>
              </w:rPr>
            </w:pPr>
            <w:r>
              <w:rPr>
                <w:rFonts w:ascii="Calibri" w:cs="Calibri" w:eastAsia="Calibri" w:hAnsi="Calibri"/>
                <w:sz w:val="17"/>
                <w:szCs w:val="17"/>
                <w:color w:val="auto"/>
              </w:rPr>
              <w:t>• Contnued to demonstrate success with a new, hybrid virtual environment</w:t>
            </w:r>
          </w:p>
        </w:tc>
        <w:tc>
          <w:tcPr>
            <w:tcW w:w="0" w:type="dxa"/>
            <w:vAlign w:val="bottom"/>
          </w:tcPr>
          <w:p>
            <w:pPr>
              <w:spacing w:after="0"/>
              <w:rPr>
                <w:sz w:val="1"/>
                <w:szCs w:val="1"/>
                <w:color w:val="auto"/>
              </w:rPr>
            </w:pPr>
          </w:p>
        </w:tc>
      </w:tr>
      <w:tr>
        <w:trPr>
          <w:trHeight w:val="83"/>
        </w:trPr>
        <w:tc>
          <w:tcPr>
            <w:tcW w:w="5200" w:type="dxa"/>
            <w:vAlign w:val="bottom"/>
            <w:vMerge w:val="restart"/>
          </w:tcPr>
          <w:p>
            <w:pPr>
              <w:ind w:left="840"/>
              <w:spacing w:after="0"/>
              <w:rPr>
                <w:sz w:val="20"/>
                <w:szCs w:val="20"/>
                <w:color w:val="auto"/>
              </w:rPr>
            </w:pPr>
            <w:r>
              <w:rPr>
                <w:rFonts w:ascii="Calibri" w:cs="Calibri" w:eastAsia="Calibri" w:hAnsi="Calibri"/>
                <w:sz w:val="17"/>
                <w:szCs w:val="17"/>
                <w:color w:val="auto"/>
              </w:rPr>
              <w:t>Atract, develop and retain our premier workforce</w:t>
            </w: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200" w:type="dxa"/>
            <w:vAlign w:val="bottom"/>
            <w:vMerge w:val="continue"/>
          </w:tcPr>
          <w:p>
            <w:pPr>
              <w:spacing w:after="0"/>
              <w:rPr>
                <w:sz w:val="16"/>
                <w:szCs w:val="16"/>
                <w:color w:val="auto"/>
              </w:rPr>
            </w:pPr>
          </w:p>
        </w:tc>
        <w:tc>
          <w:tcPr>
            <w:tcW w:w="6040" w:type="dxa"/>
            <w:vAlign w:val="bottom"/>
            <w:vMerge w:val="restart"/>
          </w:tcPr>
          <w:p>
            <w:pPr>
              <w:ind w:left="100"/>
              <w:spacing w:after="0"/>
              <w:rPr>
                <w:sz w:val="20"/>
                <w:szCs w:val="20"/>
                <w:color w:val="auto"/>
              </w:rPr>
            </w:pPr>
            <w:r>
              <w:rPr>
                <w:rFonts w:ascii="Calibri" w:cs="Calibri" w:eastAsia="Calibri" w:hAnsi="Calibri"/>
                <w:sz w:val="17"/>
                <w:szCs w:val="17"/>
                <w:color w:val="auto"/>
              </w:rPr>
              <w:t>• Increased leadership representaton for women and people of color</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-26035</wp:posOffset>
            </wp:positionV>
            <wp:extent cx="360045" cy="3600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p>
      <w:pPr>
        <w:ind w:left="840" w:right="180"/>
        <w:spacing w:after="0" w:line="244" w:lineRule="auto"/>
        <w:rPr>
          <w:sz w:val="20"/>
          <w:szCs w:val="20"/>
          <w:color w:val="auto"/>
        </w:rPr>
      </w:pPr>
      <w:r>
        <w:rPr>
          <w:rFonts w:ascii="Calibri" w:cs="Calibri" w:eastAsia="Calibri" w:hAnsi="Calibri"/>
          <w:sz w:val="17"/>
          <w:szCs w:val="17"/>
          <w:color w:val="auto"/>
        </w:rPr>
        <w:t>Protect Lockheed Martn, U.S. Government and 3rd Party data from cyber intrusion</w:t>
      </w:r>
    </w:p>
    <w:p>
      <w:pPr>
        <w:spacing w:after="0" w:line="89" w:lineRule="exact"/>
        <w:rPr>
          <w:sz w:val="20"/>
          <w:szCs w:val="20"/>
          <w:color w:val="auto"/>
        </w:rPr>
      </w:pPr>
    </w:p>
    <w:p>
      <w:pPr>
        <w:ind w:left="840"/>
        <w:spacing w:after="0" w:line="245" w:lineRule="auto"/>
        <w:rPr>
          <w:sz w:val="20"/>
          <w:szCs w:val="20"/>
          <w:color w:val="auto"/>
        </w:rPr>
      </w:pPr>
      <w:r>
        <w:rPr>
          <w:rFonts w:ascii="Calibri" w:cs="Calibri" w:eastAsia="Calibri" w:hAnsi="Calibri"/>
          <w:sz w:val="17"/>
          <w:szCs w:val="17"/>
          <w:color w:val="auto"/>
        </w:rPr>
        <w:t>Ensure the safety and security of our products, services and workplace</w:t>
      </w:r>
    </w:p>
    <w:p>
      <w:pPr>
        <w:spacing w:after="0" w:line="86" w:lineRule="exact"/>
        <w:rPr>
          <w:sz w:val="20"/>
          <w:szCs w:val="20"/>
          <w:color w:val="auto"/>
        </w:rPr>
      </w:pPr>
    </w:p>
    <w:p>
      <w:pPr>
        <w:ind w:left="840"/>
        <w:spacing w:after="0"/>
        <w:rPr>
          <w:sz w:val="20"/>
          <w:szCs w:val="20"/>
          <w:color w:val="auto"/>
        </w:rPr>
      </w:pPr>
      <w:r>
        <w:rPr>
          <w:rFonts w:ascii="Calibri" w:cs="Calibri" w:eastAsia="Calibri" w:hAnsi="Calibri"/>
          <w:sz w:val="17"/>
          <w:szCs w:val="17"/>
          <w:color w:val="auto"/>
        </w:rPr>
        <w:t>Steward our climate responsibly</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156" w:hanging="156"/>
        <w:spacing w:after="0"/>
        <w:tabs>
          <w:tab w:leader="none" w:pos="156" w:val="left"/>
        </w:tabs>
        <w:numPr>
          <w:ilvl w:val="0"/>
          <w:numId w:val="74"/>
        </w:numPr>
        <w:rPr>
          <w:rFonts w:ascii="Calibri" w:cs="Calibri" w:eastAsia="Calibri" w:hAnsi="Calibri"/>
          <w:sz w:val="17"/>
          <w:szCs w:val="17"/>
          <w:color w:val="auto"/>
        </w:rPr>
      </w:pPr>
      <w:r>
        <w:rPr>
          <w:rFonts w:ascii="Calibri" w:cs="Calibri" w:eastAsia="Calibri" w:hAnsi="Calibri"/>
          <w:sz w:val="17"/>
          <w:szCs w:val="17"/>
          <w:color w:val="auto"/>
        </w:rPr>
        <w:t>No adverse cyber impacts despite heightened threat levels</w:t>
      </w:r>
    </w:p>
    <w:p>
      <w:pPr>
        <w:spacing w:after="0" w:line="79" w:lineRule="exact"/>
        <w:rPr>
          <w:rFonts w:ascii="Calibri" w:cs="Calibri" w:eastAsia="Calibri" w:hAnsi="Calibri"/>
          <w:sz w:val="17"/>
          <w:szCs w:val="17"/>
          <w:color w:val="auto"/>
        </w:rPr>
      </w:pPr>
    </w:p>
    <w:p>
      <w:pPr>
        <w:ind w:left="156" w:right="220" w:hanging="156"/>
        <w:spacing w:after="0" w:line="245" w:lineRule="auto"/>
        <w:tabs>
          <w:tab w:leader="none" w:pos="148" w:val="left"/>
        </w:tabs>
        <w:numPr>
          <w:ilvl w:val="0"/>
          <w:numId w:val="74"/>
        </w:numPr>
        <w:rPr>
          <w:rFonts w:ascii="Calibri" w:cs="Calibri" w:eastAsia="Calibri" w:hAnsi="Calibri"/>
          <w:sz w:val="17"/>
          <w:szCs w:val="17"/>
          <w:color w:val="auto"/>
        </w:rPr>
      </w:pPr>
      <w:r>
        <w:rPr>
          <w:rFonts w:ascii="Calibri" w:cs="Calibri" w:eastAsia="Calibri" w:hAnsi="Calibri"/>
          <w:sz w:val="17"/>
          <w:szCs w:val="17"/>
          <w:color w:val="auto"/>
        </w:rPr>
        <w:t>Exceeded our retenton goals and strengthened our entry-level pipeline by creatng internships for over 2,400 students and hiring early career employees</w:t>
      </w:r>
    </w:p>
    <w:p>
      <w:pPr>
        <w:spacing w:after="0" w:line="58" w:lineRule="exact"/>
        <w:rPr>
          <w:rFonts w:ascii="Calibri" w:cs="Calibri" w:eastAsia="Calibri" w:hAnsi="Calibri"/>
          <w:sz w:val="17"/>
          <w:szCs w:val="17"/>
          <w:color w:val="auto"/>
        </w:rPr>
      </w:pPr>
    </w:p>
    <w:p>
      <w:pPr>
        <w:ind w:left="156" w:hanging="156"/>
        <w:spacing w:after="0"/>
        <w:tabs>
          <w:tab w:leader="none" w:pos="156" w:val="left"/>
        </w:tabs>
        <w:numPr>
          <w:ilvl w:val="0"/>
          <w:numId w:val="74"/>
        </w:numPr>
        <w:rPr>
          <w:rFonts w:ascii="Calibri" w:cs="Calibri" w:eastAsia="Calibri" w:hAnsi="Calibri"/>
          <w:sz w:val="17"/>
          <w:szCs w:val="17"/>
          <w:color w:val="auto"/>
        </w:rPr>
      </w:pPr>
      <w:r>
        <w:rPr>
          <w:rFonts w:ascii="Calibri" w:cs="Calibri" w:eastAsia="Calibri" w:hAnsi="Calibri"/>
          <w:sz w:val="17"/>
          <w:szCs w:val="17"/>
          <w:color w:val="auto"/>
        </w:rPr>
        <w:t>Exceeded greenhouse gas reducton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204470</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5080" w:space="224"/>
            <w:col w:w="5936"/>
          </w:cols>
          <w:pgMar w:left="320" w:top="231" w:right="339" w:bottom="1440" w:gutter="0" w:footer="0" w:header="0"/>
          <w:type w:val="continuous"/>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Pr>
          <w:p>
            <w:pPr>
              <w:ind w:left="20"/>
              <w:spacing w:after="0"/>
              <w:rPr>
                <w:sz w:val="20"/>
                <w:szCs w:val="20"/>
                <w:color w:val="auto"/>
              </w:rPr>
            </w:pPr>
            <w:r>
              <w:rPr>
                <w:rFonts w:ascii="Calibri" w:cs="Calibri" w:eastAsia="Calibri" w:hAnsi="Calibri"/>
                <w:sz w:val="16"/>
                <w:szCs w:val="16"/>
                <w:b w:val="1"/>
                <w:bCs w:val="1"/>
                <w:color w:val="002E6D"/>
              </w:rPr>
              <w:t>Strategic &amp; Operatonal Payout Factor</w:t>
            </w:r>
          </w:p>
        </w:tc>
        <w:tc>
          <w:tcPr>
            <w:tcW w:w="4560" w:type="dxa"/>
            <w:vAlign w:val="bottom"/>
          </w:tcPr>
          <w:p>
            <w:pPr>
              <w:jc w:val="right"/>
              <w:spacing w:after="0"/>
              <w:rPr>
                <w:sz w:val="20"/>
                <w:szCs w:val="20"/>
                <w:color w:val="auto"/>
              </w:rPr>
            </w:pPr>
            <w:r>
              <w:rPr>
                <w:rFonts w:ascii="Calibri" w:cs="Calibri" w:eastAsia="Calibri" w:hAnsi="Calibri"/>
                <w:sz w:val="16"/>
                <w:szCs w:val="16"/>
                <w:b w:val="1"/>
                <w:bCs w:val="1"/>
                <w:color w:val="002E6D"/>
              </w:rPr>
              <w:t>140 %</w:t>
            </w:r>
          </w:p>
        </w:tc>
      </w:tr>
      <w:tr>
        <w:trPr>
          <w:trHeight w:val="41"/>
        </w:trPr>
        <w:tc>
          <w:tcPr>
            <w:tcW w:w="6680" w:type="dxa"/>
            <w:vAlign w:val="bottom"/>
            <w:tcBorders>
              <w:bottom w:val="single" w:sz="8" w:color="929292"/>
            </w:tcBorders>
          </w:tcPr>
          <w:p>
            <w:pPr>
              <w:spacing w:after="0"/>
              <w:rPr>
                <w:sz w:val="3"/>
                <w:szCs w:val="3"/>
                <w:color w:val="auto"/>
              </w:rPr>
            </w:pPr>
          </w:p>
        </w:tc>
        <w:tc>
          <w:tcPr>
            <w:tcW w:w="4560" w:type="dxa"/>
            <w:vAlign w:val="bottom"/>
            <w:tcBorders>
              <w:bottom w:val="single" w:sz="8" w:color="929292"/>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003478"/>
        </w:rPr>
        <w:t>Summary of Annual Incentive Payout Calculations</w:t>
      </w:r>
    </w:p>
    <w:p>
      <w:pPr>
        <w:spacing w:after="0" w:line="99" w:lineRule="exact"/>
        <w:rPr>
          <w:sz w:val="20"/>
          <w:szCs w:val="20"/>
          <w:color w:val="auto"/>
        </w:rPr>
      </w:pPr>
    </w:p>
    <w:p>
      <w:pPr>
        <w:spacing w:after="0"/>
        <w:rPr>
          <w:sz w:val="20"/>
          <w:szCs w:val="20"/>
          <w:color w:val="auto"/>
        </w:rPr>
      </w:pPr>
      <w:r>
        <w:rPr>
          <w:rFonts w:ascii="Calibri" w:cs="Calibri" w:eastAsia="Calibri" w:hAnsi="Calibri"/>
          <w:sz w:val="17"/>
          <w:szCs w:val="17"/>
          <w:color w:val="auto"/>
        </w:rPr>
        <w:t>The fnal payout factor and payout amounts for each of our NEOs, as determined by the Board, are shown below.</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7"/>
          <w:szCs w:val="17"/>
          <w:color w:val="475C90"/>
        </w:rPr>
        <w:t>Summary of 2022 Enterprise Performance &amp; Overall Payout Factor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E4E6EF"/>
            </w:tcBorders>
            <w:shd w:val="clear" w:color="auto" w:fill="E4E6EF"/>
          </w:tcPr>
          <w:p>
            <w:pPr>
              <w:spacing w:after="0"/>
              <w:rPr>
                <w:sz w:val="19"/>
                <w:szCs w:val="19"/>
                <w:color w:val="auto"/>
              </w:rPr>
            </w:pPr>
          </w:p>
        </w:tc>
        <w:tc>
          <w:tcPr>
            <w:tcW w:w="1220" w:type="dxa"/>
            <w:vAlign w:val="bottom"/>
            <w:tcBorders>
              <w:bottom w:val="single" w:sz="8" w:color="E4E6EF"/>
            </w:tcBorders>
            <w:shd w:val="clear" w:color="auto" w:fill="E4E6EF"/>
          </w:tcPr>
          <w:p>
            <w:pPr>
              <w:spacing w:after="0"/>
              <w:rPr>
                <w:sz w:val="19"/>
                <w:szCs w:val="19"/>
                <w:color w:val="auto"/>
              </w:rPr>
            </w:pPr>
          </w:p>
        </w:tc>
        <w:tc>
          <w:tcPr>
            <w:tcW w:w="1620" w:type="dxa"/>
            <w:vAlign w:val="bottom"/>
            <w:tcBorders>
              <w:bottom w:val="single" w:sz="8" w:color="E4E6EF"/>
            </w:tcBorders>
            <w:shd w:val="clear" w:color="auto" w:fill="E4E6EF"/>
          </w:tcPr>
          <w:p>
            <w:pPr>
              <w:spacing w:after="0"/>
              <w:rPr>
                <w:sz w:val="19"/>
                <w:szCs w:val="19"/>
                <w:color w:val="auto"/>
              </w:rPr>
            </w:pPr>
          </w:p>
        </w:tc>
        <w:tc>
          <w:tcPr>
            <w:tcW w:w="1100" w:type="dxa"/>
            <w:vAlign w:val="bottom"/>
            <w:tcBorders>
              <w:bottom w:val="single" w:sz="8" w:color="E4E6EF"/>
            </w:tcBorders>
            <w:shd w:val="clear" w:color="auto" w:fill="E4E6EF"/>
          </w:tcPr>
          <w:p>
            <w:pPr>
              <w:jc w:val="right"/>
              <w:ind w:right="310"/>
              <w:spacing w:after="0"/>
              <w:rPr>
                <w:sz w:val="20"/>
                <w:szCs w:val="20"/>
                <w:color w:val="auto"/>
              </w:rPr>
            </w:pPr>
            <w:r>
              <w:rPr>
                <w:rFonts w:ascii="Arial" w:cs="Arial" w:eastAsia="Arial" w:hAnsi="Arial"/>
                <w:sz w:val="13"/>
                <w:szCs w:val="13"/>
                <w:color w:val="auto"/>
              </w:rPr>
              <w:t>Weight</w:t>
            </w:r>
          </w:p>
        </w:tc>
        <w:tc>
          <w:tcPr>
            <w:tcW w:w="420" w:type="dxa"/>
            <w:vAlign w:val="bottom"/>
            <w:tcBorders>
              <w:bottom w:val="single" w:sz="8" w:color="E4E6EF"/>
            </w:tcBorders>
            <w:shd w:val="clear" w:color="auto" w:fill="E4E6EF"/>
          </w:tcPr>
          <w:p>
            <w:pPr>
              <w:spacing w:after="0"/>
              <w:rPr>
                <w:sz w:val="19"/>
                <w:szCs w:val="19"/>
                <w:color w:val="auto"/>
              </w:rPr>
            </w:pPr>
          </w:p>
        </w:tc>
        <w:tc>
          <w:tcPr>
            <w:tcW w:w="1180" w:type="dxa"/>
            <w:vAlign w:val="bottom"/>
            <w:tcBorders>
              <w:bottom w:val="single" w:sz="8" w:color="E4E6EF"/>
            </w:tcBorders>
            <w:shd w:val="clear" w:color="auto" w:fill="E4E6EF"/>
          </w:tcPr>
          <w:p>
            <w:pPr>
              <w:jc w:val="right"/>
              <w:ind w:right="233"/>
              <w:spacing w:after="0"/>
              <w:rPr>
                <w:sz w:val="20"/>
                <w:szCs w:val="20"/>
                <w:color w:val="auto"/>
              </w:rPr>
            </w:pPr>
            <w:r>
              <w:rPr>
                <w:rFonts w:ascii="Arial" w:cs="Arial" w:eastAsia="Arial" w:hAnsi="Arial"/>
                <w:sz w:val="13"/>
                <w:szCs w:val="13"/>
                <w:color w:val="auto"/>
              </w:rPr>
              <w:t>2022 Factors</w:t>
            </w:r>
          </w:p>
        </w:tc>
        <w:tc>
          <w:tcPr>
            <w:tcW w:w="400" w:type="dxa"/>
            <w:vAlign w:val="bottom"/>
            <w:tcBorders>
              <w:bottom w:val="single" w:sz="8" w:color="E4E6EF"/>
            </w:tcBorders>
            <w:shd w:val="clear" w:color="auto" w:fill="E4E6EF"/>
          </w:tcPr>
          <w:p>
            <w:pPr>
              <w:spacing w:after="0"/>
              <w:rPr>
                <w:sz w:val="19"/>
                <w:szCs w:val="19"/>
                <w:color w:val="auto"/>
              </w:rPr>
            </w:pPr>
          </w:p>
        </w:tc>
        <w:tc>
          <w:tcPr>
            <w:tcW w:w="1120" w:type="dxa"/>
            <w:vAlign w:val="bottom"/>
            <w:tcBorders>
              <w:bottom w:val="single" w:sz="8" w:color="E4E6EF"/>
            </w:tcBorders>
            <w:gridSpan w:val="2"/>
            <w:shd w:val="clear" w:color="auto" w:fill="E4E6EF"/>
          </w:tcPr>
          <w:p>
            <w:pPr>
              <w:jc w:val="right"/>
              <w:ind w:right="20"/>
              <w:spacing w:after="0"/>
              <w:rPr>
                <w:sz w:val="20"/>
                <w:szCs w:val="20"/>
                <w:color w:val="auto"/>
              </w:rPr>
            </w:pPr>
            <w:r>
              <w:rPr>
                <w:rFonts w:ascii="Arial" w:cs="Arial" w:eastAsia="Arial" w:hAnsi="Arial"/>
                <w:sz w:val="13"/>
                <w:szCs w:val="13"/>
                <w:color w:val="auto"/>
              </w:rPr>
              <w:t>Weighted Payout</w:t>
            </w:r>
          </w:p>
        </w:tc>
        <w:tc>
          <w:tcPr>
            <w:tcW w:w="0" w:type="dxa"/>
            <w:vAlign w:val="bottom"/>
          </w:tcPr>
          <w:p>
            <w:pPr>
              <w:spacing w:after="0"/>
              <w:rPr>
                <w:sz w:val="1"/>
                <w:szCs w:val="1"/>
                <w:color w:val="auto"/>
              </w:rPr>
            </w:pPr>
          </w:p>
        </w:tc>
      </w:tr>
      <w:tr>
        <w:trPr>
          <w:trHeight w:val="163"/>
        </w:trPr>
        <w:tc>
          <w:tcPr>
            <w:tcW w:w="4180" w:type="dxa"/>
            <w:vAlign w:val="bottom"/>
            <w:tcBorders>
              <w:top w:val="single" w:sz="8" w:color="003478"/>
            </w:tcBorders>
          </w:tcPr>
          <w:p>
            <w:pPr>
              <w:ind w:left="20"/>
              <w:spacing w:after="0" w:line="164" w:lineRule="exact"/>
              <w:rPr>
                <w:sz w:val="20"/>
                <w:szCs w:val="20"/>
                <w:color w:val="auto"/>
              </w:rPr>
            </w:pPr>
            <w:r>
              <w:rPr>
                <w:rFonts w:ascii="Calibri" w:cs="Calibri" w:eastAsia="Calibri" w:hAnsi="Calibri"/>
                <w:sz w:val="14"/>
                <w:szCs w:val="14"/>
                <w:color w:val="auto"/>
              </w:rPr>
              <w:t>Financial</w:t>
            </w:r>
          </w:p>
        </w:tc>
        <w:tc>
          <w:tcPr>
            <w:tcW w:w="1220" w:type="dxa"/>
            <w:vAlign w:val="bottom"/>
            <w:tcBorders>
              <w:top w:val="single" w:sz="8" w:color="003478"/>
            </w:tcBorders>
          </w:tcPr>
          <w:p>
            <w:pPr>
              <w:spacing w:after="0"/>
              <w:rPr>
                <w:sz w:val="14"/>
                <w:szCs w:val="14"/>
                <w:color w:val="auto"/>
              </w:rPr>
            </w:pPr>
          </w:p>
        </w:tc>
        <w:tc>
          <w:tcPr>
            <w:tcW w:w="1620" w:type="dxa"/>
            <w:vAlign w:val="bottom"/>
            <w:tcBorders>
              <w:top w:val="single" w:sz="8" w:color="003478"/>
            </w:tcBorders>
          </w:tcPr>
          <w:p>
            <w:pPr>
              <w:spacing w:after="0"/>
              <w:rPr>
                <w:sz w:val="14"/>
                <w:szCs w:val="14"/>
                <w:color w:val="auto"/>
              </w:rPr>
            </w:pPr>
          </w:p>
        </w:tc>
        <w:tc>
          <w:tcPr>
            <w:tcW w:w="1100" w:type="dxa"/>
            <w:vAlign w:val="bottom"/>
            <w:tcBorders>
              <w:top w:val="single" w:sz="8" w:color="003478"/>
            </w:tcBorders>
          </w:tcPr>
          <w:p>
            <w:pPr>
              <w:jc w:val="right"/>
              <w:ind w:right="310"/>
              <w:spacing w:after="0" w:line="164" w:lineRule="exact"/>
              <w:rPr>
                <w:sz w:val="20"/>
                <w:szCs w:val="20"/>
                <w:color w:val="auto"/>
              </w:rPr>
            </w:pPr>
            <w:r>
              <w:rPr>
                <w:rFonts w:ascii="Calibri" w:cs="Calibri" w:eastAsia="Calibri" w:hAnsi="Calibri"/>
                <w:sz w:val="14"/>
                <w:szCs w:val="14"/>
                <w:color w:val="auto"/>
              </w:rPr>
              <w:t>70%</w:t>
            </w:r>
          </w:p>
        </w:tc>
        <w:tc>
          <w:tcPr>
            <w:tcW w:w="420" w:type="dxa"/>
            <w:vAlign w:val="bottom"/>
            <w:tcBorders>
              <w:top w:val="single" w:sz="8" w:color="003478"/>
            </w:tcBorders>
          </w:tcPr>
          <w:p>
            <w:pPr>
              <w:spacing w:after="0"/>
              <w:rPr>
                <w:sz w:val="14"/>
                <w:szCs w:val="14"/>
                <w:color w:val="auto"/>
              </w:rPr>
            </w:pPr>
          </w:p>
        </w:tc>
        <w:tc>
          <w:tcPr>
            <w:tcW w:w="1180" w:type="dxa"/>
            <w:vAlign w:val="bottom"/>
            <w:tcBorders>
              <w:top w:val="single" w:sz="8" w:color="003478"/>
            </w:tcBorders>
          </w:tcPr>
          <w:p>
            <w:pPr>
              <w:jc w:val="right"/>
              <w:ind w:right="233"/>
              <w:spacing w:after="0" w:line="164" w:lineRule="exact"/>
              <w:rPr>
                <w:sz w:val="20"/>
                <w:szCs w:val="20"/>
                <w:color w:val="auto"/>
              </w:rPr>
            </w:pPr>
            <w:r>
              <w:rPr>
                <w:rFonts w:ascii="Calibri" w:cs="Calibri" w:eastAsia="Calibri" w:hAnsi="Calibri"/>
                <w:sz w:val="14"/>
                <w:szCs w:val="14"/>
                <w:color w:val="auto"/>
              </w:rPr>
              <w:t>106%</w:t>
            </w:r>
          </w:p>
        </w:tc>
        <w:tc>
          <w:tcPr>
            <w:tcW w:w="400" w:type="dxa"/>
            <w:vAlign w:val="bottom"/>
            <w:tcBorders>
              <w:top w:val="single" w:sz="8" w:color="003478"/>
            </w:tcBorders>
          </w:tcPr>
          <w:p>
            <w:pPr>
              <w:spacing w:after="0"/>
              <w:rPr>
                <w:sz w:val="14"/>
                <w:szCs w:val="14"/>
                <w:color w:val="auto"/>
              </w:rPr>
            </w:pPr>
          </w:p>
        </w:tc>
        <w:tc>
          <w:tcPr>
            <w:tcW w:w="1120" w:type="dxa"/>
            <w:vAlign w:val="bottom"/>
            <w:tcBorders>
              <w:top w:val="single" w:sz="8" w:color="003478"/>
            </w:tcBorders>
            <w:gridSpan w:val="2"/>
          </w:tcPr>
          <w:p>
            <w:pPr>
              <w:jc w:val="right"/>
              <w:ind w:right="20"/>
              <w:spacing w:after="0" w:line="164" w:lineRule="exact"/>
              <w:rPr>
                <w:sz w:val="20"/>
                <w:szCs w:val="20"/>
                <w:color w:val="auto"/>
              </w:rPr>
            </w:pPr>
            <w:r>
              <w:rPr>
                <w:rFonts w:ascii="Calibri" w:cs="Calibri" w:eastAsia="Calibri" w:hAnsi="Calibri"/>
                <w:sz w:val="14"/>
                <w:szCs w:val="14"/>
                <w:color w:val="auto"/>
              </w:rPr>
              <w:t>74%</w:t>
            </w:r>
          </w:p>
        </w:tc>
        <w:tc>
          <w:tcPr>
            <w:tcW w:w="0" w:type="dxa"/>
            <w:vAlign w:val="bottom"/>
          </w:tcPr>
          <w:p>
            <w:pPr>
              <w:spacing w:after="0"/>
              <w:rPr>
                <w:sz w:val="1"/>
                <w:szCs w:val="1"/>
                <w:color w:val="auto"/>
              </w:rPr>
            </w:pPr>
          </w:p>
        </w:tc>
      </w:tr>
      <w:tr>
        <w:trPr>
          <w:trHeight w:val="33"/>
        </w:trPr>
        <w:tc>
          <w:tcPr>
            <w:tcW w:w="418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16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420" w:type="dxa"/>
            <w:vAlign w:val="bottom"/>
            <w:tcBorders>
              <w:bottom w:val="single" w:sz="8" w:color="959595"/>
            </w:tcBorders>
          </w:tcPr>
          <w:p>
            <w:pPr>
              <w:spacing w:after="0"/>
              <w:rPr>
                <w:sz w:val="2"/>
                <w:szCs w:val="2"/>
                <w:color w:val="auto"/>
              </w:rPr>
            </w:pPr>
          </w:p>
        </w:tc>
        <w:tc>
          <w:tcPr>
            <w:tcW w:w="1180" w:type="dxa"/>
            <w:vAlign w:val="bottom"/>
            <w:tcBorders>
              <w:bottom w:val="single" w:sz="8" w:color="959595"/>
            </w:tcBorders>
          </w:tcPr>
          <w:p>
            <w:pPr>
              <w:spacing w:after="0"/>
              <w:rPr>
                <w:sz w:val="2"/>
                <w:szCs w:val="2"/>
                <w:color w:val="auto"/>
              </w:rPr>
            </w:pPr>
          </w:p>
        </w:tc>
        <w:tc>
          <w:tcPr>
            <w:tcW w:w="40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2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Pr>
          <w:p>
            <w:pPr>
              <w:ind w:left="20"/>
              <w:spacing w:after="0" w:line="164" w:lineRule="exact"/>
              <w:rPr>
                <w:sz w:val="20"/>
                <w:szCs w:val="20"/>
                <w:color w:val="auto"/>
              </w:rPr>
            </w:pPr>
            <w:r>
              <w:rPr>
                <w:rFonts w:ascii="Calibri" w:cs="Calibri" w:eastAsia="Calibri" w:hAnsi="Calibri"/>
                <w:sz w:val="14"/>
                <w:szCs w:val="14"/>
                <w:color w:val="auto"/>
              </w:rPr>
              <w:t>Strategic &amp; Operatonal</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jc w:val="right"/>
              <w:ind w:right="310"/>
              <w:spacing w:after="0" w:line="164" w:lineRule="exact"/>
              <w:rPr>
                <w:sz w:val="20"/>
                <w:szCs w:val="20"/>
                <w:color w:val="auto"/>
              </w:rPr>
            </w:pPr>
            <w:r>
              <w:rPr>
                <w:rFonts w:ascii="Calibri" w:cs="Calibri" w:eastAsia="Calibri" w:hAnsi="Calibri"/>
                <w:sz w:val="14"/>
                <w:szCs w:val="14"/>
                <w:color w:val="auto"/>
              </w:rPr>
              <w:t>30%</w:t>
            </w:r>
          </w:p>
        </w:tc>
        <w:tc>
          <w:tcPr>
            <w:tcW w:w="420" w:type="dxa"/>
            <w:vAlign w:val="bottom"/>
          </w:tcPr>
          <w:p>
            <w:pPr>
              <w:spacing w:after="0"/>
              <w:rPr>
                <w:sz w:val="14"/>
                <w:szCs w:val="14"/>
                <w:color w:val="auto"/>
              </w:rPr>
            </w:pPr>
          </w:p>
        </w:tc>
        <w:tc>
          <w:tcPr>
            <w:tcW w:w="1180" w:type="dxa"/>
            <w:vAlign w:val="bottom"/>
          </w:tcPr>
          <w:p>
            <w:pPr>
              <w:jc w:val="right"/>
              <w:ind w:right="233"/>
              <w:spacing w:after="0" w:line="164" w:lineRule="exact"/>
              <w:rPr>
                <w:sz w:val="20"/>
                <w:szCs w:val="20"/>
                <w:color w:val="auto"/>
              </w:rPr>
            </w:pPr>
            <w:r>
              <w:rPr>
                <w:rFonts w:ascii="Calibri" w:cs="Calibri" w:eastAsia="Calibri" w:hAnsi="Calibri"/>
                <w:sz w:val="14"/>
                <w:szCs w:val="14"/>
                <w:color w:val="auto"/>
              </w:rPr>
              <w:t>140%</w:t>
            </w:r>
          </w:p>
        </w:tc>
        <w:tc>
          <w:tcPr>
            <w:tcW w:w="400" w:type="dxa"/>
            <w:vAlign w:val="bottom"/>
          </w:tcPr>
          <w:p>
            <w:pPr>
              <w:spacing w:after="0"/>
              <w:rPr>
                <w:sz w:val="14"/>
                <w:szCs w:val="14"/>
                <w:color w:val="auto"/>
              </w:rPr>
            </w:pPr>
          </w:p>
        </w:tc>
        <w:tc>
          <w:tcPr>
            <w:tcW w:w="1120" w:type="dxa"/>
            <w:vAlign w:val="bottom"/>
            <w:gridSpan w:val="2"/>
          </w:tcPr>
          <w:p>
            <w:pPr>
              <w:jc w:val="right"/>
              <w:ind w:right="20"/>
              <w:spacing w:after="0" w:line="164" w:lineRule="exact"/>
              <w:rPr>
                <w:sz w:val="20"/>
                <w:szCs w:val="20"/>
                <w:color w:val="auto"/>
              </w:rPr>
            </w:pPr>
            <w:r>
              <w:rPr>
                <w:rFonts w:ascii="Calibri" w:cs="Calibri" w:eastAsia="Calibri" w:hAnsi="Calibri"/>
                <w:sz w:val="14"/>
                <w:szCs w:val="14"/>
                <w:color w:val="auto"/>
              </w:rPr>
              <w:t>42%</w:t>
            </w:r>
          </w:p>
        </w:tc>
        <w:tc>
          <w:tcPr>
            <w:tcW w:w="0" w:type="dxa"/>
            <w:vAlign w:val="bottom"/>
          </w:tcPr>
          <w:p>
            <w:pPr>
              <w:spacing w:after="0"/>
              <w:rPr>
                <w:sz w:val="1"/>
                <w:szCs w:val="1"/>
                <w:color w:val="auto"/>
              </w:rPr>
            </w:pPr>
          </w:p>
        </w:tc>
      </w:tr>
      <w:tr>
        <w:trPr>
          <w:trHeight w:val="33"/>
        </w:trPr>
        <w:tc>
          <w:tcPr>
            <w:tcW w:w="418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16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420" w:type="dxa"/>
            <w:vAlign w:val="bottom"/>
            <w:tcBorders>
              <w:bottom w:val="single" w:sz="8" w:color="959595"/>
            </w:tcBorders>
          </w:tcPr>
          <w:p>
            <w:pPr>
              <w:spacing w:after="0"/>
              <w:rPr>
                <w:sz w:val="2"/>
                <w:szCs w:val="2"/>
                <w:color w:val="auto"/>
              </w:rPr>
            </w:pPr>
          </w:p>
        </w:tc>
        <w:tc>
          <w:tcPr>
            <w:tcW w:w="1180" w:type="dxa"/>
            <w:vAlign w:val="bottom"/>
            <w:tcBorders>
              <w:bottom w:val="single" w:sz="8" w:color="959595"/>
            </w:tcBorders>
          </w:tcPr>
          <w:p>
            <w:pPr>
              <w:spacing w:after="0"/>
              <w:rPr>
                <w:sz w:val="2"/>
                <w:szCs w:val="2"/>
                <w:color w:val="auto"/>
              </w:rPr>
            </w:pPr>
          </w:p>
        </w:tc>
        <w:tc>
          <w:tcPr>
            <w:tcW w:w="40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2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002F6C"/>
              </w:rPr>
              <w:t>Overall Payout Factor</w:t>
            </w:r>
          </w:p>
        </w:tc>
        <w:tc>
          <w:tcPr>
            <w:tcW w:w="1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gridSpan w:val="2"/>
          </w:tcPr>
          <w:p>
            <w:pPr>
              <w:jc w:val="right"/>
              <w:ind w:right="20"/>
              <w:spacing w:after="0" w:line="187" w:lineRule="exact"/>
              <w:rPr>
                <w:sz w:val="20"/>
                <w:szCs w:val="20"/>
                <w:color w:val="auto"/>
              </w:rPr>
            </w:pPr>
            <w:r>
              <w:rPr>
                <w:rFonts w:ascii="Calibri" w:cs="Calibri" w:eastAsia="Calibri" w:hAnsi="Calibri"/>
                <w:sz w:val="16"/>
                <w:szCs w:val="16"/>
                <w:b w:val="1"/>
                <w:bCs w:val="1"/>
                <w:color w:val="002F6C"/>
              </w:rPr>
              <w:t>116 %</w:t>
            </w:r>
          </w:p>
        </w:tc>
        <w:tc>
          <w:tcPr>
            <w:tcW w:w="0" w:type="dxa"/>
            <w:vAlign w:val="bottom"/>
          </w:tcPr>
          <w:p>
            <w:pPr>
              <w:spacing w:after="0"/>
              <w:rPr>
                <w:sz w:val="1"/>
                <w:szCs w:val="1"/>
                <w:color w:val="auto"/>
              </w:rPr>
            </w:pPr>
          </w:p>
        </w:tc>
      </w:tr>
      <w:tr>
        <w:trPr>
          <w:trHeight w:val="36"/>
        </w:trPr>
        <w:tc>
          <w:tcPr>
            <w:tcW w:w="418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162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420" w:type="dxa"/>
            <w:vAlign w:val="bottom"/>
            <w:tcBorders>
              <w:bottom w:val="single" w:sz="8" w:color="959595"/>
            </w:tcBorders>
          </w:tcPr>
          <w:p>
            <w:pPr>
              <w:spacing w:after="0"/>
              <w:rPr>
                <w:sz w:val="3"/>
                <w:szCs w:val="3"/>
                <w:color w:val="auto"/>
              </w:rPr>
            </w:pPr>
          </w:p>
        </w:tc>
        <w:tc>
          <w:tcPr>
            <w:tcW w:w="1180" w:type="dxa"/>
            <w:vAlign w:val="bottom"/>
            <w:tcBorders>
              <w:bottom w:val="single" w:sz="8" w:color="959595"/>
            </w:tcBorders>
          </w:tcPr>
          <w:p>
            <w:pPr>
              <w:spacing w:after="0"/>
              <w:rPr>
                <w:sz w:val="3"/>
                <w:szCs w:val="3"/>
                <w:color w:val="auto"/>
              </w:rPr>
            </w:pPr>
          </w:p>
        </w:tc>
        <w:tc>
          <w:tcPr>
            <w:tcW w:w="40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80" w:type="dxa"/>
            <w:vAlign w:val="bottom"/>
            <w:shd w:val="clear" w:color="auto" w:fill="E4E6EF"/>
          </w:tcPr>
          <w:p>
            <w:pPr>
              <w:spacing w:after="0"/>
              <w:rPr>
                <w:sz w:val="16"/>
                <w:szCs w:val="16"/>
                <w:color w:val="auto"/>
              </w:rPr>
            </w:pPr>
          </w:p>
        </w:tc>
        <w:tc>
          <w:tcPr>
            <w:tcW w:w="1220" w:type="dxa"/>
            <w:vAlign w:val="bottom"/>
            <w:shd w:val="clear" w:color="auto" w:fill="E4E6EF"/>
          </w:tcPr>
          <w:p>
            <w:pPr>
              <w:jc w:val="right"/>
              <w:ind w:right="190"/>
              <w:spacing w:after="0"/>
              <w:rPr>
                <w:sz w:val="20"/>
                <w:szCs w:val="20"/>
                <w:color w:val="auto"/>
              </w:rPr>
            </w:pPr>
            <w:r>
              <w:rPr>
                <w:rFonts w:ascii="Arial" w:cs="Arial" w:eastAsia="Arial" w:hAnsi="Arial"/>
                <w:sz w:val="13"/>
                <w:szCs w:val="13"/>
                <w:color w:val="auto"/>
              </w:rPr>
              <w:t>Base Salary</w:t>
            </w:r>
          </w:p>
        </w:tc>
        <w:tc>
          <w:tcPr>
            <w:tcW w:w="1620" w:type="dxa"/>
            <w:vAlign w:val="bottom"/>
            <w:shd w:val="clear" w:color="auto" w:fill="E4E6EF"/>
          </w:tcPr>
          <w:p>
            <w:pPr>
              <w:jc w:val="right"/>
              <w:ind w:right="270"/>
              <w:spacing w:after="0"/>
              <w:rPr>
                <w:sz w:val="20"/>
                <w:szCs w:val="20"/>
                <w:color w:val="auto"/>
              </w:rPr>
            </w:pPr>
            <w:r>
              <w:rPr>
                <w:rFonts w:ascii="Arial" w:cs="Arial" w:eastAsia="Arial" w:hAnsi="Arial"/>
                <w:sz w:val="13"/>
                <w:szCs w:val="13"/>
                <w:color w:val="auto"/>
              </w:rPr>
              <w:t>Target % of Salary</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Target Award</w:t>
            </w:r>
          </w:p>
        </w:tc>
        <w:tc>
          <w:tcPr>
            <w:tcW w:w="420" w:type="dxa"/>
            <w:vAlign w:val="bottom"/>
            <w:vMerge w:val="restart"/>
            <w:shd w:val="clear" w:color="auto" w:fill="E4E6EF"/>
          </w:tcPr>
          <w:p>
            <w:pPr>
              <w:ind w:left="200"/>
              <w:spacing w:after="0"/>
              <w:rPr>
                <w:sz w:val="20"/>
                <w:szCs w:val="20"/>
                <w:color w:val="auto"/>
              </w:rPr>
            </w:pPr>
            <w:r>
              <w:rPr>
                <w:rFonts w:ascii="Arial" w:cs="Arial" w:eastAsia="Arial" w:hAnsi="Arial"/>
                <w:sz w:val="13"/>
                <w:szCs w:val="13"/>
                <w:color w:val="auto"/>
              </w:rPr>
              <w:t>X</w:t>
            </w:r>
          </w:p>
        </w:tc>
        <w:tc>
          <w:tcPr>
            <w:tcW w:w="1180" w:type="dxa"/>
            <w:vAlign w:val="bottom"/>
            <w:shd w:val="clear" w:color="auto" w:fill="E4E6EF"/>
          </w:tcPr>
          <w:p>
            <w:pPr>
              <w:jc w:val="right"/>
              <w:ind w:right="93"/>
              <w:spacing w:after="0"/>
              <w:rPr>
                <w:sz w:val="20"/>
                <w:szCs w:val="20"/>
                <w:color w:val="auto"/>
              </w:rPr>
            </w:pPr>
            <w:r>
              <w:rPr>
                <w:rFonts w:ascii="Arial" w:cs="Arial" w:eastAsia="Arial" w:hAnsi="Arial"/>
                <w:sz w:val="13"/>
                <w:szCs w:val="13"/>
                <w:color w:val="auto"/>
              </w:rPr>
              <w:t>Overall Payout</w:t>
            </w:r>
          </w:p>
        </w:tc>
        <w:tc>
          <w:tcPr>
            <w:tcW w:w="400" w:type="dxa"/>
            <w:vAlign w:val="bottom"/>
            <w:vMerge w:val="restart"/>
            <w:shd w:val="clear" w:color="auto" w:fill="E4E6EF"/>
          </w:tcPr>
          <w:p>
            <w:pPr>
              <w:jc w:val="right"/>
              <w:ind w:right="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Payout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180" w:type="dxa"/>
            <w:vAlign w:val="bottom"/>
            <w:vMerge w:val="restart"/>
            <w:shd w:val="clear" w:color="auto" w:fill="E4E6EF"/>
          </w:tcPr>
          <w:p>
            <w:pPr>
              <w:ind w:left="20"/>
              <w:spacing w:after="0"/>
              <w:rPr>
                <w:sz w:val="20"/>
                <w:szCs w:val="20"/>
                <w:color w:val="auto"/>
              </w:rPr>
            </w:pPr>
            <w:r>
              <w:rPr>
                <w:rFonts w:ascii="Arial" w:cs="Arial" w:eastAsia="Arial" w:hAnsi="Arial"/>
                <w:sz w:val="13"/>
                <w:szCs w:val="13"/>
                <w:color w:val="auto"/>
              </w:rPr>
              <w:t>NEO</w:t>
            </w:r>
          </w:p>
        </w:tc>
        <w:tc>
          <w:tcPr>
            <w:tcW w:w="1220" w:type="dxa"/>
            <w:vAlign w:val="bottom"/>
            <w:vMerge w:val="restart"/>
            <w:shd w:val="clear" w:color="auto" w:fill="E4E6EF"/>
          </w:tcPr>
          <w:p>
            <w:pPr>
              <w:jc w:val="right"/>
              <w:ind w:right="190"/>
              <w:spacing w:after="0"/>
              <w:rPr>
                <w:sz w:val="20"/>
                <w:szCs w:val="20"/>
                <w:color w:val="auto"/>
              </w:rPr>
            </w:pPr>
            <w:r>
              <w:rPr>
                <w:rFonts w:ascii="Arial" w:cs="Arial" w:eastAsia="Arial" w:hAnsi="Arial"/>
                <w:sz w:val="13"/>
                <w:szCs w:val="13"/>
                <w:color w:val="auto"/>
              </w:rPr>
              <w:t>($)</w:t>
            </w:r>
          </w:p>
        </w:tc>
        <w:tc>
          <w:tcPr>
            <w:tcW w:w="1620" w:type="dxa"/>
            <w:vAlign w:val="bottom"/>
            <w:vMerge w:val="restart"/>
            <w:shd w:val="clear" w:color="auto" w:fill="E4E6EF"/>
          </w:tcPr>
          <w:p>
            <w:pPr>
              <w:jc w:val="right"/>
              <w:ind w:right="270"/>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continue"/>
            <w:shd w:val="clear" w:color="auto" w:fill="E4E6EF"/>
          </w:tcPr>
          <w:p>
            <w:pPr>
              <w:spacing w:after="0"/>
              <w:rPr>
                <w:sz w:val="8"/>
                <w:szCs w:val="8"/>
                <w:color w:val="auto"/>
              </w:rPr>
            </w:pPr>
          </w:p>
        </w:tc>
        <w:tc>
          <w:tcPr>
            <w:tcW w:w="1180" w:type="dxa"/>
            <w:vAlign w:val="bottom"/>
            <w:vMerge w:val="restart"/>
            <w:shd w:val="clear" w:color="auto" w:fill="E4E6EF"/>
          </w:tcPr>
          <w:p>
            <w:pPr>
              <w:jc w:val="right"/>
              <w:ind w:right="313"/>
              <w:spacing w:after="0"/>
              <w:rPr>
                <w:sz w:val="20"/>
                <w:szCs w:val="20"/>
                <w:color w:val="auto"/>
              </w:rPr>
            </w:pPr>
            <w:r>
              <w:rPr>
                <w:rFonts w:ascii="Arial" w:cs="Arial" w:eastAsia="Arial" w:hAnsi="Arial"/>
                <w:sz w:val="13"/>
                <w:szCs w:val="13"/>
                <w:color w:val="auto"/>
              </w:rPr>
              <w:t>Factor</w:t>
            </w:r>
          </w:p>
        </w:tc>
        <w:tc>
          <w:tcPr>
            <w:tcW w:w="400" w:type="dxa"/>
            <w:vAlign w:val="bottom"/>
            <w:vMerge w:val="continue"/>
            <w:shd w:val="clear" w:color="auto" w:fill="E4E6EF"/>
          </w:tcPr>
          <w:p>
            <w:pPr>
              <w:spacing w:after="0"/>
              <w:rPr>
                <w:sz w:val="8"/>
                <w:szCs w:val="8"/>
                <w:color w:val="auto"/>
              </w:rPr>
            </w:pPr>
          </w:p>
        </w:tc>
        <w:tc>
          <w:tcPr>
            <w:tcW w:w="110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180" w:type="dxa"/>
            <w:vAlign w:val="bottom"/>
            <w:tcBorders>
              <w:bottom w:val="single" w:sz="8" w:color="E4E6EF"/>
            </w:tcBorders>
            <w:vMerge w:val="continue"/>
            <w:shd w:val="clear" w:color="auto" w:fill="E4E6EF"/>
          </w:tcPr>
          <w:p>
            <w:pPr>
              <w:spacing w:after="0"/>
              <w:rPr>
                <w:sz w:val="12"/>
                <w:szCs w:val="12"/>
                <w:color w:val="auto"/>
              </w:rPr>
            </w:pPr>
          </w:p>
        </w:tc>
        <w:tc>
          <w:tcPr>
            <w:tcW w:w="1220" w:type="dxa"/>
            <w:vAlign w:val="bottom"/>
            <w:tcBorders>
              <w:bottom w:val="single" w:sz="8" w:color="E4E6EF"/>
            </w:tcBorders>
            <w:vMerge w:val="continue"/>
            <w:shd w:val="clear" w:color="auto" w:fill="E4E6EF"/>
          </w:tcPr>
          <w:p>
            <w:pPr>
              <w:spacing w:after="0"/>
              <w:rPr>
                <w:sz w:val="12"/>
                <w:szCs w:val="12"/>
                <w:color w:val="auto"/>
              </w:rPr>
            </w:pPr>
          </w:p>
        </w:tc>
        <w:tc>
          <w:tcPr>
            <w:tcW w:w="1620" w:type="dxa"/>
            <w:vAlign w:val="bottom"/>
            <w:tcBorders>
              <w:bottom w:val="single" w:sz="8" w:color="E4E6EF"/>
            </w:tcBorders>
            <w:vMerge w:val="continue"/>
            <w:shd w:val="clear" w:color="auto" w:fill="E4E6EF"/>
          </w:tcPr>
          <w:p>
            <w:pPr>
              <w:spacing w:after="0"/>
              <w:rPr>
                <w:sz w:val="12"/>
                <w:szCs w:val="12"/>
                <w:color w:val="auto"/>
              </w:rPr>
            </w:pPr>
          </w:p>
        </w:tc>
        <w:tc>
          <w:tcPr>
            <w:tcW w:w="1100" w:type="dxa"/>
            <w:vAlign w:val="bottom"/>
            <w:tcBorders>
              <w:bottom w:val="single" w:sz="8" w:color="E4E6EF"/>
            </w:tcBorders>
            <w:vMerge w:val="continue"/>
            <w:shd w:val="clear" w:color="auto" w:fill="E4E6EF"/>
          </w:tcPr>
          <w:p>
            <w:pPr>
              <w:spacing w:after="0"/>
              <w:rPr>
                <w:sz w:val="12"/>
                <w:szCs w:val="12"/>
                <w:color w:val="auto"/>
              </w:rPr>
            </w:pPr>
          </w:p>
        </w:tc>
        <w:tc>
          <w:tcPr>
            <w:tcW w:w="420" w:type="dxa"/>
            <w:vAlign w:val="bottom"/>
            <w:tcBorders>
              <w:bottom w:val="single" w:sz="8" w:color="E4E6EF"/>
            </w:tcBorders>
            <w:shd w:val="clear" w:color="auto" w:fill="E4E6EF"/>
          </w:tcPr>
          <w:p>
            <w:pPr>
              <w:spacing w:after="0"/>
              <w:rPr>
                <w:sz w:val="12"/>
                <w:szCs w:val="12"/>
                <w:color w:val="auto"/>
              </w:rPr>
            </w:pPr>
          </w:p>
        </w:tc>
        <w:tc>
          <w:tcPr>
            <w:tcW w:w="1180" w:type="dxa"/>
            <w:vAlign w:val="bottom"/>
            <w:tcBorders>
              <w:bottom w:val="single" w:sz="8" w:color="E4E6EF"/>
            </w:tcBorders>
            <w:vMerge w:val="continue"/>
            <w:shd w:val="clear" w:color="auto" w:fill="E4E6EF"/>
          </w:tcPr>
          <w:p>
            <w:pPr>
              <w:spacing w:after="0"/>
              <w:rPr>
                <w:sz w:val="12"/>
                <w:szCs w:val="12"/>
                <w:color w:val="auto"/>
              </w:rPr>
            </w:pPr>
          </w:p>
        </w:tc>
        <w:tc>
          <w:tcPr>
            <w:tcW w:w="400" w:type="dxa"/>
            <w:vAlign w:val="bottom"/>
            <w:tcBorders>
              <w:bottom w:val="single" w:sz="8" w:color="E4E6EF"/>
            </w:tcBorders>
            <w:shd w:val="clear" w:color="auto" w:fill="E4E6EF"/>
          </w:tcPr>
          <w:p>
            <w:pPr>
              <w:spacing w:after="0"/>
              <w:rPr>
                <w:sz w:val="12"/>
                <w:szCs w:val="12"/>
                <w:color w:val="auto"/>
              </w:rPr>
            </w:pPr>
          </w:p>
        </w:tc>
        <w:tc>
          <w:tcPr>
            <w:tcW w:w="1100" w:type="dxa"/>
            <w:vAlign w:val="bottom"/>
            <w:tcBorders>
              <w:bottom w:val="single" w:sz="8" w:color="E4E6EF"/>
            </w:tcBorders>
            <w:vMerge w:val="continue"/>
            <w:shd w:val="clear" w:color="auto" w:fill="E4E6E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80" w:type="dxa"/>
            <w:vAlign w:val="bottom"/>
            <w:tcBorders>
              <w:top w:val="single" w:sz="8" w:color="003478"/>
            </w:tcBorders>
          </w:tcPr>
          <w:p>
            <w:pPr>
              <w:ind w:left="20"/>
              <w:spacing w:after="0" w:line="164" w:lineRule="exact"/>
              <w:rPr>
                <w:sz w:val="20"/>
                <w:szCs w:val="20"/>
                <w:color w:val="auto"/>
              </w:rPr>
            </w:pPr>
            <w:r>
              <w:rPr>
                <w:rFonts w:ascii="Calibri" w:cs="Calibri" w:eastAsia="Calibri" w:hAnsi="Calibri"/>
                <w:sz w:val="14"/>
                <w:szCs w:val="14"/>
                <w:b w:val="1"/>
                <w:bCs w:val="1"/>
                <w:color w:val="003478"/>
              </w:rPr>
              <w:t>Mr. Taiclet</w:t>
            </w:r>
          </w:p>
        </w:tc>
        <w:tc>
          <w:tcPr>
            <w:tcW w:w="1220" w:type="dxa"/>
            <w:vAlign w:val="bottom"/>
            <w:tcBorders>
              <w:top w:val="single" w:sz="8" w:color="003478"/>
            </w:tcBorders>
          </w:tcPr>
          <w:p>
            <w:pPr>
              <w:jc w:val="right"/>
              <w:ind w:right="190"/>
              <w:spacing w:after="0" w:line="164" w:lineRule="exact"/>
              <w:rPr>
                <w:sz w:val="20"/>
                <w:szCs w:val="20"/>
                <w:color w:val="auto"/>
              </w:rPr>
            </w:pPr>
            <w:r>
              <w:rPr>
                <w:rFonts w:ascii="Calibri" w:cs="Calibri" w:eastAsia="Calibri" w:hAnsi="Calibri"/>
                <w:sz w:val="14"/>
                <w:szCs w:val="14"/>
                <w:color w:val="auto"/>
              </w:rPr>
              <w:t>1,751,000</w:t>
            </w:r>
          </w:p>
        </w:tc>
        <w:tc>
          <w:tcPr>
            <w:tcW w:w="1620" w:type="dxa"/>
            <w:vAlign w:val="bottom"/>
            <w:tcBorders>
              <w:top w:val="single" w:sz="8" w:color="003478"/>
            </w:tcBorders>
          </w:tcPr>
          <w:p>
            <w:pPr>
              <w:jc w:val="right"/>
              <w:ind w:right="270"/>
              <w:spacing w:after="0" w:line="164" w:lineRule="exact"/>
              <w:rPr>
                <w:sz w:val="20"/>
                <w:szCs w:val="20"/>
                <w:color w:val="auto"/>
              </w:rPr>
            </w:pPr>
            <w:r>
              <w:rPr>
                <w:rFonts w:ascii="Calibri" w:cs="Calibri" w:eastAsia="Calibri" w:hAnsi="Calibri"/>
                <w:sz w:val="14"/>
                <w:szCs w:val="14"/>
                <w:color w:val="auto"/>
              </w:rPr>
              <w:t>190</w:t>
            </w:r>
          </w:p>
        </w:tc>
        <w:tc>
          <w:tcPr>
            <w:tcW w:w="110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3,326,900</w:t>
            </w:r>
          </w:p>
        </w:tc>
        <w:tc>
          <w:tcPr>
            <w:tcW w:w="420" w:type="dxa"/>
            <w:vAlign w:val="bottom"/>
            <w:tcBorders>
              <w:top w:val="single" w:sz="8" w:color="003478"/>
            </w:tcBorders>
          </w:tcPr>
          <w:p>
            <w:pPr>
              <w:spacing w:after="0"/>
              <w:rPr>
                <w:sz w:val="14"/>
                <w:szCs w:val="14"/>
                <w:color w:val="auto"/>
              </w:rPr>
            </w:pPr>
          </w:p>
        </w:tc>
        <w:tc>
          <w:tcPr>
            <w:tcW w:w="1180" w:type="dxa"/>
            <w:vAlign w:val="bottom"/>
            <w:tcBorders>
              <w:top w:val="single" w:sz="8" w:color="003478"/>
            </w:tcBorders>
          </w:tcPr>
          <w:p>
            <w:pPr>
              <w:spacing w:after="0"/>
              <w:rPr>
                <w:sz w:val="14"/>
                <w:szCs w:val="14"/>
                <w:color w:val="auto"/>
              </w:rPr>
            </w:pPr>
          </w:p>
        </w:tc>
        <w:tc>
          <w:tcPr>
            <w:tcW w:w="400" w:type="dxa"/>
            <w:vAlign w:val="bottom"/>
            <w:tcBorders>
              <w:top w:val="single" w:sz="8" w:color="003478"/>
            </w:tcBorders>
          </w:tcPr>
          <w:p>
            <w:pPr>
              <w:spacing w:after="0"/>
              <w:rPr>
                <w:sz w:val="14"/>
                <w:szCs w:val="14"/>
                <w:color w:val="auto"/>
              </w:rPr>
            </w:pPr>
          </w:p>
        </w:tc>
        <w:tc>
          <w:tcPr>
            <w:tcW w:w="110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3,859,200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8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162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Malave*</w:t>
            </w:r>
          </w:p>
        </w:tc>
        <w:tc>
          <w:tcPr>
            <w:tcW w:w="1220" w:type="dxa"/>
            <w:vAlign w:val="bottom"/>
          </w:tcPr>
          <w:p>
            <w:pPr>
              <w:jc w:val="right"/>
              <w:ind w:right="190"/>
              <w:spacing w:after="0" w:line="164" w:lineRule="exact"/>
              <w:rPr>
                <w:sz w:val="20"/>
                <w:szCs w:val="20"/>
                <w:color w:val="auto"/>
              </w:rPr>
            </w:pPr>
            <w:r>
              <w:rPr>
                <w:rFonts w:ascii="Calibri" w:cs="Calibri" w:eastAsia="Calibri" w:hAnsi="Calibri"/>
                <w:sz w:val="14"/>
                <w:szCs w:val="14"/>
                <w:color w:val="auto"/>
              </w:rPr>
              <w:t>960,000</w:t>
            </w:r>
          </w:p>
        </w:tc>
        <w:tc>
          <w:tcPr>
            <w:tcW w:w="1620" w:type="dxa"/>
            <w:vAlign w:val="bottom"/>
          </w:tcPr>
          <w:p>
            <w:pPr>
              <w:jc w:val="right"/>
              <w:ind w:right="270"/>
              <w:spacing w:after="0" w:line="164" w:lineRule="exact"/>
              <w:rPr>
                <w:sz w:val="20"/>
                <w:szCs w:val="20"/>
                <w:color w:val="auto"/>
              </w:rPr>
            </w:pPr>
            <w:r>
              <w:rPr>
                <w:rFonts w:ascii="Calibri" w:cs="Calibri" w:eastAsia="Calibri" w:hAnsi="Calibri"/>
                <w:sz w:val="14"/>
                <w:szCs w:val="14"/>
                <w:color w:val="auto"/>
              </w:rPr>
              <w:t>115</w:t>
            </w: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1,013,260</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1,175,400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8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162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Mollard**</w:t>
            </w:r>
          </w:p>
        </w:tc>
        <w:tc>
          <w:tcPr>
            <w:tcW w:w="1220" w:type="dxa"/>
            <w:vAlign w:val="bottom"/>
          </w:tcPr>
          <w:p>
            <w:pPr>
              <w:jc w:val="right"/>
              <w:ind w:right="190"/>
              <w:spacing w:after="0" w:line="164" w:lineRule="exact"/>
              <w:rPr>
                <w:sz w:val="20"/>
                <w:szCs w:val="20"/>
                <w:color w:val="auto"/>
              </w:rPr>
            </w:pPr>
            <w:r>
              <w:rPr>
                <w:rFonts w:ascii="Calibri" w:cs="Calibri" w:eastAsia="Calibri" w:hAnsi="Calibri"/>
                <w:sz w:val="14"/>
                <w:szCs w:val="14"/>
                <w:color w:val="auto"/>
              </w:rPr>
              <w:t>510,000</w:t>
            </w:r>
          </w:p>
        </w:tc>
        <w:tc>
          <w:tcPr>
            <w:tcW w:w="1620" w:type="dxa"/>
            <w:vAlign w:val="bottom"/>
          </w:tcPr>
          <w:p>
            <w:pPr>
              <w:jc w:val="right"/>
              <w:ind w:right="270"/>
              <w:spacing w:after="0" w:line="164" w:lineRule="exact"/>
              <w:rPr>
                <w:sz w:val="20"/>
                <w:szCs w:val="20"/>
                <w:color w:val="auto"/>
              </w:rPr>
            </w:pPr>
            <w:r>
              <w:rPr>
                <w:rFonts w:ascii="Calibri" w:cs="Calibri" w:eastAsia="Calibri" w:hAnsi="Calibri"/>
                <w:sz w:val="14"/>
                <w:szCs w:val="14"/>
                <w:color w:val="auto"/>
              </w:rPr>
              <w:t>70</w:t>
            </w: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357,000</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414,100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8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162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vMerge w:val="restart"/>
          </w:tcPr>
          <w:p>
            <w:pPr>
              <w:jc w:val="right"/>
              <w:ind w:right="573"/>
              <w:spacing w:after="0"/>
              <w:rPr>
                <w:sz w:val="20"/>
                <w:szCs w:val="20"/>
                <w:color w:val="auto"/>
              </w:rPr>
            </w:pPr>
            <w:r>
              <w:rPr>
                <w:rFonts w:ascii="Calibri" w:cs="Calibri" w:eastAsia="Calibri" w:hAnsi="Calibri"/>
                <w:sz w:val="14"/>
                <w:szCs w:val="14"/>
                <w:color w:val="242424"/>
              </w:rPr>
              <w:t>116%</w:t>
            </w:r>
          </w:p>
        </w:tc>
        <w:tc>
          <w:tcPr>
            <w:tcW w:w="40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St. John</w:t>
            </w:r>
          </w:p>
        </w:tc>
        <w:tc>
          <w:tcPr>
            <w:tcW w:w="1220" w:type="dxa"/>
            <w:vAlign w:val="bottom"/>
          </w:tcPr>
          <w:p>
            <w:pPr>
              <w:jc w:val="right"/>
              <w:ind w:right="190"/>
              <w:spacing w:after="0" w:line="164" w:lineRule="exact"/>
              <w:rPr>
                <w:sz w:val="20"/>
                <w:szCs w:val="20"/>
                <w:color w:val="auto"/>
              </w:rPr>
            </w:pPr>
            <w:r>
              <w:rPr>
                <w:rFonts w:ascii="Calibri" w:cs="Calibri" w:eastAsia="Calibri" w:hAnsi="Calibri"/>
                <w:sz w:val="14"/>
                <w:szCs w:val="14"/>
                <w:color w:val="auto"/>
              </w:rPr>
              <w:t>1,000,000</w:t>
            </w:r>
          </w:p>
        </w:tc>
        <w:tc>
          <w:tcPr>
            <w:tcW w:w="1620" w:type="dxa"/>
            <w:vAlign w:val="bottom"/>
          </w:tcPr>
          <w:p>
            <w:pPr>
              <w:jc w:val="right"/>
              <w:ind w:right="270"/>
              <w:spacing w:after="0" w:line="164" w:lineRule="exact"/>
              <w:rPr>
                <w:sz w:val="20"/>
                <w:szCs w:val="20"/>
                <w:color w:val="auto"/>
              </w:rPr>
            </w:pPr>
            <w:r>
              <w:rPr>
                <w:rFonts w:ascii="Calibri" w:cs="Calibri" w:eastAsia="Calibri" w:hAnsi="Calibri"/>
                <w:sz w:val="14"/>
                <w:szCs w:val="14"/>
                <w:color w:val="auto"/>
              </w:rPr>
              <w:t>150</w:t>
            </w: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1,500,000</w:t>
            </w:r>
          </w:p>
        </w:tc>
        <w:tc>
          <w:tcPr>
            <w:tcW w:w="4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1,740,000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8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162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Greene</w:t>
            </w:r>
          </w:p>
        </w:tc>
        <w:tc>
          <w:tcPr>
            <w:tcW w:w="1220" w:type="dxa"/>
            <w:vAlign w:val="bottom"/>
          </w:tcPr>
          <w:p>
            <w:pPr>
              <w:jc w:val="right"/>
              <w:ind w:right="190"/>
              <w:spacing w:after="0" w:line="164" w:lineRule="exact"/>
              <w:rPr>
                <w:sz w:val="20"/>
                <w:szCs w:val="20"/>
                <w:color w:val="auto"/>
              </w:rPr>
            </w:pPr>
            <w:r>
              <w:rPr>
                <w:rFonts w:ascii="Calibri" w:cs="Calibri" w:eastAsia="Calibri" w:hAnsi="Calibri"/>
                <w:sz w:val="14"/>
                <w:szCs w:val="14"/>
                <w:color w:val="auto"/>
              </w:rPr>
              <w:t>965,000</w:t>
            </w:r>
          </w:p>
        </w:tc>
        <w:tc>
          <w:tcPr>
            <w:tcW w:w="1620" w:type="dxa"/>
            <w:vAlign w:val="bottom"/>
          </w:tcPr>
          <w:p>
            <w:pPr>
              <w:jc w:val="right"/>
              <w:ind w:right="270"/>
              <w:spacing w:after="0" w:line="164" w:lineRule="exact"/>
              <w:rPr>
                <w:sz w:val="20"/>
                <w:szCs w:val="20"/>
                <w:color w:val="auto"/>
              </w:rPr>
            </w:pPr>
            <w:r>
              <w:rPr>
                <w:rFonts w:ascii="Calibri" w:cs="Calibri" w:eastAsia="Calibri" w:hAnsi="Calibri"/>
                <w:sz w:val="14"/>
                <w:szCs w:val="14"/>
                <w:color w:val="auto"/>
              </w:rPr>
              <w:t>115</w:t>
            </w: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1,109,750</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1,287,300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8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162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Ms. Lavan</w:t>
            </w:r>
          </w:p>
        </w:tc>
        <w:tc>
          <w:tcPr>
            <w:tcW w:w="1220" w:type="dxa"/>
            <w:vAlign w:val="bottom"/>
          </w:tcPr>
          <w:p>
            <w:pPr>
              <w:jc w:val="right"/>
              <w:ind w:right="190"/>
              <w:spacing w:after="0" w:line="164" w:lineRule="exact"/>
              <w:rPr>
                <w:sz w:val="20"/>
                <w:szCs w:val="20"/>
                <w:color w:val="auto"/>
              </w:rPr>
            </w:pPr>
            <w:r>
              <w:rPr>
                <w:rFonts w:ascii="Calibri" w:cs="Calibri" w:eastAsia="Calibri" w:hAnsi="Calibri"/>
                <w:sz w:val="14"/>
                <w:szCs w:val="14"/>
                <w:color w:val="auto"/>
              </w:rPr>
              <w:t>900,000</w:t>
            </w:r>
          </w:p>
        </w:tc>
        <w:tc>
          <w:tcPr>
            <w:tcW w:w="1620" w:type="dxa"/>
            <w:vAlign w:val="bottom"/>
          </w:tcPr>
          <w:p>
            <w:pPr>
              <w:jc w:val="right"/>
              <w:ind w:right="270"/>
              <w:spacing w:after="0" w:line="164" w:lineRule="exact"/>
              <w:rPr>
                <w:sz w:val="20"/>
                <w:szCs w:val="20"/>
                <w:color w:val="auto"/>
              </w:rPr>
            </w:pPr>
            <w:r>
              <w:rPr>
                <w:rFonts w:ascii="Calibri" w:cs="Calibri" w:eastAsia="Calibri" w:hAnsi="Calibri"/>
                <w:sz w:val="14"/>
                <w:szCs w:val="14"/>
                <w:color w:val="auto"/>
              </w:rPr>
              <w:t>110</w:t>
            </w: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990,000</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1,148,400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8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162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Ulmer</w:t>
            </w:r>
          </w:p>
        </w:tc>
        <w:tc>
          <w:tcPr>
            <w:tcW w:w="1220" w:type="dxa"/>
            <w:vAlign w:val="bottom"/>
          </w:tcPr>
          <w:p>
            <w:pPr>
              <w:jc w:val="right"/>
              <w:ind w:right="190"/>
              <w:spacing w:after="0" w:line="164" w:lineRule="exact"/>
              <w:rPr>
                <w:sz w:val="20"/>
                <w:szCs w:val="20"/>
                <w:color w:val="auto"/>
              </w:rPr>
            </w:pPr>
            <w:r>
              <w:rPr>
                <w:rFonts w:ascii="Calibri" w:cs="Calibri" w:eastAsia="Calibri" w:hAnsi="Calibri"/>
                <w:sz w:val="14"/>
                <w:szCs w:val="14"/>
                <w:color w:val="auto"/>
              </w:rPr>
              <w:t>965,000</w:t>
            </w:r>
          </w:p>
        </w:tc>
        <w:tc>
          <w:tcPr>
            <w:tcW w:w="1620" w:type="dxa"/>
            <w:vAlign w:val="bottom"/>
          </w:tcPr>
          <w:p>
            <w:pPr>
              <w:jc w:val="right"/>
              <w:ind w:right="270"/>
              <w:spacing w:after="0" w:line="164" w:lineRule="exact"/>
              <w:rPr>
                <w:sz w:val="20"/>
                <w:szCs w:val="20"/>
                <w:color w:val="auto"/>
              </w:rPr>
            </w:pPr>
            <w:r>
              <w:rPr>
                <w:rFonts w:ascii="Calibri" w:cs="Calibri" w:eastAsia="Calibri" w:hAnsi="Calibri"/>
                <w:sz w:val="14"/>
                <w:szCs w:val="14"/>
                <w:color w:val="auto"/>
              </w:rPr>
              <w:t>115</w:t>
            </w: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1,109,750</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1,287,300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8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162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420" w:type="dxa"/>
            <w:vAlign w:val="bottom"/>
            <w:tcBorders>
              <w:bottom w:val="single" w:sz="8" w:color="959595"/>
            </w:tcBorders>
          </w:tcPr>
          <w:p>
            <w:pPr>
              <w:spacing w:after="0"/>
              <w:rPr>
                <w:sz w:val="2"/>
                <w:szCs w:val="2"/>
                <w:color w:val="auto"/>
              </w:rPr>
            </w:pPr>
          </w:p>
        </w:tc>
        <w:tc>
          <w:tcPr>
            <w:tcW w:w="1180" w:type="dxa"/>
            <w:vAlign w:val="bottom"/>
            <w:tcBorders>
              <w:bottom w:val="single" w:sz="8" w:color="959595"/>
            </w:tcBorders>
          </w:tcPr>
          <w:p>
            <w:pPr>
              <w:spacing w:after="0"/>
              <w:rPr>
                <w:sz w:val="2"/>
                <w:szCs w:val="2"/>
                <w:color w:val="auto"/>
              </w:rPr>
            </w:pPr>
          </w:p>
        </w:tc>
        <w:tc>
          <w:tcPr>
            <w:tcW w:w="400" w:type="dxa"/>
            <w:vAlign w:val="bottom"/>
            <w:tcBorders>
              <w:bottom w:val="single" w:sz="8" w:color="959595"/>
            </w:tcBorders>
          </w:tcPr>
          <w:p>
            <w:pPr>
              <w:spacing w:after="0"/>
              <w:rPr>
                <w:sz w:val="2"/>
                <w:szCs w:val="2"/>
                <w:color w:val="auto"/>
              </w:rPr>
            </w:pPr>
          </w:p>
        </w:tc>
        <w:tc>
          <w:tcPr>
            <w:tcW w:w="1100" w:type="dxa"/>
            <w:vAlign w:val="bottom"/>
            <w:tcBorders>
              <w:bottom w:val="single" w:sz="8" w:color="959595"/>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5980" w:firstLine="8"/>
        <w:spacing w:after="0" w:line="301" w:lineRule="auto"/>
        <w:tabs>
          <w:tab w:leader="none" w:pos="234" w:val="left"/>
        </w:tabs>
        <w:numPr>
          <w:ilvl w:val="0"/>
          <w:numId w:val="75"/>
        </w:numPr>
        <w:rPr>
          <w:rFonts w:ascii="Calibri" w:cs="Calibri" w:eastAsia="Calibri" w:hAnsi="Calibri"/>
          <w:sz w:val="14"/>
          <w:szCs w:val="14"/>
          <w:color w:val="auto"/>
        </w:rPr>
      </w:pPr>
      <w:r>
        <w:rPr>
          <w:rFonts w:ascii="Calibri" w:cs="Calibri" w:eastAsia="Calibri" w:hAnsi="Calibri"/>
          <w:sz w:val="14"/>
          <w:szCs w:val="14"/>
          <w:color w:val="auto"/>
        </w:rPr>
        <w:t>Mr. Malave’s target award and payout are prorated based on tme served during 2022. ** Mr. Mollard’s 2022 compensaton aligned with his role as VP and Treasurer.</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818EB4"/>
        </w:rPr>
        <w:t>2022 Long-Term Incentive Compensation</w:t>
      </w:r>
    </w:p>
    <w:p>
      <w:pPr>
        <w:spacing w:after="0" w:line="111" w:lineRule="exact"/>
        <w:rPr>
          <w:sz w:val="20"/>
          <w:szCs w:val="20"/>
          <w:color w:val="auto"/>
        </w:rPr>
      </w:pPr>
    </w:p>
    <w:p>
      <w:pPr>
        <w:ind w:right="260"/>
        <w:spacing w:after="0" w:line="261" w:lineRule="auto"/>
        <w:rPr>
          <w:sz w:val="20"/>
          <w:szCs w:val="20"/>
          <w:color w:val="auto"/>
        </w:rPr>
      </w:pPr>
      <w:r>
        <w:rPr>
          <w:rFonts w:ascii="Calibri" w:cs="Calibri" w:eastAsia="Calibri" w:hAnsi="Calibri"/>
          <w:sz w:val="17"/>
          <w:szCs w:val="17"/>
          <w:color w:val="auto"/>
        </w:rPr>
        <w:t>The following summary shows the 2022 LTI compensaton mix for the CEO, EVPs and SVPs along with the principal terms of the awards. Mr. Mollard’s long-term incentve mix varied from other NEOs based on his role as Vice President and Treasurer at the tme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6497955" cy="35401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497955" cy="354012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808080"/>
        </w:rPr>
        <w:t>PSUs (distributed in common stock):</w:t>
      </w:r>
    </w:p>
    <w:p>
      <w:pPr>
        <w:spacing w:after="0" w:line="137" w:lineRule="exact"/>
        <w:rPr>
          <w:sz w:val="20"/>
          <w:szCs w:val="20"/>
          <w:color w:val="auto"/>
        </w:rPr>
      </w:pPr>
    </w:p>
    <w:p>
      <w:pPr>
        <w:ind w:left="20" w:right="5540"/>
        <w:spacing w:after="0" w:line="245" w:lineRule="auto"/>
        <w:rPr>
          <w:sz w:val="20"/>
          <w:szCs w:val="20"/>
          <w:color w:val="auto"/>
        </w:rPr>
      </w:pPr>
      <w:r>
        <w:rPr>
          <w:rFonts w:ascii="Calibri" w:cs="Calibri" w:eastAsia="Calibri" w:hAnsi="Calibri"/>
          <w:sz w:val="17"/>
          <w:szCs w:val="17"/>
          <w:b w:val="1"/>
          <w:bCs w:val="1"/>
          <w:color w:val="808080"/>
        </w:rPr>
        <w:t xml:space="preserve">Performance Measures: </w:t>
      </w:r>
      <w:r>
        <w:rPr>
          <w:rFonts w:ascii="Calibri" w:cs="Calibri" w:eastAsia="Calibri" w:hAnsi="Calibri"/>
          <w:sz w:val="17"/>
          <w:szCs w:val="17"/>
          <w:color w:val="000000"/>
        </w:rPr>
        <w:t>Three-year Relatve TSR (50%), ROIC (25%) &amp; Free Cash</w:t>
      </w:r>
      <w:r>
        <w:rPr>
          <w:rFonts w:ascii="Calibri" w:cs="Calibri" w:eastAsia="Calibri" w:hAnsi="Calibri"/>
          <w:sz w:val="17"/>
          <w:szCs w:val="17"/>
          <w:b w:val="1"/>
          <w:bCs w:val="1"/>
          <w:color w:val="808080"/>
        </w:rPr>
        <w:t xml:space="preserve"> </w:t>
      </w:r>
      <w:r>
        <w:rPr>
          <w:rFonts w:ascii="Calibri" w:cs="Calibri" w:eastAsia="Calibri" w:hAnsi="Calibri"/>
          <w:sz w:val="17"/>
          <w:szCs w:val="17"/>
          <w:color w:val="000000"/>
        </w:rPr>
        <w:t>Flow (25%)</w:t>
      </w:r>
    </w:p>
    <w:p>
      <w:pPr>
        <w:spacing w:after="0" w:line="72"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808080"/>
        </w:rPr>
        <w:t>Caps:</w:t>
      </w:r>
    </w:p>
    <w:p>
      <w:pPr>
        <w:spacing w:after="0" w:line="8" w:lineRule="exact"/>
        <w:rPr>
          <w:sz w:val="20"/>
          <w:szCs w:val="20"/>
          <w:color w:val="auto"/>
        </w:rPr>
      </w:pPr>
    </w:p>
    <w:p>
      <w:pPr>
        <w:ind w:left="260" w:hanging="153"/>
        <w:spacing w:after="0"/>
        <w:tabs>
          <w:tab w:leader="none" w:pos="260" w:val="left"/>
        </w:tabs>
        <w:numPr>
          <w:ilvl w:val="0"/>
          <w:numId w:val="76"/>
        </w:numPr>
        <w:rPr>
          <w:rFonts w:ascii="Calibri" w:cs="Calibri" w:eastAsia="Calibri" w:hAnsi="Calibri"/>
          <w:sz w:val="17"/>
          <w:szCs w:val="17"/>
          <w:color w:val="646363"/>
        </w:rPr>
      </w:pPr>
      <w:r>
        <w:rPr>
          <w:rFonts w:ascii="Calibri" w:cs="Calibri" w:eastAsia="Calibri" w:hAnsi="Calibri"/>
          <w:sz w:val="17"/>
          <w:szCs w:val="17"/>
          <w:color w:val="auto"/>
        </w:rPr>
        <w:t>200% of target shares</w:t>
      </w:r>
    </w:p>
    <w:p>
      <w:pPr>
        <w:spacing w:after="0" w:line="21" w:lineRule="exact"/>
        <w:rPr>
          <w:rFonts w:ascii="Calibri" w:cs="Calibri" w:eastAsia="Calibri" w:hAnsi="Calibri"/>
          <w:sz w:val="17"/>
          <w:szCs w:val="17"/>
          <w:color w:val="646363"/>
        </w:rPr>
      </w:pPr>
    </w:p>
    <w:p>
      <w:pPr>
        <w:ind w:left="260" w:hanging="153"/>
        <w:spacing w:after="0"/>
        <w:tabs>
          <w:tab w:leader="none" w:pos="260" w:val="left"/>
        </w:tabs>
        <w:numPr>
          <w:ilvl w:val="0"/>
          <w:numId w:val="76"/>
        </w:numPr>
        <w:rPr>
          <w:rFonts w:ascii="Calibri" w:cs="Calibri" w:eastAsia="Calibri" w:hAnsi="Calibri"/>
          <w:sz w:val="17"/>
          <w:szCs w:val="17"/>
          <w:color w:val="646363"/>
        </w:rPr>
      </w:pPr>
      <w:r>
        <w:rPr>
          <w:rFonts w:ascii="Calibri" w:cs="Calibri" w:eastAsia="Calibri" w:hAnsi="Calibri"/>
          <w:sz w:val="17"/>
          <w:szCs w:val="17"/>
          <w:color w:val="auto"/>
        </w:rPr>
        <w:t>Relatve TSR measure capped at 100% if the Company’s TSR is negatve</w:t>
      </w:r>
    </w:p>
    <w:p>
      <w:pPr>
        <w:spacing w:after="0" w:line="8" w:lineRule="exact"/>
        <w:rPr>
          <w:rFonts w:ascii="Calibri" w:cs="Calibri" w:eastAsia="Calibri" w:hAnsi="Calibri"/>
          <w:sz w:val="17"/>
          <w:szCs w:val="17"/>
          <w:color w:val="646363"/>
        </w:rPr>
      </w:pPr>
    </w:p>
    <w:p>
      <w:pPr>
        <w:ind w:left="260" w:hanging="153"/>
        <w:spacing w:after="0"/>
        <w:tabs>
          <w:tab w:leader="none" w:pos="260" w:val="left"/>
        </w:tabs>
        <w:numPr>
          <w:ilvl w:val="0"/>
          <w:numId w:val="76"/>
        </w:numPr>
        <w:rPr>
          <w:rFonts w:ascii="Calibri" w:cs="Calibri" w:eastAsia="Calibri" w:hAnsi="Calibri"/>
          <w:sz w:val="17"/>
          <w:szCs w:val="17"/>
          <w:color w:val="646363"/>
        </w:rPr>
      </w:pPr>
      <w:r>
        <w:rPr>
          <w:rFonts w:ascii="Calibri" w:cs="Calibri" w:eastAsia="Calibri" w:hAnsi="Calibri"/>
          <w:sz w:val="17"/>
          <w:szCs w:val="17"/>
          <w:color w:val="auto"/>
        </w:rPr>
        <w:t>Value capped at 400% of stock price on date of grant tmes shares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3797300" cy="685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79730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7"/>
          <w:szCs w:val="17"/>
          <w:color w:val="838DB4"/>
        </w:rPr>
        <w:t>RSUs (distributed in common stock):</w:t>
      </w:r>
    </w:p>
    <w:p>
      <w:pPr>
        <w:spacing w:after="0" w:line="134"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838DB4"/>
        </w:rPr>
        <w:t xml:space="preserve">Vestng Schedule: </w:t>
      </w:r>
      <w:r>
        <w:rPr>
          <w:rFonts w:ascii="Calibri" w:cs="Calibri" w:eastAsia="Calibri" w:hAnsi="Calibri"/>
          <w:sz w:val="17"/>
          <w:szCs w:val="17"/>
          <w:color w:val="000000"/>
        </w:rPr>
        <w:t>RSUs clif vest 100% three years afer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3797300" cy="685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797300" cy="6858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7"/>
          <w:szCs w:val="17"/>
          <w:color w:val="002F6C"/>
        </w:rPr>
        <w:t>LTIP (paid in cash):</w:t>
      </w:r>
    </w:p>
    <w:p>
      <w:pPr>
        <w:spacing w:after="0" w:line="137" w:lineRule="exact"/>
        <w:rPr>
          <w:sz w:val="20"/>
          <w:szCs w:val="20"/>
          <w:color w:val="auto"/>
        </w:rPr>
      </w:pPr>
    </w:p>
    <w:p>
      <w:pPr>
        <w:ind w:left="20" w:right="5540"/>
        <w:spacing w:after="0" w:line="245" w:lineRule="auto"/>
        <w:rPr>
          <w:sz w:val="20"/>
          <w:szCs w:val="20"/>
          <w:color w:val="auto"/>
        </w:rPr>
      </w:pPr>
      <w:r>
        <w:rPr>
          <w:rFonts w:ascii="Calibri" w:cs="Calibri" w:eastAsia="Calibri" w:hAnsi="Calibri"/>
          <w:sz w:val="17"/>
          <w:szCs w:val="17"/>
          <w:b w:val="1"/>
          <w:bCs w:val="1"/>
          <w:color w:val="002F6C"/>
        </w:rPr>
        <w:t xml:space="preserve">Performance Measures: </w:t>
      </w:r>
      <w:r>
        <w:rPr>
          <w:rFonts w:ascii="Calibri" w:cs="Calibri" w:eastAsia="Calibri" w:hAnsi="Calibri"/>
          <w:sz w:val="17"/>
          <w:szCs w:val="17"/>
          <w:color w:val="000000"/>
        </w:rPr>
        <w:t>Three-year Relatve TSR (50%), ROIC (25%) &amp; Free Cash</w:t>
      </w:r>
      <w:r>
        <w:rPr>
          <w:rFonts w:ascii="Calibri" w:cs="Calibri" w:eastAsia="Calibri" w:hAnsi="Calibri"/>
          <w:sz w:val="17"/>
          <w:szCs w:val="17"/>
          <w:b w:val="1"/>
          <w:bCs w:val="1"/>
          <w:color w:val="002F6C"/>
        </w:rPr>
        <w:t xml:space="preserve"> </w:t>
      </w:r>
      <w:r>
        <w:rPr>
          <w:rFonts w:ascii="Calibri" w:cs="Calibri" w:eastAsia="Calibri" w:hAnsi="Calibri"/>
          <w:sz w:val="17"/>
          <w:szCs w:val="17"/>
          <w:color w:val="000000"/>
        </w:rPr>
        <w:t>Flow (25%)</w:t>
      </w:r>
    </w:p>
    <w:p>
      <w:pPr>
        <w:spacing w:after="0" w:line="72"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002F6C"/>
        </w:rPr>
        <w:t>Caps:</w:t>
      </w:r>
    </w:p>
    <w:p>
      <w:pPr>
        <w:spacing w:after="0" w:line="62" w:lineRule="exact"/>
        <w:rPr>
          <w:sz w:val="20"/>
          <w:szCs w:val="20"/>
          <w:color w:val="auto"/>
        </w:rPr>
      </w:pPr>
    </w:p>
    <w:p>
      <w:pPr>
        <w:ind w:left="260" w:hanging="153"/>
        <w:spacing w:after="0"/>
        <w:tabs>
          <w:tab w:leader="none" w:pos="260" w:val="left"/>
        </w:tabs>
        <w:numPr>
          <w:ilvl w:val="0"/>
          <w:numId w:val="77"/>
        </w:numPr>
        <w:rPr>
          <w:rFonts w:ascii="Calibri" w:cs="Calibri" w:eastAsia="Calibri" w:hAnsi="Calibri"/>
          <w:sz w:val="17"/>
          <w:szCs w:val="17"/>
          <w:color w:val="002E6D"/>
        </w:rPr>
      </w:pPr>
      <w:r>
        <w:rPr>
          <w:rFonts w:ascii="Calibri" w:cs="Calibri" w:eastAsia="Calibri" w:hAnsi="Calibri"/>
          <w:sz w:val="17"/>
          <w:szCs w:val="17"/>
          <w:color w:val="auto"/>
        </w:rPr>
        <w:t>200% of target amount</w:t>
      </w:r>
    </w:p>
    <w:p>
      <w:pPr>
        <w:spacing w:after="0" w:line="75" w:lineRule="exact"/>
        <w:rPr>
          <w:rFonts w:ascii="Calibri" w:cs="Calibri" w:eastAsia="Calibri" w:hAnsi="Calibri"/>
          <w:sz w:val="17"/>
          <w:szCs w:val="17"/>
          <w:color w:val="002E6D"/>
        </w:rPr>
      </w:pPr>
    </w:p>
    <w:p>
      <w:pPr>
        <w:ind w:left="260" w:hanging="153"/>
        <w:spacing w:after="0"/>
        <w:tabs>
          <w:tab w:leader="none" w:pos="260" w:val="left"/>
        </w:tabs>
        <w:numPr>
          <w:ilvl w:val="0"/>
          <w:numId w:val="77"/>
        </w:numPr>
        <w:rPr>
          <w:rFonts w:ascii="Calibri" w:cs="Calibri" w:eastAsia="Calibri" w:hAnsi="Calibri"/>
          <w:sz w:val="17"/>
          <w:szCs w:val="17"/>
          <w:color w:val="002E6D"/>
        </w:rPr>
      </w:pPr>
      <w:r>
        <w:rPr>
          <w:rFonts w:ascii="Calibri" w:cs="Calibri" w:eastAsia="Calibri" w:hAnsi="Calibri"/>
          <w:sz w:val="17"/>
          <w:szCs w:val="17"/>
          <w:color w:val="auto"/>
        </w:rPr>
        <w:t>Relatve TSR measure capped at 100% if the Company’s TSR is negatve</w:t>
      </w:r>
    </w:p>
    <w:p>
      <w:pPr>
        <w:spacing w:after="0" w:line="62" w:lineRule="exact"/>
        <w:rPr>
          <w:rFonts w:ascii="Calibri" w:cs="Calibri" w:eastAsia="Calibri" w:hAnsi="Calibri"/>
          <w:sz w:val="17"/>
          <w:szCs w:val="17"/>
          <w:color w:val="002E6D"/>
        </w:rPr>
      </w:pPr>
    </w:p>
    <w:p>
      <w:pPr>
        <w:ind w:left="260" w:hanging="153"/>
        <w:spacing w:after="0"/>
        <w:tabs>
          <w:tab w:leader="none" w:pos="260" w:val="left"/>
        </w:tabs>
        <w:numPr>
          <w:ilvl w:val="0"/>
          <w:numId w:val="77"/>
        </w:numPr>
        <w:rPr>
          <w:rFonts w:ascii="Calibri" w:cs="Calibri" w:eastAsia="Calibri" w:hAnsi="Calibri"/>
          <w:sz w:val="17"/>
          <w:szCs w:val="17"/>
          <w:color w:val="002E6D"/>
        </w:rPr>
      </w:pPr>
      <w:r>
        <w:rPr>
          <w:rFonts w:ascii="Calibri" w:cs="Calibri" w:eastAsia="Calibri" w:hAnsi="Calibri"/>
          <w:sz w:val="17"/>
          <w:szCs w:val="17"/>
          <w:color w:val="auto"/>
        </w:rPr>
        <w:t>Individual payout capped at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37973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79730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461645</wp:posOffset>
            </wp:positionV>
            <wp:extent cx="1071880" cy="1803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6" w:name="page57"/>
    <w:bookmarkEnd w:id="56"/>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4" w:lineRule="exact"/>
        <w:rPr>
          <w:sz w:val="20"/>
          <w:szCs w:val="20"/>
          <w:color w:val="auto"/>
        </w:rPr>
      </w:pPr>
    </w:p>
    <w:p>
      <w:pPr>
        <w:ind w:right="100"/>
        <w:spacing w:after="0" w:line="239" w:lineRule="auto"/>
        <w:rPr>
          <w:sz w:val="20"/>
          <w:szCs w:val="20"/>
          <w:color w:val="auto"/>
        </w:rPr>
      </w:pPr>
      <w:r>
        <w:rPr>
          <w:rFonts w:ascii="Calibri" w:cs="Calibri" w:eastAsia="Calibri" w:hAnsi="Calibri"/>
          <w:sz w:val="17"/>
          <w:szCs w:val="17"/>
          <w:color w:val="auto"/>
        </w:rPr>
        <w:t>In determining the appropriate level of equity grants for 2022, the Compensaton Commitee took into consideraton the long-term incentve market rate (50</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percentle) along with a variety of other factors, including the number of awards outstanding and shares remaining available for issuance under the Company’s equity incentve plan, the number of shares that would be issued under contemplated awards over the range of potental performance achievement, the total number of the Company’s outstanding shares, the resultng implicatons for stockholder diluton and the number of shares granted to our executves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6858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6858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274320</wp:posOffset>
            </wp:positionV>
            <wp:extent cx="488315" cy="4883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8831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20"/>
        <w:spacing w:after="0"/>
        <w:rPr>
          <w:sz w:val="20"/>
          <w:szCs w:val="20"/>
          <w:color w:val="auto"/>
        </w:rPr>
      </w:pPr>
      <w:r>
        <w:rPr>
          <w:rFonts w:ascii="Arial" w:cs="Arial" w:eastAsia="Arial" w:hAnsi="Arial"/>
          <w:sz w:val="17"/>
          <w:szCs w:val="17"/>
          <w:color w:val="9D9D9C"/>
        </w:rPr>
        <w:t>PSU Awards (50% of the LTI award)</w:t>
      </w:r>
    </w:p>
    <w:p>
      <w:pPr>
        <w:spacing w:after="0" w:line="200" w:lineRule="exact"/>
        <w:rPr>
          <w:sz w:val="20"/>
          <w:szCs w:val="20"/>
          <w:color w:val="auto"/>
        </w:rPr>
      </w:pPr>
    </w:p>
    <w:p>
      <w:pPr>
        <w:spacing w:after="0" w:line="356" w:lineRule="exact"/>
        <w:rPr>
          <w:sz w:val="20"/>
          <w:szCs w:val="20"/>
          <w:color w:val="auto"/>
        </w:rPr>
      </w:pPr>
    </w:p>
    <w:p>
      <w:pPr>
        <w:ind w:right="40"/>
        <w:spacing w:after="0" w:line="256" w:lineRule="auto"/>
        <w:rPr>
          <w:sz w:val="20"/>
          <w:szCs w:val="20"/>
          <w:color w:val="auto"/>
        </w:rPr>
      </w:pPr>
      <w:r>
        <w:rPr>
          <w:rFonts w:ascii="Calibri" w:cs="Calibri" w:eastAsia="Calibri" w:hAnsi="Calibri"/>
          <w:sz w:val="17"/>
          <w:szCs w:val="17"/>
          <w:color w:val="auto"/>
        </w:rPr>
        <w:t>PSU awards generally are calculated by multplying the overall target LTI award value (as shown in the table on page 46) by the 50% weightng assigned to the PSU porton (10% in the case of Mr. Mollard). The number of PSUs granted is determined based on the closing stock price of the Company’s common stock on the NYSE on the date of grant. Each NEO’s PSU target number of shares is determined as of the grant date of the award, and the actual number of shares earned at the end of the period is calculated based on our performance measured against the three fnancial metrics as follows: 50% Relatve TSR, 25% ROIC and 25% Free Cash Flow.</w:t>
      </w:r>
    </w:p>
    <w:p>
      <w:pPr>
        <w:spacing w:after="0" w:line="108" w:lineRule="exact"/>
        <w:rPr>
          <w:sz w:val="20"/>
          <w:szCs w:val="20"/>
          <w:color w:val="auto"/>
        </w:rPr>
      </w:pPr>
    </w:p>
    <w:p>
      <w:pPr>
        <w:ind w:right="100"/>
        <w:spacing w:after="0" w:line="255" w:lineRule="auto"/>
        <w:rPr>
          <w:sz w:val="20"/>
          <w:szCs w:val="20"/>
          <w:color w:val="auto"/>
        </w:rPr>
      </w:pPr>
      <w:r>
        <w:rPr>
          <w:rFonts w:ascii="Calibri" w:cs="Calibri" w:eastAsia="Calibri" w:hAnsi="Calibri"/>
          <w:sz w:val="17"/>
          <w:szCs w:val="17"/>
          <w:color w:val="auto"/>
        </w:rPr>
        <w:t>The number of shares granted at the end of the cycle can range from 0% to 200% of the applicable target number of shares. If absolute TSR is negatve at the end of the performance cycle, the payout factor for the Relatve TSR measure is capped at 100%. In additon, the maximum value that can be earned under a PSU award is 400% of the stock price on the date of grant tmes the shares earned. The award calculaton is formulaic pursuant to the provisions defned in the award agreement, and no discreton can be applied to the fnal number of shares granted, which is determined based on the performance outcomes relatve to our pre-set goals. Partcipants also accrue deferred dividend equivalents on the shares earned, which are paid in cash following vestng of the underlying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685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6858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414655</wp:posOffset>
            </wp:positionV>
            <wp:extent cx="488315" cy="4540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8831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20"/>
        <w:spacing w:after="0"/>
        <w:rPr>
          <w:sz w:val="20"/>
          <w:szCs w:val="20"/>
          <w:color w:val="auto"/>
        </w:rPr>
      </w:pPr>
      <w:r>
        <w:rPr>
          <w:rFonts w:ascii="Arial" w:cs="Arial" w:eastAsia="Arial" w:hAnsi="Arial"/>
          <w:sz w:val="17"/>
          <w:szCs w:val="17"/>
          <w:color w:val="818EB4"/>
        </w:rPr>
        <w:t>RSU Awards (30% of the LTI award)</w:t>
      </w:r>
    </w:p>
    <w:p>
      <w:pPr>
        <w:spacing w:after="0" w:line="200" w:lineRule="exact"/>
        <w:rPr>
          <w:sz w:val="20"/>
          <w:szCs w:val="20"/>
          <w:color w:val="auto"/>
        </w:rPr>
      </w:pPr>
    </w:p>
    <w:p>
      <w:pPr>
        <w:spacing w:after="0" w:line="342" w:lineRule="exact"/>
        <w:rPr>
          <w:sz w:val="20"/>
          <w:szCs w:val="20"/>
          <w:color w:val="auto"/>
        </w:rPr>
      </w:pPr>
    </w:p>
    <w:p>
      <w:pPr>
        <w:ind w:right="420"/>
        <w:spacing w:after="0" w:line="245" w:lineRule="auto"/>
        <w:rPr>
          <w:sz w:val="20"/>
          <w:szCs w:val="20"/>
          <w:color w:val="auto"/>
        </w:rPr>
      </w:pPr>
      <w:r>
        <w:rPr>
          <w:rFonts w:ascii="Calibri" w:cs="Calibri" w:eastAsia="Calibri" w:hAnsi="Calibri"/>
          <w:sz w:val="17"/>
          <w:szCs w:val="17"/>
          <w:color w:val="auto"/>
        </w:rPr>
        <w:t>RSU awards are calculated by multplying the overall target LTI award value (as shown in the table on page 46) by the 30% weightng assigned to the RSU porton (50% in the case of Mr. Mollard).</w:t>
      </w:r>
    </w:p>
    <w:p>
      <w:pPr>
        <w:spacing w:after="0" w:line="116" w:lineRule="exact"/>
        <w:rPr>
          <w:sz w:val="20"/>
          <w:szCs w:val="20"/>
          <w:color w:val="auto"/>
        </w:rPr>
      </w:pPr>
    </w:p>
    <w:p>
      <w:pPr>
        <w:ind w:right="420"/>
        <w:spacing w:after="0" w:line="261" w:lineRule="auto"/>
        <w:rPr>
          <w:sz w:val="20"/>
          <w:szCs w:val="20"/>
          <w:color w:val="auto"/>
        </w:rPr>
      </w:pPr>
      <w:r>
        <w:rPr>
          <w:rFonts w:ascii="Calibri" w:cs="Calibri" w:eastAsia="Calibri" w:hAnsi="Calibri"/>
          <w:sz w:val="17"/>
          <w:szCs w:val="17"/>
          <w:color w:val="auto"/>
        </w:rPr>
        <w:t>The number of RSUs granted is determined based on the closing stock price of the Company’s common stock on the NYSE on the date of grant. Deferred dividend equivalents are accrued during the vestng period and paid in cash following the vestng of the underlying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685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6858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262255</wp:posOffset>
            </wp:positionV>
            <wp:extent cx="488315" cy="4972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8831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20"/>
        <w:spacing w:after="0"/>
        <w:rPr>
          <w:sz w:val="20"/>
          <w:szCs w:val="20"/>
          <w:color w:val="auto"/>
        </w:rPr>
      </w:pPr>
      <w:r>
        <w:rPr>
          <w:rFonts w:ascii="Arial" w:cs="Arial" w:eastAsia="Arial" w:hAnsi="Arial"/>
          <w:sz w:val="17"/>
          <w:szCs w:val="17"/>
          <w:color w:val="003478"/>
        </w:rPr>
        <w:t>LTIP Awards (20% of the LTI award)</w:t>
      </w:r>
    </w:p>
    <w:p>
      <w:pPr>
        <w:spacing w:after="0" w:line="200" w:lineRule="exact"/>
        <w:rPr>
          <w:sz w:val="20"/>
          <w:szCs w:val="20"/>
          <w:color w:val="auto"/>
        </w:rPr>
      </w:pPr>
    </w:p>
    <w:p>
      <w:pPr>
        <w:spacing w:after="0" w:line="356" w:lineRule="exact"/>
        <w:rPr>
          <w:sz w:val="20"/>
          <w:szCs w:val="20"/>
          <w:color w:val="auto"/>
        </w:rPr>
      </w:pPr>
    </w:p>
    <w:p>
      <w:pPr>
        <w:ind w:right="260"/>
        <w:spacing w:after="0" w:line="253" w:lineRule="auto"/>
        <w:rPr>
          <w:sz w:val="20"/>
          <w:szCs w:val="20"/>
          <w:color w:val="auto"/>
        </w:rPr>
      </w:pPr>
      <w:r>
        <w:rPr>
          <w:rFonts w:ascii="Calibri" w:cs="Calibri" w:eastAsia="Calibri" w:hAnsi="Calibri"/>
          <w:sz w:val="17"/>
          <w:szCs w:val="17"/>
          <w:color w:val="auto"/>
        </w:rPr>
        <w:t>LTIP awards are cash-based and are calculated by multplying the overall target LTI award value (as shown in the table on page 46) by the 20% weightng assigned to the LTIP porton (40% in the case of Mr. Mollard). Each NEO’s LTIP target is determined at the tme of grant, and the actual award earned at the end of the three-year performance period is calculated based on the same performance measures as those used for the PSUs (50% Relatve TSR, 25% ROIC and 25% Free Cash Flow).</w:t>
      </w:r>
    </w:p>
    <w:p>
      <w:pPr>
        <w:spacing w:after="0" w:line="124" w:lineRule="exact"/>
        <w:rPr>
          <w:sz w:val="20"/>
          <w:szCs w:val="20"/>
          <w:color w:val="auto"/>
        </w:rPr>
      </w:pPr>
    </w:p>
    <w:p>
      <w:pPr>
        <w:ind w:right="40"/>
        <w:spacing w:after="0" w:line="253" w:lineRule="auto"/>
        <w:rPr>
          <w:sz w:val="20"/>
          <w:szCs w:val="20"/>
          <w:color w:val="auto"/>
        </w:rPr>
      </w:pPr>
      <w:r>
        <w:rPr>
          <w:rFonts w:ascii="Calibri" w:cs="Calibri" w:eastAsia="Calibri" w:hAnsi="Calibri"/>
          <w:sz w:val="17"/>
          <w:szCs w:val="17"/>
          <w:color w:val="auto"/>
        </w:rPr>
        <w:t>Payouts can range from 0% to 200% of the applicable target. If absolute TSR is negatve at the end of the performance cycle, the payout factor for the Relatve TSR measure is capped at 100%. The award calculaton is formulaic pursuant to the provisions defned in the award agreement, and no discreton can be applied to the fnal payout factor, which is determined based on the performance outcomes relatve to our pre-set goals. For the 2022-2024 LTIP grants, any amount payable to a single partcipant in excess of $10 million will be forfeited.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7" w:name="page58"/>
    <w:bookmarkEnd w:id="57"/>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003478"/>
        </w:rPr>
        <w:t>Selection of LTI Performance Measures</w:t>
      </w:r>
    </w:p>
    <w:p>
      <w:pPr>
        <w:spacing w:after="0" w:line="129" w:lineRule="exact"/>
        <w:rPr>
          <w:sz w:val="20"/>
          <w:szCs w:val="20"/>
          <w:color w:val="auto"/>
        </w:rPr>
      </w:pPr>
    </w:p>
    <w:p>
      <w:pPr>
        <w:ind w:right="620"/>
        <w:spacing w:after="0" w:line="245" w:lineRule="auto"/>
        <w:rPr>
          <w:sz w:val="20"/>
          <w:szCs w:val="20"/>
          <w:color w:val="auto"/>
        </w:rPr>
      </w:pPr>
      <w:r>
        <w:rPr>
          <w:rFonts w:ascii="Calibri" w:cs="Calibri" w:eastAsia="Calibri" w:hAnsi="Calibri"/>
          <w:sz w:val="17"/>
          <w:szCs w:val="17"/>
          <w:color w:val="auto"/>
        </w:rPr>
        <w:t>The LTI performance metrics approved by the Compensaton Commitee are measures that we believe efectvely support our long-term business and strategic goals and directly te the long-term goals of our executve leadership team to the interests of our stockholders.</w:t>
      </w:r>
    </w:p>
    <w:p>
      <w:pPr>
        <w:spacing w:after="0" w:line="130" w:lineRule="exact"/>
        <w:rPr>
          <w:sz w:val="20"/>
          <w:szCs w:val="20"/>
          <w:color w:val="auto"/>
        </w:rPr>
      </w:pPr>
    </w:p>
    <w:p>
      <w:pPr>
        <w:spacing w:after="0" w:line="254" w:lineRule="auto"/>
        <w:rPr>
          <w:sz w:val="20"/>
          <w:szCs w:val="20"/>
          <w:color w:val="auto"/>
        </w:rPr>
      </w:pPr>
      <w:r>
        <w:rPr>
          <w:rFonts w:ascii="Calibri" w:cs="Calibri" w:eastAsia="Calibri" w:hAnsi="Calibri"/>
          <w:sz w:val="17"/>
          <w:szCs w:val="17"/>
          <w:color w:val="auto"/>
        </w:rPr>
        <w:t>The measurements used for the fnancial component of our 2022 annual incentve plan (Sales, Segment Operatng Proft and Free Cash Flow) also serve as the foundaton for achieving our long-term goals such that we must consistently achieve or exceed the Company’s annual goals in order to achieve our LTI goals. The selected LTI performance metrics consist of Relatve TSR (50% weight), ROIC (25% weight) and Free Cash Flow (25% weight). We chose these three metrics because we believe they represented good measures of value creaton for the Company over a long-term period. We also applied equal weightng to the market-based measure of value creaton, TSR, to the internal measures of value creaton, Free Cash Flow and ROIC. For 2022, the Compensaton Commitee approved the use of Free Cash Flow to replace Cash From Operatons and Performance Cash under the annual and long-term incentve plans. The use of Free Cash Flow beter aligns to Company strategy as it incorporates capital expenditures.</w:t>
      </w:r>
    </w:p>
    <w:p>
      <w:pPr>
        <w:spacing w:after="0" w:line="120" w:lineRule="exact"/>
        <w:rPr>
          <w:sz w:val="20"/>
          <w:szCs w:val="20"/>
          <w:color w:val="auto"/>
        </w:rPr>
      </w:pPr>
    </w:p>
    <w:p>
      <w:pPr>
        <w:spacing w:after="0"/>
        <w:rPr>
          <w:sz w:val="20"/>
          <w:szCs w:val="20"/>
          <w:color w:val="auto"/>
        </w:rPr>
      </w:pPr>
      <w:r>
        <w:rPr>
          <w:rFonts w:ascii="Calibri" w:cs="Calibri" w:eastAsia="Calibri" w:hAnsi="Calibri"/>
          <w:sz w:val="17"/>
          <w:szCs w:val="17"/>
          <w:color w:val="auto"/>
        </w:rPr>
        <w:t>With respect to Relatve TSR, the Compensaton Commitee used a comparator group of 28 companies that generally met the following parameters as of</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January 1, 2022:</w:t>
      </w:r>
    </w:p>
    <w:p>
      <w:pPr>
        <w:spacing w:after="0" w:line="130" w:lineRule="exact"/>
        <w:rPr>
          <w:sz w:val="20"/>
          <w:szCs w:val="20"/>
          <w:color w:val="auto"/>
        </w:rPr>
      </w:pPr>
    </w:p>
    <w:p>
      <w:pPr>
        <w:ind w:left="240" w:hanging="151"/>
        <w:spacing w:after="0"/>
        <w:tabs>
          <w:tab w:leader="none" w:pos="240" w:val="left"/>
        </w:tabs>
        <w:numPr>
          <w:ilvl w:val="0"/>
          <w:numId w:val="78"/>
        </w:numPr>
        <w:rPr>
          <w:rFonts w:ascii="Calibri" w:cs="Calibri" w:eastAsia="Calibri" w:hAnsi="Calibri"/>
          <w:sz w:val="17"/>
          <w:szCs w:val="17"/>
          <w:color w:val="002E6D"/>
        </w:rPr>
      </w:pPr>
      <w:r>
        <w:rPr>
          <w:rFonts w:ascii="Calibri" w:cs="Calibri" w:eastAsia="Calibri" w:hAnsi="Calibri"/>
          <w:sz w:val="17"/>
          <w:szCs w:val="17"/>
          <w:color w:val="auto"/>
        </w:rPr>
        <w:t>Global Industry Classifcaton Standard - GICS 2010 - Capital Goods</w:t>
      </w:r>
    </w:p>
    <w:p>
      <w:pPr>
        <w:spacing w:after="0" w:line="62" w:lineRule="exact"/>
        <w:rPr>
          <w:rFonts w:ascii="Calibri" w:cs="Calibri" w:eastAsia="Calibri" w:hAnsi="Calibri"/>
          <w:sz w:val="17"/>
          <w:szCs w:val="17"/>
          <w:color w:val="002E6D"/>
        </w:rPr>
      </w:pPr>
    </w:p>
    <w:p>
      <w:pPr>
        <w:ind w:left="240" w:hanging="151"/>
        <w:spacing w:after="0"/>
        <w:tabs>
          <w:tab w:leader="none" w:pos="240" w:val="left"/>
        </w:tabs>
        <w:numPr>
          <w:ilvl w:val="0"/>
          <w:numId w:val="78"/>
        </w:numPr>
        <w:rPr>
          <w:rFonts w:ascii="Calibri" w:cs="Calibri" w:eastAsia="Calibri" w:hAnsi="Calibri"/>
          <w:sz w:val="17"/>
          <w:szCs w:val="17"/>
          <w:color w:val="002E6D"/>
        </w:rPr>
      </w:pPr>
      <w:r>
        <w:rPr>
          <w:rFonts w:ascii="Calibri" w:cs="Calibri" w:eastAsia="Calibri" w:hAnsi="Calibri"/>
          <w:sz w:val="17"/>
          <w:szCs w:val="17"/>
          <w:color w:val="auto"/>
        </w:rPr>
        <w:t>Listed on a major U.S. index</w:t>
      </w:r>
    </w:p>
    <w:p>
      <w:pPr>
        <w:spacing w:after="0" w:line="62" w:lineRule="exact"/>
        <w:rPr>
          <w:rFonts w:ascii="Calibri" w:cs="Calibri" w:eastAsia="Calibri" w:hAnsi="Calibri"/>
          <w:sz w:val="17"/>
          <w:szCs w:val="17"/>
          <w:color w:val="002E6D"/>
        </w:rPr>
      </w:pPr>
    </w:p>
    <w:p>
      <w:pPr>
        <w:ind w:left="240" w:hanging="151"/>
        <w:spacing w:after="0"/>
        <w:tabs>
          <w:tab w:leader="none" w:pos="240" w:val="left"/>
        </w:tabs>
        <w:numPr>
          <w:ilvl w:val="0"/>
          <w:numId w:val="78"/>
        </w:numPr>
        <w:rPr>
          <w:rFonts w:ascii="Calibri" w:cs="Calibri" w:eastAsia="Calibri" w:hAnsi="Calibri"/>
          <w:sz w:val="17"/>
          <w:szCs w:val="17"/>
          <w:color w:val="002E6D"/>
        </w:rPr>
      </w:pPr>
      <w:r>
        <w:rPr>
          <w:rFonts w:ascii="Calibri" w:cs="Calibri" w:eastAsia="Calibri" w:hAnsi="Calibri"/>
          <w:sz w:val="17"/>
          <w:szCs w:val="17"/>
          <w:color w:val="auto"/>
        </w:rPr>
        <w:t>Revenue &gt;$10B and Market cap &gt;$5B</w:t>
      </w:r>
    </w:p>
    <w:p>
      <w:pPr>
        <w:spacing w:after="0" w:line="130" w:lineRule="exact"/>
        <w:rPr>
          <w:sz w:val="20"/>
          <w:szCs w:val="20"/>
          <w:color w:val="auto"/>
        </w:rPr>
      </w:pPr>
    </w:p>
    <w:p>
      <w:pPr>
        <w:spacing w:after="0"/>
        <w:rPr>
          <w:sz w:val="20"/>
          <w:szCs w:val="20"/>
          <w:color w:val="auto"/>
        </w:rPr>
      </w:pPr>
      <w:r>
        <w:rPr>
          <w:rFonts w:ascii="Calibri" w:cs="Calibri" w:eastAsia="Calibri" w:hAnsi="Calibri"/>
          <w:sz w:val="17"/>
          <w:szCs w:val="17"/>
          <w:color w:val="auto"/>
        </w:rPr>
        <w:t>The Relatve TSR Comparators for the 2022-2024 performance cycle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291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color w:val="475C90"/>
        </w:rPr>
        <w:t>2022-2024 Relative TSR Comparators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40" w:type="dxa"/>
            <w:vAlign w:val="bottom"/>
          </w:tcPr>
          <w:p>
            <w:pPr>
              <w:ind w:left="100"/>
              <w:spacing w:after="0"/>
              <w:rPr>
                <w:sz w:val="20"/>
                <w:szCs w:val="20"/>
                <w:color w:val="auto"/>
              </w:rPr>
            </w:pPr>
            <w:r>
              <w:rPr>
                <w:rFonts w:ascii="Calibri" w:cs="Calibri" w:eastAsia="Calibri" w:hAnsi="Calibri"/>
                <w:sz w:val="16"/>
                <w:szCs w:val="16"/>
                <w:color w:val="auto"/>
              </w:rPr>
              <w:t>3M Company</w:t>
            </w:r>
          </w:p>
        </w:tc>
        <w:tc>
          <w:tcPr>
            <w:tcW w:w="4000" w:type="dxa"/>
            <w:vAlign w:val="bottom"/>
          </w:tcPr>
          <w:p>
            <w:pPr>
              <w:ind w:left="1000"/>
              <w:spacing w:after="0"/>
              <w:rPr>
                <w:sz w:val="20"/>
                <w:szCs w:val="20"/>
                <w:color w:val="auto"/>
              </w:rPr>
            </w:pPr>
            <w:r>
              <w:rPr>
                <w:rFonts w:ascii="Calibri" w:cs="Calibri" w:eastAsia="Calibri" w:hAnsi="Calibri"/>
                <w:sz w:val="16"/>
                <w:szCs w:val="16"/>
                <w:color w:val="auto"/>
              </w:rPr>
              <w:t>General Dynamics Corporaton</w:t>
            </w:r>
          </w:p>
        </w:tc>
        <w:tc>
          <w:tcPr>
            <w:tcW w:w="4400" w:type="dxa"/>
            <w:vAlign w:val="bottom"/>
          </w:tcPr>
          <w:p>
            <w:pPr>
              <w:ind w:left="740"/>
              <w:spacing w:after="0"/>
              <w:rPr>
                <w:sz w:val="20"/>
                <w:szCs w:val="20"/>
                <w:color w:val="auto"/>
              </w:rPr>
            </w:pPr>
            <w:r>
              <w:rPr>
                <w:rFonts w:ascii="Calibri" w:cs="Calibri" w:eastAsia="Calibri" w:hAnsi="Calibri"/>
                <w:sz w:val="16"/>
                <w:szCs w:val="16"/>
                <w:color w:val="auto"/>
              </w:rPr>
              <w:t>Quanta Services, Inc.</w:t>
            </w:r>
          </w:p>
        </w:tc>
      </w:tr>
      <w:tr>
        <w:trPr>
          <w:trHeight w:val="270"/>
        </w:trPr>
        <w:tc>
          <w:tcPr>
            <w:tcW w:w="2840" w:type="dxa"/>
            <w:vAlign w:val="bottom"/>
          </w:tcPr>
          <w:p>
            <w:pPr>
              <w:ind w:left="100"/>
              <w:spacing w:after="0"/>
              <w:rPr>
                <w:sz w:val="20"/>
                <w:szCs w:val="20"/>
                <w:color w:val="auto"/>
              </w:rPr>
            </w:pPr>
            <w:r>
              <w:rPr>
                <w:rFonts w:ascii="Calibri" w:cs="Calibri" w:eastAsia="Calibri" w:hAnsi="Calibri"/>
                <w:sz w:val="16"/>
                <w:szCs w:val="16"/>
                <w:color w:val="auto"/>
              </w:rPr>
              <w:t>AECOM</w:t>
            </w:r>
          </w:p>
        </w:tc>
        <w:tc>
          <w:tcPr>
            <w:tcW w:w="4000" w:type="dxa"/>
            <w:vAlign w:val="bottom"/>
          </w:tcPr>
          <w:p>
            <w:pPr>
              <w:ind w:left="1000"/>
              <w:spacing w:after="0"/>
              <w:rPr>
                <w:sz w:val="20"/>
                <w:szCs w:val="20"/>
                <w:color w:val="auto"/>
              </w:rPr>
            </w:pPr>
            <w:r>
              <w:rPr>
                <w:rFonts w:ascii="Calibri" w:cs="Calibri" w:eastAsia="Calibri" w:hAnsi="Calibri"/>
                <w:sz w:val="16"/>
                <w:szCs w:val="16"/>
                <w:color w:val="auto"/>
              </w:rPr>
              <w:t>General Electric Company</w:t>
            </w:r>
          </w:p>
        </w:tc>
        <w:tc>
          <w:tcPr>
            <w:tcW w:w="4400" w:type="dxa"/>
            <w:vAlign w:val="bottom"/>
          </w:tcPr>
          <w:p>
            <w:pPr>
              <w:ind w:left="740"/>
              <w:spacing w:after="0"/>
              <w:rPr>
                <w:sz w:val="20"/>
                <w:szCs w:val="20"/>
                <w:color w:val="auto"/>
              </w:rPr>
            </w:pPr>
            <w:r>
              <w:rPr>
                <w:rFonts w:ascii="Calibri" w:cs="Calibri" w:eastAsia="Calibri" w:hAnsi="Calibri"/>
                <w:sz w:val="16"/>
                <w:szCs w:val="16"/>
                <w:color w:val="auto"/>
              </w:rPr>
              <w:t>Raytheon Technologies</w:t>
            </w:r>
          </w:p>
        </w:tc>
      </w:tr>
      <w:tr>
        <w:trPr>
          <w:trHeight w:val="216"/>
        </w:trPr>
        <w:tc>
          <w:tcPr>
            <w:tcW w:w="2840" w:type="dxa"/>
            <w:vAlign w:val="bottom"/>
          </w:tcPr>
          <w:p>
            <w:pPr>
              <w:ind w:left="100"/>
              <w:spacing w:after="0"/>
              <w:rPr>
                <w:sz w:val="20"/>
                <w:szCs w:val="20"/>
                <w:color w:val="auto"/>
              </w:rPr>
            </w:pPr>
            <w:r>
              <w:rPr>
                <w:rFonts w:ascii="Calibri" w:cs="Calibri" w:eastAsia="Calibri" w:hAnsi="Calibri"/>
                <w:sz w:val="16"/>
                <w:szCs w:val="16"/>
                <w:color w:val="auto"/>
              </w:rPr>
              <w:t>AGCO Corporaton</w:t>
            </w:r>
          </w:p>
        </w:tc>
        <w:tc>
          <w:tcPr>
            <w:tcW w:w="4000" w:type="dxa"/>
            <w:vAlign w:val="bottom"/>
          </w:tcPr>
          <w:p>
            <w:pPr>
              <w:ind w:left="1000"/>
              <w:spacing w:after="0"/>
              <w:rPr>
                <w:sz w:val="20"/>
                <w:szCs w:val="20"/>
                <w:color w:val="auto"/>
              </w:rPr>
            </w:pPr>
            <w:r>
              <w:rPr>
                <w:rFonts w:ascii="Calibri" w:cs="Calibri" w:eastAsia="Calibri" w:hAnsi="Calibri"/>
                <w:sz w:val="16"/>
                <w:szCs w:val="16"/>
                <w:color w:val="auto"/>
              </w:rPr>
              <w:t>Honeywell Internatonal Inc.</w:t>
            </w:r>
          </w:p>
        </w:tc>
        <w:tc>
          <w:tcPr>
            <w:tcW w:w="4400" w:type="dxa"/>
            <w:vAlign w:val="bottom"/>
          </w:tcPr>
          <w:p>
            <w:pPr>
              <w:ind w:left="740"/>
              <w:spacing w:after="0"/>
              <w:rPr>
                <w:sz w:val="20"/>
                <w:szCs w:val="20"/>
                <w:color w:val="auto"/>
              </w:rPr>
            </w:pPr>
            <w:r>
              <w:rPr>
                <w:rFonts w:ascii="Calibri" w:cs="Calibri" w:eastAsia="Calibri" w:hAnsi="Calibri"/>
                <w:sz w:val="16"/>
                <w:szCs w:val="16"/>
                <w:color w:val="auto"/>
              </w:rPr>
              <w:t>Stanley Black &amp; Decker, Inc.</w:t>
            </w:r>
          </w:p>
        </w:tc>
      </w:tr>
      <w:tr>
        <w:trPr>
          <w:trHeight w:val="216"/>
        </w:trPr>
        <w:tc>
          <w:tcPr>
            <w:tcW w:w="2840" w:type="dxa"/>
            <w:vAlign w:val="bottom"/>
          </w:tcPr>
          <w:p>
            <w:pPr>
              <w:ind w:left="100"/>
              <w:spacing w:after="0"/>
              <w:rPr>
                <w:sz w:val="20"/>
                <w:szCs w:val="20"/>
                <w:color w:val="auto"/>
              </w:rPr>
            </w:pPr>
            <w:r>
              <w:rPr>
                <w:rFonts w:ascii="Calibri" w:cs="Calibri" w:eastAsia="Calibri" w:hAnsi="Calibri"/>
                <w:sz w:val="16"/>
                <w:szCs w:val="16"/>
                <w:color w:val="auto"/>
              </w:rPr>
              <w:t>Builders FirstSource, Inc.</w:t>
            </w:r>
          </w:p>
        </w:tc>
        <w:tc>
          <w:tcPr>
            <w:tcW w:w="4000" w:type="dxa"/>
            <w:vAlign w:val="bottom"/>
          </w:tcPr>
          <w:p>
            <w:pPr>
              <w:ind w:left="1000"/>
              <w:spacing w:after="0"/>
              <w:rPr>
                <w:sz w:val="20"/>
                <w:szCs w:val="20"/>
                <w:color w:val="auto"/>
              </w:rPr>
            </w:pPr>
            <w:r>
              <w:rPr>
                <w:rFonts w:ascii="Calibri" w:cs="Calibri" w:eastAsia="Calibri" w:hAnsi="Calibri"/>
                <w:sz w:val="16"/>
                <w:szCs w:val="16"/>
                <w:color w:val="auto"/>
              </w:rPr>
              <w:t>Illinois Tool Works Inc.</w:t>
            </w:r>
          </w:p>
        </w:tc>
        <w:tc>
          <w:tcPr>
            <w:tcW w:w="4400" w:type="dxa"/>
            <w:vAlign w:val="bottom"/>
          </w:tcPr>
          <w:p>
            <w:pPr>
              <w:ind w:left="740"/>
              <w:spacing w:after="0"/>
              <w:rPr>
                <w:sz w:val="20"/>
                <w:szCs w:val="20"/>
                <w:color w:val="auto"/>
              </w:rPr>
            </w:pPr>
            <w:r>
              <w:rPr>
                <w:rFonts w:ascii="Calibri" w:cs="Calibri" w:eastAsia="Calibri" w:hAnsi="Calibri"/>
                <w:sz w:val="16"/>
                <w:szCs w:val="16"/>
                <w:color w:val="auto"/>
              </w:rPr>
              <w:t>Textron Inc</w:t>
            </w:r>
          </w:p>
        </w:tc>
      </w:tr>
      <w:tr>
        <w:trPr>
          <w:trHeight w:val="216"/>
        </w:trPr>
        <w:tc>
          <w:tcPr>
            <w:tcW w:w="2840" w:type="dxa"/>
            <w:vAlign w:val="bottom"/>
          </w:tcPr>
          <w:p>
            <w:pPr>
              <w:ind w:left="100"/>
              <w:spacing w:after="0"/>
              <w:rPr>
                <w:sz w:val="20"/>
                <w:szCs w:val="20"/>
                <w:color w:val="auto"/>
              </w:rPr>
            </w:pPr>
            <w:r>
              <w:rPr>
                <w:rFonts w:ascii="Calibri" w:cs="Calibri" w:eastAsia="Calibri" w:hAnsi="Calibri"/>
                <w:sz w:val="16"/>
                <w:szCs w:val="16"/>
                <w:color w:val="auto"/>
              </w:rPr>
              <w:t>Carrier Global Corporaton</w:t>
            </w:r>
          </w:p>
        </w:tc>
        <w:tc>
          <w:tcPr>
            <w:tcW w:w="4000" w:type="dxa"/>
            <w:vAlign w:val="bottom"/>
          </w:tcPr>
          <w:p>
            <w:pPr>
              <w:ind w:left="1000"/>
              <w:spacing w:after="0"/>
              <w:rPr>
                <w:sz w:val="20"/>
                <w:szCs w:val="20"/>
                <w:color w:val="auto"/>
              </w:rPr>
            </w:pPr>
            <w:r>
              <w:rPr>
                <w:rFonts w:ascii="Calibri" w:cs="Calibri" w:eastAsia="Calibri" w:hAnsi="Calibri"/>
                <w:sz w:val="16"/>
                <w:szCs w:val="16"/>
                <w:color w:val="auto"/>
              </w:rPr>
              <w:t>Johnson Controls Internatonal plc</w:t>
            </w:r>
          </w:p>
        </w:tc>
        <w:tc>
          <w:tcPr>
            <w:tcW w:w="4400" w:type="dxa"/>
            <w:vAlign w:val="bottom"/>
          </w:tcPr>
          <w:p>
            <w:pPr>
              <w:ind w:left="740"/>
              <w:spacing w:after="0"/>
              <w:rPr>
                <w:sz w:val="20"/>
                <w:szCs w:val="20"/>
                <w:color w:val="auto"/>
              </w:rPr>
            </w:pPr>
            <w:r>
              <w:rPr>
                <w:rFonts w:ascii="Calibri" w:cs="Calibri" w:eastAsia="Calibri" w:hAnsi="Calibri"/>
                <w:sz w:val="16"/>
                <w:szCs w:val="16"/>
                <w:color w:val="auto"/>
              </w:rPr>
              <w:t>The Boeing Company</w:t>
            </w:r>
          </w:p>
        </w:tc>
      </w:tr>
      <w:tr>
        <w:trPr>
          <w:trHeight w:val="216"/>
        </w:trPr>
        <w:tc>
          <w:tcPr>
            <w:tcW w:w="2840" w:type="dxa"/>
            <w:vAlign w:val="bottom"/>
          </w:tcPr>
          <w:p>
            <w:pPr>
              <w:ind w:left="100"/>
              <w:spacing w:after="0"/>
              <w:rPr>
                <w:sz w:val="20"/>
                <w:szCs w:val="20"/>
                <w:color w:val="auto"/>
              </w:rPr>
            </w:pPr>
            <w:r>
              <w:rPr>
                <w:rFonts w:ascii="Calibri" w:cs="Calibri" w:eastAsia="Calibri" w:hAnsi="Calibri"/>
                <w:sz w:val="16"/>
                <w:szCs w:val="16"/>
                <w:color w:val="auto"/>
              </w:rPr>
              <w:t>Caterpillar Inc.</w:t>
            </w:r>
          </w:p>
        </w:tc>
        <w:tc>
          <w:tcPr>
            <w:tcW w:w="4000" w:type="dxa"/>
            <w:vAlign w:val="bottom"/>
          </w:tcPr>
          <w:p>
            <w:pPr>
              <w:ind w:left="1000"/>
              <w:spacing w:after="0"/>
              <w:rPr>
                <w:sz w:val="20"/>
                <w:szCs w:val="20"/>
                <w:color w:val="auto"/>
              </w:rPr>
            </w:pPr>
            <w:r>
              <w:rPr>
                <w:rFonts w:ascii="Calibri" w:cs="Calibri" w:eastAsia="Calibri" w:hAnsi="Calibri"/>
                <w:sz w:val="16"/>
                <w:szCs w:val="16"/>
                <w:color w:val="auto"/>
              </w:rPr>
              <w:t>L3Harris Technologies, Inc.</w:t>
            </w:r>
          </w:p>
        </w:tc>
        <w:tc>
          <w:tcPr>
            <w:tcW w:w="4400" w:type="dxa"/>
            <w:vAlign w:val="bottom"/>
          </w:tcPr>
          <w:p>
            <w:pPr>
              <w:ind w:left="740"/>
              <w:spacing w:after="0"/>
              <w:rPr>
                <w:sz w:val="20"/>
                <w:szCs w:val="20"/>
                <w:color w:val="auto"/>
              </w:rPr>
            </w:pPr>
            <w:r>
              <w:rPr>
                <w:rFonts w:ascii="Calibri" w:cs="Calibri" w:eastAsia="Calibri" w:hAnsi="Calibri"/>
                <w:sz w:val="16"/>
                <w:szCs w:val="16"/>
                <w:color w:val="auto"/>
              </w:rPr>
              <w:t>Trane Technologies plc</w:t>
            </w:r>
          </w:p>
        </w:tc>
      </w:tr>
      <w:tr>
        <w:trPr>
          <w:trHeight w:val="270"/>
        </w:trPr>
        <w:tc>
          <w:tcPr>
            <w:tcW w:w="2840" w:type="dxa"/>
            <w:vAlign w:val="bottom"/>
          </w:tcPr>
          <w:p>
            <w:pPr>
              <w:ind w:left="100"/>
              <w:spacing w:after="0"/>
              <w:rPr>
                <w:sz w:val="20"/>
                <w:szCs w:val="20"/>
                <w:color w:val="auto"/>
              </w:rPr>
            </w:pPr>
            <w:r>
              <w:rPr>
                <w:rFonts w:ascii="Calibri" w:cs="Calibri" w:eastAsia="Calibri" w:hAnsi="Calibri"/>
                <w:sz w:val="16"/>
                <w:szCs w:val="16"/>
                <w:color w:val="auto"/>
              </w:rPr>
              <w:t>Cummins Inc.</w:t>
            </w:r>
          </w:p>
        </w:tc>
        <w:tc>
          <w:tcPr>
            <w:tcW w:w="4000" w:type="dxa"/>
            <w:vAlign w:val="bottom"/>
          </w:tcPr>
          <w:p>
            <w:pPr>
              <w:ind w:left="1000"/>
              <w:spacing w:after="0"/>
              <w:rPr>
                <w:sz w:val="20"/>
                <w:szCs w:val="20"/>
                <w:color w:val="auto"/>
              </w:rPr>
            </w:pPr>
            <w:r>
              <w:rPr>
                <w:rFonts w:ascii="Calibri" w:cs="Calibri" w:eastAsia="Calibri" w:hAnsi="Calibri"/>
                <w:sz w:val="16"/>
                <w:szCs w:val="16"/>
                <w:color w:val="auto"/>
              </w:rPr>
              <w:t>Northrop Grumman Corporaton</w:t>
            </w:r>
          </w:p>
        </w:tc>
        <w:tc>
          <w:tcPr>
            <w:tcW w:w="4400" w:type="dxa"/>
            <w:vAlign w:val="bottom"/>
          </w:tcPr>
          <w:p>
            <w:pPr>
              <w:ind w:left="740"/>
              <w:spacing w:after="0"/>
              <w:rPr>
                <w:sz w:val="20"/>
                <w:szCs w:val="20"/>
                <w:color w:val="auto"/>
              </w:rPr>
            </w:pPr>
            <w:r>
              <w:rPr>
                <w:rFonts w:ascii="Calibri" w:cs="Calibri" w:eastAsia="Calibri" w:hAnsi="Calibri"/>
                <w:sz w:val="16"/>
                <w:szCs w:val="16"/>
                <w:color w:val="auto"/>
              </w:rPr>
              <w:t>W.W. Grainger, Inc.</w:t>
            </w:r>
          </w:p>
        </w:tc>
      </w:tr>
      <w:tr>
        <w:trPr>
          <w:trHeight w:val="270"/>
        </w:trPr>
        <w:tc>
          <w:tcPr>
            <w:tcW w:w="2840" w:type="dxa"/>
            <w:vAlign w:val="bottom"/>
          </w:tcPr>
          <w:p>
            <w:pPr>
              <w:ind w:left="100"/>
              <w:spacing w:after="0"/>
              <w:rPr>
                <w:sz w:val="20"/>
                <w:szCs w:val="20"/>
                <w:color w:val="auto"/>
              </w:rPr>
            </w:pPr>
            <w:r>
              <w:rPr>
                <w:rFonts w:ascii="Calibri" w:cs="Calibri" w:eastAsia="Calibri" w:hAnsi="Calibri"/>
                <w:sz w:val="16"/>
                <w:szCs w:val="16"/>
                <w:color w:val="auto"/>
              </w:rPr>
              <w:t>Deere &amp; Company</w:t>
            </w:r>
          </w:p>
        </w:tc>
        <w:tc>
          <w:tcPr>
            <w:tcW w:w="4000" w:type="dxa"/>
            <w:vAlign w:val="bottom"/>
          </w:tcPr>
          <w:p>
            <w:pPr>
              <w:ind w:left="1000"/>
              <w:spacing w:after="0"/>
              <w:rPr>
                <w:sz w:val="20"/>
                <w:szCs w:val="20"/>
                <w:color w:val="auto"/>
              </w:rPr>
            </w:pPr>
            <w:r>
              <w:rPr>
                <w:rFonts w:ascii="Calibri" w:cs="Calibri" w:eastAsia="Calibri" w:hAnsi="Calibri"/>
                <w:sz w:val="16"/>
                <w:szCs w:val="16"/>
                <w:color w:val="auto"/>
              </w:rPr>
              <w:t>Ots Worldwide Corporaton</w:t>
            </w:r>
          </w:p>
        </w:tc>
        <w:tc>
          <w:tcPr>
            <w:tcW w:w="4400" w:type="dxa"/>
            <w:vAlign w:val="bottom"/>
          </w:tcPr>
          <w:p>
            <w:pPr>
              <w:ind w:left="740"/>
              <w:spacing w:after="0"/>
              <w:rPr>
                <w:sz w:val="20"/>
                <w:szCs w:val="20"/>
                <w:color w:val="auto"/>
              </w:rPr>
            </w:pPr>
            <w:r>
              <w:rPr>
                <w:rFonts w:ascii="Calibri" w:cs="Calibri" w:eastAsia="Calibri" w:hAnsi="Calibri"/>
                <w:sz w:val="16"/>
                <w:szCs w:val="16"/>
                <w:color w:val="auto"/>
              </w:rPr>
              <w:t>WESCO Internatonal, Inc.</w:t>
            </w:r>
          </w:p>
        </w:tc>
      </w:tr>
      <w:tr>
        <w:trPr>
          <w:trHeight w:val="270"/>
        </w:trPr>
        <w:tc>
          <w:tcPr>
            <w:tcW w:w="2840" w:type="dxa"/>
            <w:vAlign w:val="bottom"/>
          </w:tcPr>
          <w:p>
            <w:pPr>
              <w:ind w:left="100"/>
              <w:spacing w:after="0"/>
              <w:rPr>
                <w:sz w:val="20"/>
                <w:szCs w:val="20"/>
                <w:color w:val="auto"/>
              </w:rPr>
            </w:pPr>
            <w:r>
              <w:rPr>
                <w:rFonts w:ascii="Calibri" w:cs="Calibri" w:eastAsia="Calibri" w:hAnsi="Calibri"/>
                <w:sz w:val="16"/>
                <w:szCs w:val="16"/>
                <w:color w:val="auto"/>
              </w:rPr>
              <w:t>Eaton Corporaton plc</w:t>
            </w:r>
          </w:p>
        </w:tc>
        <w:tc>
          <w:tcPr>
            <w:tcW w:w="4000" w:type="dxa"/>
            <w:vAlign w:val="bottom"/>
          </w:tcPr>
          <w:p>
            <w:pPr>
              <w:ind w:left="1000"/>
              <w:spacing w:after="0"/>
              <w:rPr>
                <w:sz w:val="20"/>
                <w:szCs w:val="20"/>
                <w:color w:val="auto"/>
              </w:rPr>
            </w:pPr>
            <w:r>
              <w:rPr>
                <w:rFonts w:ascii="Calibri" w:cs="Calibri" w:eastAsia="Calibri" w:hAnsi="Calibri"/>
                <w:sz w:val="16"/>
                <w:szCs w:val="16"/>
                <w:color w:val="auto"/>
              </w:rPr>
              <w:t>PACCAR Inc</w:t>
            </w:r>
          </w:p>
        </w:tc>
        <w:tc>
          <w:tcPr>
            <w:tcW w:w="4400" w:type="dxa"/>
            <w:vAlign w:val="bottom"/>
          </w:tcPr>
          <w:p>
            <w:pPr>
              <w:spacing w:after="0"/>
              <w:rPr>
                <w:sz w:val="23"/>
                <w:szCs w:val="23"/>
                <w:color w:val="auto"/>
              </w:rPr>
            </w:pPr>
          </w:p>
        </w:tc>
      </w:tr>
      <w:tr>
        <w:trPr>
          <w:trHeight w:val="270"/>
        </w:trPr>
        <w:tc>
          <w:tcPr>
            <w:tcW w:w="2840" w:type="dxa"/>
            <w:vAlign w:val="bottom"/>
          </w:tcPr>
          <w:p>
            <w:pPr>
              <w:ind w:left="100"/>
              <w:spacing w:after="0"/>
              <w:rPr>
                <w:sz w:val="20"/>
                <w:szCs w:val="20"/>
                <w:color w:val="auto"/>
              </w:rPr>
            </w:pPr>
            <w:r>
              <w:rPr>
                <w:rFonts w:ascii="Calibri" w:cs="Calibri" w:eastAsia="Calibri" w:hAnsi="Calibri"/>
                <w:sz w:val="16"/>
                <w:szCs w:val="16"/>
                <w:color w:val="auto"/>
              </w:rPr>
              <w:t>Emerson Electric Co.</w:t>
            </w:r>
          </w:p>
        </w:tc>
        <w:tc>
          <w:tcPr>
            <w:tcW w:w="4000" w:type="dxa"/>
            <w:vAlign w:val="bottom"/>
          </w:tcPr>
          <w:p>
            <w:pPr>
              <w:ind w:left="1000"/>
              <w:spacing w:after="0"/>
              <w:rPr>
                <w:sz w:val="20"/>
                <w:szCs w:val="20"/>
                <w:color w:val="auto"/>
              </w:rPr>
            </w:pPr>
            <w:r>
              <w:rPr>
                <w:rFonts w:ascii="Calibri" w:cs="Calibri" w:eastAsia="Calibri" w:hAnsi="Calibri"/>
                <w:sz w:val="16"/>
                <w:szCs w:val="16"/>
                <w:color w:val="auto"/>
              </w:rPr>
              <w:t>Parker-Hannifn Corporaton</w:t>
            </w:r>
          </w:p>
        </w:tc>
        <w:tc>
          <w:tcPr>
            <w:tcW w:w="4400" w:type="dxa"/>
            <w:vAlign w:val="bottom"/>
          </w:tcPr>
          <w:p>
            <w:pPr>
              <w:spacing w:after="0"/>
              <w:rPr>
                <w:sz w:val="23"/>
                <w:szCs w:val="23"/>
                <w:color w:val="auto"/>
              </w:rPr>
            </w:pPr>
          </w:p>
        </w:tc>
      </w:tr>
      <w:tr>
        <w:trPr>
          <w:trHeight w:val="81"/>
        </w:trPr>
        <w:tc>
          <w:tcPr>
            <w:tcW w:w="2840" w:type="dxa"/>
            <w:vAlign w:val="bottom"/>
            <w:tcBorders>
              <w:bottom w:val="single" w:sz="8" w:color="003478"/>
            </w:tcBorders>
          </w:tcPr>
          <w:p>
            <w:pPr>
              <w:spacing w:after="0"/>
              <w:rPr>
                <w:sz w:val="7"/>
                <w:szCs w:val="7"/>
                <w:color w:val="auto"/>
              </w:rPr>
            </w:pPr>
          </w:p>
        </w:tc>
        <w:tc>
          <w:tcPr>
            <w:tcW w:w="4000" w:type="dxa"/>
            <w:vAlign w:val="bottom"/>
            <w:tcBorders>
              <w:bottom w:val="single" w:sz="8" w:color="003478"/>
            </w:tcBorders>
          </w:tcPr>
          <w:p>
            <w:pPr>
              <w:spacing w:after="0"/>
              <w:rPr>
                <w:sz w:val="7"/>
                <w:szCs w:val="7"/>
                <w:color w:val="auto"/>
              </w:rPr>
            </w:pPr>
          </w:p>
        </w:tc>
        <w:tc>
          <w:tcPr>
            <w:tcW w:w="4400" w:type="dxa"/>
            <w:vAlign w:val="bottom"/>
            <w:tcBorders>
              <w:bottom w:val="single" w:sz="8" w:color="003478"/>
            </w:tcBorders>
          </w:tcPr>
          <w:p>
            <w:pPr>
              <w:spacing w:after="0"/>
              <w:rPr>
                <w:sz w:val="7"/>
                <w:szCs w:val="7"/>
                <w:color w:val="auto"/>
              </w:rPr>
            </w:pPr>
          </w:p>
        </w:tc>
      </w:tr>
    </w:tbl>
    <w:p>
      <w:pPr>
        <w:spacing w:after="0" w:line="189" w:lineRule="exact"/>
        <w:rPr>
          <w:sz w:val="20"/>
          <w:szCs w:val="20"/>
          <w:color w:val="auto"/>
        </w:rPr>
      </w:pPr>
    </w:p>
    <w:p>
      <w:pPr>
        <w:ind w:right="140"/>
        <w:spacing w:after="0" w:line="255" w:lineRule="auto"/>
        <w:rPr>
          <w:sz w:val="20"/>
          <w:szCs w:val="20"/>
          <w:color w:val="auto"/>
        </w:rPr>
      </w:pPr>
      <w:r>
        <w:rPr>
          <w:rFonts w:ascii="Calibri" w:cs="Calibri" w:eastAsia="Calibri" w:hAnsi="Calibri"/>
          <w:sz w:val="17"/>
          <w:szCs w:val="17"/>
          <w:color w:val="auto"/>
        </w:rPr>
        <w:t>Because the Relatve TSR index is not perfectly aligned with the businesses in which Lockheed Martn operates and because any number of macro-economic factors that could afect market performance are beyond the control of the Company, we use ROIC and Free Cash Flow as internal measures that are directly afected by management’s decisions. While Relatve TSR ensures a direct linkage between stockholder returns and realized compensaton, ROIC measures how efectvely we employ our capital over tme, with Free Cash Flow providing the means for investment and value creaton. Our internal fnancial metrics, ROIC and Free Cash Flow, are also critcal because we believe these metrics are key drivers of long-term stockholder value. By including a cash measure in both our annual and long-term incentve plans, the plans mitgate the risk of short-term cash strategies that do not create long-term value.</w:t>
      </w:r>
    </w:p>
    <w:p>
      <w:pPr>
        <w:spacing w:after="0" w:line="108" w:lineRule="exact"/>
        <w:rPr>
          <w:sz w:val="20"/>
          <w:szCs w:val="20"/>
          <w:color w:val="auto"/>
        </w:rPr>
      </w:pPr>
    </w:p>
    <w:p>
      <w:pPr>
        <w:ind w:right="900"/>
        <w:spacing w:after="0" w:line="261" w:lineRule="auto"/>
        <w:rPr>
          <w:sz w:val="20"/>
          <w:szCs w:val="20"/>
          <w:color w:val="auto"/>
        </w:rPr>
      </w:pPr>
      <w:r>
        <w:rPr>
          <w:rFonts w:ascii="Calibri" w:cs="Calibri" w:eastAsia="Calibri" w:hAnsi="Calibri"/>
          <w:sz w:val="17"/>
          <w:szCs w:val="17"/>
          <w:color w:val="auto"/>
        </w:rPr>
        <w:t>In tandem, we believe that these metrics drive the behaviors of our management team in ways that are intended to create the most value for our stockholders.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003478"/>
        </w:rPr>
        <w:t>Setting Performance Goals for PSUs and LTIP</w:t>
      </w:r>
    </w:p>
    <w:p>
      <w:pPr>
        <w:spacing w:after="0" w:line="129" w:lineRule="exact"/>
        <w:rPr>
          <w:sz w:val="20"/>
          <w:szCs w:val="20"/>
          <w:color w:val="auto"/>
        </w:rPr>
      </w:pPr>
    </w:p>
    <w:p>
      <w:pPr>
        <w:ind w:right="20"/>
        <w:spacing w:after="0" w:line="253" w:lineRule="auto"/>
        <w:rPr>
          <w:sz w:val="20"/>
          <w:szCs w:val="20"/>
          <w:color w:val="auto"/>
        </w:rPr>
      </w:pPr>
      <w:r>
        <w:rPr>
          <w:rFonts w:ascii="Calibri" w:cs="Calibri" w:eastAsia="Calibri" w:hAnsi="Calibri"/>
          <w:sz w:val="17"/>
          <w:szCs w:val="17"/>
          <w:color w:val="auto"/>
        </w:rPr>
        <w:t>Our long-range planning process is used to establish the target (100% level of payment) for the Free Cash Flow and ROIC metrics in the PSU and LTIP grants. In setng minimum and maximum levels of payment, we reviewed historical levels of performance against long-range plan commitments, and conducted sensitvity analyses on alternatve outcomes focused on identfying likely minimum and maximum boundary performance levels. Levels between 100% and the minimum and maximum levels were derived using linear interpolaton between the performance hurdles.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335915</wp:posOffset>
            </wp:positionV>
            <wp:extent cx="1071880" cy="1803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8" w:name="page59"/>
    <w:bookmarkEnd w:id="58"/>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60" w:lineRule="exact"/>
        <w:rPr>
          <w:sz w:val="20"/>
          <w:szCs w:val="20"/>
          <w:color w:val="auto"/>
        </w:rPr>
      </w:pPr>
    </w:p>
    <w:p>
      <w:pPr>
        <w:ind w:right="300"/>
        <w:spacing w:after="0" w:line="247" w:lineRule="auto"/>
        <w:rPr>
          <w:sz w:val="20"/>
          <w:szCs w:val="20"/>
          <w:color w:val="auto"/>
        </w:rPr>
      </w:pPr>
      <w:r>
        <w:rPr>
          <w:rFonts w:ascii="Calibri" w:cs="Calibri" w:eastAsia="Calibri" w:hAnsi="Calibri"/>
          <w:sz w:val="17"/>
          <w:szCs w:val="17"/>
          <w:color w:val="auto"/>
        </w:rPr>
        <w:t>The specifc Free Cash Flow and ROIC target values for the 2022-2024 PSU and LTIP grants are not publicly disclosed at the tme of grant due to the proprietary nature and compettve sensitvity of the informaton. However, the method used to calculate the awards will be based on actual performance compared to the Company’s 2022-2024 targets, which use straight-line interpolaton between points.</w:t>
      </w:r>
    </w:p>
    <w:p>
      <w:pPr>
        <w:spacing w:after="0" w:line="88" w:lineRule="exact"/>
        <w:rPr>
          <w:sz w:val="20"/>
          <w:szCs w:val="20"/>
          <w:color w:val="auto"/>
        </w:rPr>
      </w:pPr>
    </w:p>
    <w:p>
      <w:pPr>
        <w:ind w:right="60"/>
        <w:spacing w:after="0" w:line="245" w:lineRule="auto"/>
        <w:rPr>
          <w:sz w:val="20"/>
          <w:szCs w:val="20"/>
          <w:color w:val="auto"/>
        </w:rPr>
      </w:pPr>
      <w:r>
        <w:rPr>
          <w:rFonts w:ascii="Calibri" w:cs="Calibri" w:eastAsia="Calibri" w:hAnsi="Calibri"/>
          <w:sz w:val="17"/>
          <w:szCs w:val="17"/>
          <w:color w:val="auto"/>
        </w:rPr>
        <w:t>The individual award agreements require pre-specifed adjustments to Free Cash Flow and ROIC to ensure that the ultmate payouts are not impacted to the beneft or detriment of management by specifed events that would result in a diference between planned and actual fnancial results, such as changes in forecasted pension contributons, changes in accountng (GAAP) standards, impacts of an acquisiton or divestture valued at more than $1 billion, tax reform or changes in tax laws or interpretatons of law related to the amortzaton of R&amp;D expenditures for tax purposes, non-cash setlement charges associated with pension risk transfer transactons, unplanned tax payments or benefts associated with divesttures, or proft changes due to the tming or recogniton of a loss on a specifc strategic program approved by the Compensaton Commitee.</w:t>
      </w:r>
    </w:p>
    <w:p>
      <w:pPr>
        <w:spacing w:after="0" w:line="106" w:lineRule="exact"/>
        <w:rPr>
          <w:sz w:val="20"/>
          <w:szCs w:val="20"/>
          <w:color w:val="auto"/>
        </w:rPr>
      </w:pPr>
    </w:p>
    <w:p>
      <w:pPr>
        <w:ind w:right="480"/>
        <w:spacing w:after="0" w:line="245" w:lineRule="auto"/>
        <w:rPr>
          <w:sz w:val="20"/>
          <w:szCs w:val="20"/>
          <w:color w:val="auto"/>
        </w:rPr>
      </w:pPr>
      <w:r>
        <w:rPr>
          <w:rFonts w:ascii="Calibri" w:cs="Calibri" w:eastAsia="Calibri" w:hAnsi="Calibri"/>
          <w:sz w:val="17"/>
          <w:szCs w:val="17"/>
          <w:color w:val="auto"/>
        </w:rPr>
        <w:t>The Compensaton Commitee does not have discreton to adjust the results of the PSU and LTIP awards beyond the adjustments specifed in the award agreements.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003478"/>
        </w:rPr>
        <w:t>2022-2024 Performance Goals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Borders>
              <w:bottom w:val="single" w:sz="8" w:color="003478"/>
            </w:tcBorders>
            <w:gridSpan w:val="2"/>
            <w:shd w:val="clear" w:color="auto" w:fill="E4E6EF"/>
          </w:tcPr>
          <w:p>
            <w:pPr>
              <w:ind w:left="1320"/>
              <w:spacing w:after="0"/>
              <w:rPr>
                <w:sz w:val="20"/>
                <w:szCs w:val="20"/>
                <w:color w:val="auto"/>
              </w:rPr>
            </w:pPr>
            <w:r>
              <w:rPr>
                <w:rFonts w:ascii="Arial" w:cs="Arial" w:eastAsia="Arial" w:hAnsi="Arial"/>
                <w:sz w:val="13"/>
                <w:szCs w:val="13"/>
                <w:color w:val="auto"/>
              </w:rPr>
              <w:t>Relative TSR (50%)*</w:t>
            </w:r>
          </w:p>
        </w:tc>
        <w:tc>
          <w:tcPr>
            <w:tcW w:w="480" w:type="dxa"/>
            <w:vAlign w:val="bottom"/>
          </w:tcPr>
          <w:p>
            <w:pPr>
              <w:spacing w:after="0"/>
              <w:rPr>
                <w:sz w:val="17"/>
                <w:szCs w:val="17"/>
                <w:color w:val="auto"/>
              </w:rPr>
            </w:pPr>
          </w:p>
        </w:tc>
        <w:tc>
          <w:tcPr>
            <w:tcW w:w="3280" w:type="dxa"/>
            <w:vAlign w:val="bottom"/>
            <w:tcBorders>
              <w:bottom w:val="single" w:sz="8" w:color="003478"/>
            </w:tcBorders>
            <w:gridSpan w:val="2"/>
            <w:shd w:val="clear" w:color="auto" w:fill="E4E6EF"/>
          </w:tcPr>
          <w:p>
            <w:pPr>
              <w:ind w:left="1020"/>
              <w:spacing w:after="0"/>
              <w:rPr>
                <w:sz w:val="20"/>
                <w:szCs w:val="20"/>
                <w:color w:val="auto"/>
              </w:rPr>
            </w:pPr>
            <w:r>
              <w:rPr>
                <w:rFonts w:ascii="Arial" w:cs="Arial" w:eastAsia="Arial" w:hAnsi="Arial"/>
                <w:sz w:val="13"/>
                <w:szCs w:val="13"/>
                <w:color w:val="auto"/>
              </w:rPr>
              <w:t>Free Cash Flow (25%)</w:t>
            </w:r>
          </w:p>
        </w:tc>
        <w:tc>
          <w:tcPr>
            <w:tcW w:w="480" w:type="dxa"/>
            <w:vAlign w:val="bottom"/>
          </w:tcPr>
          <w:p>
            <w:pPr>
              <w:spacing w:after="0"/>
              <w:rPr>
                <w:sz w:val="17"/>
                <w:szCs w:val="17"/>
                <w:color w:val="auto"/>
              </w:rPr>
            </w:pPr>
          </w:p>
        </w:tc>
        <w:tc>
          <w:tcPr>
            <w:tcW w:w="1240" w:type="dxa"/>
            <w:vAlign w:val="bottom"/>
            <w:tcBorders>
              <w:bottom w:val="single" w:sz="8" w:color="003478"/>
            </w:tcBorders>
            <w:shd w:val="clear" w:color="auto" w:fill="E4E6EF"/>
          </w:tcPr>
          <w:p>
            <w:pPr>
              <w:spacing w:after="0"/>
              <w:rPr>
                <w:sz w:val="17"/>
                <w:szCs w:val="17"/>
                <w:color w:val="auto"/>
              </w:rPr>
            </w:pPr>
          </w:p>
        </w:tc>
        <w:tc>
          <w:tcPr>
            <w:tcW w:w="1960" w:type="dxa"/>
            <w:vAlign w:val="bottom"/>
            <w:tcBorders>
              <w:bottom w:val="single" w:sz="8" w:color="003478"/>
            </w:tcBorders>
            <w:shd w:val="clear" w:color="auto" w:fill="E4E6EF"/>
          </w:tcPr>
          <w:p>
            <w:pPr>
              <w:ind w:left="20"/>
              <w:spacing w:after="0"/>
              <w:rPr>
                <w:sz w:val="20"/>
                <w:szCs w:val="20"/>
                <w:color w:val="auto"/>
              </w:rPr>
            </w:pPr>
            <w:r>
              <w:rPr>
                <w:rFonts w:ascii="Arial" w:cs="Arial" w:eastAsia="Arial" w:hAnsi="Arial"/>
                <w:sz w:val="13"/>
                <w:szCs w:val="13"/>
                <w:color w:val="auto"/>
              </w:rPr>
              <w:t>ROIC (25%)</w:t>
            </w:r>
          </w:p>
        </w:tc>
        <w:tc>
          <w:tcPr>
            <w:tcW w:w="0" w:type="dxa"/>
            <w:vAlign w:val="bottom"/>
          </w:tcPr>
          <w:p>
            <w:pPr>
              <w:spacing w:after="0"/>
              <w:rPr>
                <w:sz w:val="1"/>
                <w:szCs w:val="1"/>
                <w:color w:val="auto"/>
              </w:rPr>
            </w:pPr>
          </w:p>
        </w:tc>
      </w:tr>
      <w:tr>
        <w:trPr>
          <w:trHeight w:val="208"/>
        </w:trPr>
        <w:tc>
          <w:tcPr>
            <w:tcW w:w="1920" w:type="dxa"/>
            <w:vAlign w:val="bottom"/>
            <w:tcBorders>
              <w:bottom w:val="single" w:sz="8" w:color="E4E6EF"/>
            </w:tcBorders>
            <w:shd w:val="clear" w:color="auto" w:fill="E4E6EF"/>
          </w:tcPr>
          <w:p>
            <w:pPr>
              <w:jc w:val="center"/>
              <w:spacing w:after="0"/>
              <w:rPr>
                <w:sz w:val="20"/>
                <w:szCs w:val="20"/>
                <w:color w:val="auto"/>
              </w:rPr>
            </w:pPr>
            <w:r>
              <w:rPr>
                <w:rFonts w:ascii="Arial" w:cs="Arial" w:eastAsia="Arial" w:hAnsi="Arial"/>
                <w:sz w:val="13"/>
                <w:szCs w:val="13"/>
                <w:color w:val="auto"/>
                <w:w w:val="98"/>
              </w:rPr>
              <w:t>Percentile Rank</w:t>
            </w:r>
          </w:p>
        </w:tc>
        <w:tc>
          <w:tcPr>
            <w:tcW w:w="1880" w:type="dxa"/>
            <w:vAlign w:val="bottom"/>
            <w:tcBorders>
              <w:bottom w:val="single" w:sz="8" w:color="E4E6EF"/>
            </w:tcBorders>
            <w:shd w:val="clear" w:color="auto" w:fill="E4E6EF"/>
          </w:tcPr>
          <w:p>
            <w:pPr>
              <w:ind w:left="540"/>
              <w:spacing w:after="0"/>
              <w:rPr>
                <w:sz w:val="20"/>
                <w:szCs w:val="20"/>
                <w:color w:val="auto"/>
              </w:rPr>
            </w:pPr>
            <w:r>
              <w:rPr>
                <w:rFonts w:ascii="Arial" w:cs="Arial" w:eastAsia="Arial" w:hAnsi="Arial"/>
                <w:sz w:val="13"/>
                <w:szCs w:val="13"/>
                <w:color w:val="auto"/>
              </w:rPr>
              <w:t>Payout Factor</w:t>
            </w:r>
          </w:p>
        </w:tc>
        <w:tc>
          <w:tcPr>
            <w:tcW w:w="480" w:type="dxa"/>
            <w:vAlign w:val="bottom"/>
          </w:tcPr>
          <w:p>
            <w:pPr>
              <w:spacing w:after="0"/>
              <w:rPr>
                <w:sz w:val="17"/>
                <w:szCs w:val="17"/>
                <w:color w:val="auto"/>
              </w:rPr>
            </w:pPr>
          </w:p>
        </w:tc>
        <w:tc>
          <w:tcPr>
            <w:tcW w:w="1700" w:type="dxa"/>
            <w:vAlign w:val="bottom"/>
            <w:tcBorders>
              <w:bottom w:val="single" w:sz="8" w:color="E4E6EF"/>
            </w:tcBorders>
            <w:shd w:val="clear" w:color="auto" w:fill="E4E6EF"/>
          </w:tcPr>
          <w:p>
            <w:pPr>
              <w:jc w:val="center"/>
              <w:ind w:left="32"/>
              <w:spacing w:after="0"/>
              <w:rPr>
                <w:sz w:val="20"/>
                <w:szCs w:val="20"/>
                <w:color w:val="auto"/>
              </w:rPr>
            </w:pPr>
            <w:r>
              <w:rPr>
                <w:rFonts w:ascii="Arial" w:cs="Arial" w:eastAsia="Arial" w:hAnsi="Arial"/>
                <w:sz w:val="13"/>
                <w:szCs w:val="13"/>
                <w:color w:val="auto"/>
                <w:w w:val="94"/>
              </w:rPr>
              <w:t>Goals</w:t>
            </w:r>
          </w:p>
        </w:tc>
        <w:tc>
          <w:tcPr>
            <w:tcW w:w="1580" w:type="dxa"/>
            <w:vAlign w:val="bottom"/>
            <w:tcBorders>
              <w:bottom w:val="single" w:sz="8" w:color="E4E6EF"/>
            </w:tcBorders>
            <w:shd w:val="clear" w:color="auto" w:fill="E4E6EF"/>
          </w:tcPr>
          <w:p>
            <w:pPr>
              <w:ind w:left="440"/>
              <w:spacing w:after="0"/>
              <w:rPr>
                <w:sz w:val="20"/>
                <w:szCs w:val="20"/>
                <w:color w:val="auto"/>
              </w:rPr>
            </w:pPr>
            <w:r>
              <w:rPr>
                <w:rFonts w:ascii="Arial" w:cs="Arial" w:eastAsia="Arial" w:hAnsi="Arial"/>
                <w:sz w:val="13"/>
                <w:szCs w:val="13"/>
                <w:color w:val="auto"/>
              </w:rPr>
              <w:t>Payout Factor</w:t>
            </w:r>
          </w:p>
        </w:tc>
        <w:tc>
          <w:tcPr>
            <w:tcW w:w="480" w:type="dxa"/>
            <w:vAlign w:val="bottom"/>
          </w:tcPr>
          <w:p>
            <w:pPr>
              <w:spacing w:after="0"/>
              <w:rPr>
                <w:sz w:val="17"/>
                <w:szCs w:val="17"/>
                <w:color w:val="auto"/>
              </w:rPr>
            </w:pPr>
          </w:p>
        </w:tc>
        <w:tc>
          <w:tcPr>
            <w:tcW w:w="1240" w:type="dxa"/>
            <w:vAlign w:val="bottom"/>
            <w:tcBorders>
              <w:bottom w:val="single" w:sz="8" w:color="E4E6EF"/>
            </w:tcBorders>
            <w:shd w:val="clear" w:color="auto" w:fill="E4E6EF"/>
          </w:tcPr>
          <w:p>
            <w:pPr>
              <w:jc w:val="center"/>
              <w:ind w:left="410"/>
              <w:spacing w:after="0"/>
              <w:rPr>
                <w:sz w:val="20"/>
                <w:szCs w:val="20"/>
                <w:color w:val="auto"/>
              </w:rPr>
            </w:pPr>
            <w:r>
              <w:rPr>
                <w:rFonts w:ascii="Arial" w:cs="Arial" w:eastAsia="Arial" w:hAnsi="Arial"/>
                <w:sz w:val="13"/>
                <w:szCs w:val="13"/>
                <w:color w:val="auto"/>
                <w:w w:val="94"/>
              </w:rPr>
              <w:t>Goals</w:t>
            </w:r>
          </w:p>
        </w:tc>
        <w:tc>
          <w:tcPr>
            <w:tcW w:w="1960" w:type="dxa"/>
            <w:vAlign w:val="bottom"/>
            <w:tcBorders>
              <w:bottom w:val="single" w:sz="8" w:color="E4E6EF"/>
            </w:tcBorders>
            <w:shd w:val="clear" w:color="auto" w:fill="E4E6EF"/>
          </w:tcPr>
          <w:p>
            <w:pPr>
              <w:ind w:left="840"/>
              <w:spacing w:after="0"/>
              <w:rPr>
                <w:sz w:val="20"/>
                <w:szCs w:val="20"/>
                <w:color w:val="auto"/>
              </w:rPr>
            </w:pPr>
            <w:r>
              <w:rPr>
                <w:rFonts w:ascii="Arial" w:cs="Arial" w:eastAsia="Arial" w:hAnsi="Arial"/>
                <w:sz w:val="13"/>
                <w:szCs w:val="13"/>
                <w:color w:val="auto"/>
              </w:rPr>
              <w:t>Payout Factor</w:t>
            </w:r>
          </w:p>
        </w:tc>
        <w:tc>
          <w:tcPr>
            <w:tcW w:w="0" w:type="dxa"/>
            <w:vAlign w:val="bottom"/>
          </w:tcPr>
          <w:p>
            <w:pPr>
              <w:spacing w:after="0"/>
              <w:rPr>
                <w:sz w:val="1"/>
                <w:szCs w:val="1"/>
                <w:color w:val="auto"/>
              </w:rPr>
            </w:pPr>
          </w:p>
        </w:tc>
      </w:tr>
      <w:tr>
        <w:trPr>
          <w:trHeight w:val="163"/>
        </w:trPr>
        <w:tc>
          <w:tcPr>
            <w:tcW w:w="1920" w:type="dxa"/>
            <w:vAlign w:val="bottom"/>
            <w:tcBorders>
              <w:top w:val="single" w:sz="8" w:color="003478"/>
            </w:tcBorders>
          </w:tcPr>
          <w:p>
            <w:pPr>
              <w:jc w:val="center"/>
              <w:spacing w:after="0" w:line="164" w:lineRule="exact"/>
              <w:rPr>
                <w:sz w:val="20"/>
                <w:szCs w:val="20"/>
                <w:color w:val="auto"/>
              </w:rPr>
            </w:pPr>
            <w:r>
              <w:rPr>
                <w:rFonts w:ascii="Calibri" w:cs="Calibri" w:eastAsia="Calibri" w:hAnsi="Calibri"/>
                <w:sz w:val="14"/>
                <w:szCs w:val="14"/>
                <w:color w:val="auto"/>
              </w:rPr>
              <w:t>75th – 100th</w:t>
            </w:r>
          </w:p>
        </w:tc>
        <w:tc>
          <w:tcPr>
            <w:tcW w:w="1880" w:type="dxa"/>
            <w:vAlign w:val="bottom"/>
            <w:tcBorders>
              <w:top w:val="single" w:sz="8" w:color="003478"/>
            </w:tcBorders>
          </w:tcPr>
          <w:p>
            <w:pPr>
              <w:jc w:val="center"/>
              <w:spacing w:after="0" w:line="164" w:lineRule="exact"/>
              <w:rPr>
                <w:sz w:val="20"/>
                <w:szCs w:val="20"/>
                <w:color w:val="auto"/>
              </w:rPr>
            </w:pPr>
            <w:r>
              <w:rPr>
                <w:rFonts w:ascii="Calibri" w:cs="Calibri" w:eastAsia="Calibri" w:hAnsi="Calibri"/>
                <w:sz w:val="14"/>
                <w:szCs w:val="14"/>
                <w:color w:val="auto"/>
              </w:rPr>
              <w:t>200%</w:t>
            </w:r>
          </w:p>
        </w:tc>
        <w:tc>
          <w:tcPr>
            <w:tcW w:w="480" w:type="dxa"/>
            <w:vAlign w:val="bottom"/>
          </w:tcPr>
          <w:p>
            <w:pPr>
              <w:spacing w:after="0"/>
              <w:rPr>
                <w:sz w:val="14"/>
                <w:szCs w:val="14"/>
                <w:color w:val="auto"/>
              </w:rPr>
            </w:pPr>
          </w:p>
        </w:tc>
        <w:tc>
          <w:tcPr>
            <w:tcW w:w="1700" w:type="dxa"/>
            <w:vAlign w:val="bottom"/>
            <w:tcBorders>
              <w:top w:val="single" w:sz="8" w:color="003478"/>
            </w:tcBorders>
            <w:vMerge w:val="restart"/>
          </w:tcPr>
          <w:p>
            <w:pPr>
              <w:jc w:val="center"/>
              <w:ind w:left="32"/>
              <w:spacing w:after="0"/>
              <w:rPr>
                <w:sz w:val="20"/>
                <w:szCs w:val="20"/>
                <w:color w:val="auto"/>
              </w:rPr>
            </w:pPr>
            <w:r>
              <w:rPr>
                <w:rFonts w:ascii="Calibri" w:cs="Calibri" w:eastAsia="Calibri" w:hAnsi="Calibri"/>
                <w:sz w:val="14"/>
                <w:szCs w:val="14"/>
                <w:color w:val="auto"/>
              </w:rPr>
              <w:t>Plan +30%</w:t>
            </w:r>
          </w:p>
        </w:tc>
        <w:tc>
          <w:tcPr>
            <w:tcW w:w="1580" w:type="dxa"/>
            <w:vAlign w:val="bottom"/>
            <w:tcBorders>
              <w:top w:val="single" w:sz="8" w:color="003478"/>
            </w:tcBorders>
            <w:vMerge w:val="restart"/>
          </w:tcPr>
          <w:p>
            <w:pPr>
              <w:jc w:val="center"/>
              <w:ind w:left="30"/>
              <w:spacing w:after="0"/>
              <w:rPr>
                <w:sz w:val="20"/>
                <w:szCs w:val="20"/>
                <w:color w:val="auto"/>
              </w:rPr>
            </w:pPr>
            <w:r>
              <w:rPr>
                <w:rFonts w:ascii="Calibri" w:cs="Calibri" w:eastAsia="Calibri" w:hAnsi="Calibri"/>
                <w:sz w:val="14"/>
                <w:szCs w:val="14"/>
                <w:color w:val="auto"/>
              </w:rPr>
              <w:t>200%</w:t>
            </w:r>
          </w:p>
        </w:tc>
        <w:tc>
          <w:tcPr>
            <w:tcW w:w="480" w:type="dxa"/>
            <w:vAlign w:val="bottom"/>
          </w:tcPr>
          <w:p>
            <w:pPr>
              <w:spacing w:after="0"/>
              <w:rPr>
                <w:sz w:val="14"/>
                <w:szCs w:val="14"/>
                <w:color w:val="auto"/>
              </w:rPr>
            </w:pPr>
          </w:p>
        </w:tc>
        <w:tc>
          <w:tcPr>
            <w:tcW w:w="1240" w:type="dxa"/>
            <w:vAlign w:val="bottom"/>
            <w:tcBorders>
              <w:top w:val="single" w:sz="8" w:color="003478"/>
            </w:tcBorders>
            <w:vMerge w:val="restart"/>
          </w:tcPr>
          <w:p>
            <w:pPr>
              <w:jc w:val="center"/>
              <w:ind w:left="410"/>
              <w:spacing w:after="0"/>
              <w:rPr>
                <w:sz w:val="20"/>
                <w:szCs w:val="20"/>
                <w:color w:val="auto"/>
              </w:rPr>
            </w:pPr>
            <w:r>
              <w:rPr>
                <w:rFonts w:ascii="Calibri" w:cs="Calibri" w:eastAsia="Calibri" w:hAnsi="Calibri"/>
                <w:sz w:val="14"/>
                <w:szCs w:val="14"/>
                <w:color w:val="auto"/>
              </w:rPr>
              <w:t>Plan +12%</w:t>
            </w:r>
          </w:p>
        </w:tc>
        <w:tc>
          <w:tcPr>
            <w:tcW w:w="1960" w:type="dxa"/>
            <w:vAlign w:val="bottom"/>
            <w:tcBorders>
              <w:top w:val="single" w:sz="8" w:color="003478"/>
            </w:tcBorders>
            <w:vMerge w:val="restart"/>
          </w:tcPr>
          <w:p>
            <w:pPr>
              <w:jc w:val="center"/>
              <w:ind w:left="412"/>
              <w:spacing w:after="0"/>
              <w:rPr>
                <w:sz w:val="20"/>
                <w:szCs w:val="20"/>
                <w:color w:val="auto"/>
              </w:rPr>
            </w:pPr>
            <w:r>
              <w:rPr>
                <w:rFonts w:ascii="Calibri" w:cs="Calibri" w:eastAsia="Calibri" w:hAnsi="Calibri"/>
                <w:sz w:val="14"/>
                <w:szCs w:val="14"/>
                <w:color w:val="auto"/>
              </w:rPr>
              <w:t>200%</w:t>
            </w:r>
          </w:p>
        </w:tc>
        <w:tc>
          <w:tcPr>
            <w:tcW w:w="0" w:type="dxa"/>
            <w:vAlign w:val="bottom"/>
          </w:tcPr>
          <w:p>
            <w:pPr>
              <w:spacing w:after="0"/>
              <w:rPr>
                <w:sz w:val="1"/>
                <w:szCs w:val="1"/>
                <w:color w:val="auto"/>
              </w:rPr>
            </w:pPr>
          </w:p>
        </w:tc>
      </w:tr>
      <w:tr>
        <w:trPr>
          <w:trHeight w:val="33"/>
        </w:trPr>
        <w:tc>
          <w:tcPr>
            <w:tcW w:w="1920" w:type="dxa"/>
            <w:vAlign w:val="bottom"/>
            <w:tcBorders>
              <w:bottom w:val="single" w:sz="8" w:color="959595"/>
            </w:tcBorders>
          </w:tcPr>
          <w:p>
            <w:pPr>
              <w:spacing w:after="0"/>
              <w:rPr>
                <w:sz w:val="2"/>
                <w:szCs w:val="2"/>
                <w:color w:val="auto"/>
              </w:rPr>
            </w:pPr>
          </w:p>
        </w:tc>
        <w:tc>
          <w:tcPr>
            <w:tcW w:w="1880" w:type="dxa"/>
            <w:vAlign w:val="bottom"/>
            <w:tcBorders>
              <w:bottom w:val="single" w:sz="8" w:color="959595"/>
            </w:tcBorders>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Borders>
              <w:bottom w:val="single" w:sz="8" w:color="003478"/>
            </w:tcBorders>
            <w:vMerge w:val="continue"/>
          </w:tcPr>
          <w:p>
            <w:pPr>
              <w:spacing w:after="0"/>
              <w:rPr>
                <w:sz w:val="2"/>
                <w:szCs w:val="2"/>
                <w:color w:val="auto"/>
              </w:rPr>
            </w:pPr>
          </w:p>
        </w:tc>
        <w:tc>
          <w:tcPr>
            <w:tcW w:w="1580" w:type="dxa"/>
            <w:vAlign w:val="bottom"/>
            <w:tcBorders>
              <w:bottom w:val="single" w:sz="8" w:color="003478"/>
            </w:tcBorders>
            <w:vMerge w:val="continue"/>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Borders>
              <w:bottom w:val="single" w:sz="8" w:color="003478"/>
            </w:tcBorders>
            <w:vMerge w:val="continue"/>
          </w:tcPr>
          <w:p>
            <w:pPr>
              <w:spacing w:after="0"/>
              <w:rPr>
                <w:sz w:val="2"/>
                <w:szCs w:val="2"/>
                <w:color w:val="auto"/>
              </w:rPr>
            </w:pPr>
          </w:p>
        </w:tc>
        <w:tc>
          <w:tcPr>
            <w:tcW w:w="1960" w:type="dxa"/>
            <w:vAlign w:val="bottom"/>
            <w:tcBorders>
              <w:bottom w:val="single" w:sz="8" w:color="003478"/>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1920" w:type="dxa"/>
            <w:vAlign w:val="bottom"/>
            <w:vMerge w:val="restart"/>
          </w:tcPr>
          <w:p>
            <w:pPr>
              <w:jc w:val="center"/>
              <w:spacing w:after="0" w:line="164" w:lineRule="exact"/>
              <w:rPr>
                <w:sz w:val="20"/>
                <w:szCs w:val="20"/>
                <w:color w:val="auto"/>
              </w:rPr>
            </w:pPr>
            <w:r>
              <w:rPr>
                <w:rFonts w:ascii="Calibri" w:cs="Calibri" w:eastAsia="Calibri" w:hAnsi="Calibri"/>
                <w:sz w:val="14"/>
                <w:szCs w:val="14"/>
                <w:color w:val="auto"/>
                <w:w w:val="98"/>
              </w:rPr>
              <w:t>60th</w:t>
            </w:r>
          </w:p>
        </w:tc>
        <w:tc>
          <w:tcPr>
            <w:tcW w:w="1880" w:type="dxa"/>
            <w:vAlign w:val="bottom"/>
            <w:vMerge w:val="restart"/>
          </w:tcPr>
          <w:p>
            <w:pPr>
              <w:jc w:val="center"/>
              <w:spacing w:after="0" w:line="164" w:lineRule="exact"/>
              <w:rPr>
                <w:sz w:val="20"/>
                <w:szCs w:val="20"/>
                <w:color w:val="auto"/>
              </w:rPr>
            </w:pPr>
            <w:r>
              <w:rPr>
                <w:rFonts w:ascii="Calibri" w:cs="Calibri" w:eastAsia="Calibri" w:hAnsi="Calibri"/>
                <w:sz w:val="14"/>
                <w:szCs w:val="14"/>
                <w:color w:val="auto"/>
              </w:rPr>
              <w:t>150%</w:t>
            </w:r>
          </w:p>
        </w:tc>
        <w:tc>
          <w:tcPr>
            <w:tcW w:w="4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92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920" w:type="dxa"/>
            <w:vAlign w:val="bottom"/>
            <w:tcBorders>
              <w:bottom w:val="single" w:sz="8" w:color="959595"/>
            </w:tcBorders>
          </w:tcPr>
          <w:p>
            <w:pPr>
              <w:spacing w:after="0"/>
              <w:rPr>
                <w:sz w:val="2"/>
                <w:szCs w:val="2"/>
                <w:color w:val="auto"/>
              </w:rPr>
            </w:pPr>
          </w:p>
        </w:tc>
        <w:tc>
          <w:tcPr>
            <w:tcW w:w="1880" w:type="dxa"/>
            <w:vAlign w:val="bottom"/>
            <w:tcBorders>
              <w:bottom w:val="single" w:sz="8" w:color="959595"/>
            </w:tcBorders>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Borders>
              <w:bottom w:val="single" w:sz="8" w:color="959595"/>
            </w:tcBorders>
          </w:tcPr>
          <w:p>
            <w:pPr>
              <w:spacing w:after="0"/>
              <w:rPr>
                <w:sz w:val="2"/>
                <w:szCs w:val="2"/>
                <w:color w:val="auto"/>
              </w:rPr>
            </w:pPr>
          </w:p>
        </w:tc>
        <w:tc>
          <w:tcPr>
            <w:tcW w:w="1580" w:type="dxa"/>
            <w:vAlign w:val="bottom"/>
            <w:tcBorders>
              <w:bottom w:val="single" w:sz="8" w:color="959595"/>
            </w:tcBorders>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Borders>
              <w:bottom w:val="single" w:sz="8" w:color="959595"/>
            </w:tcBorders>
          </w:tcPr>
          <w:p>
            <w:pPr>
              <w:spacing w:after="0"/>
              <w:rPr>
                <w:sz w:val="2"/>
                <w:szCs w:val="2"/>
                <w:color w:val="auto"/>
              </w:rPr>
            </w:pPr>
          </w:p>
        </w:tc>
        <w:tc>
          <w:tcPr>
            <w:tcW w:w="196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920" w:type="dxa"/>
            <w:vAlign w:val="bottom"/>
          </w:tcPr>
          <w:p>
            <w:pPr>
              <w:jc w:val="center"/>
              <w:spacing w:after="0" w:line="164" w:lineRule="exact"/>
              <w:rPr>
                <w:sz w:val="20"/>
                <w:szCs w:val="20"/>
                <w:color w:val="auto"/>
              </w:rPr>
            </w:pPr>
            <w:r>
              <w:rPr>
                <w:rFonts w:ascii="Calibri" w:cs="Calibri" w:eastAsia="Calibri" w:hAnsi="Calibri"/>
                <w:sz w:val="14"/>
                <w:szCs w:val="14"/>
                <w:color w:val="auto"/>
                <w:w w:val="99"/>
              </w:rPr>
              <w:t>50th (Target)</w:t>
            </w:r>
          </w:p>
        </w:tc>
        <w:tc>
          <w:tcPr>
            <w:tcW w:w="1880" w:type="dxa"/>
            <w:vAlign w:val="bottom"/>
          </w:tcPr>
          <w:p>
            <w:pPr>
              <w:jc w:val="center"/>
              <w:spacing w:after="0" w:line="164" w:lineRule="exact"/>
              <w:rPr>
                <w:sz w:val="20"/>
                <w:szCs w:val="20"/>
                <w:color w:val="auto"/>
              </w:rPr>
            </w:pPr>
            <w:r>
              <w:rPr>
                <w:rFonts w:ascii="Calibri" w:cs="Calibri" w:eastAsia="Calibri" w:hAnsi="Calibri"/>
                <w:sz w:val="14"/>
                <w:szCs w:val="14"/>
                <w:color w:val="auto"/>
              </w:rPr>
              <w:t>100%</w:t>
            </w:r>
          </w:p>
        </w:tc>
        <w:tc>
          <w:tcPr>
            <w:tcW w:w="480" w:type="dxa"/>
            <w:vAlign w:val="bottom"/>
          </w:tcPr>
          <w:p>
            <w:pPr>
              <w:spacing w:after="0"/>
              <w:rPr>
                <w:sz w:val="14"/>
                <w:szCs w:val="14"/>
                <w:color w:val="auto"/>
              </w:rPr>
            </w:pPr>
          </w:p>
        </w:tc>
        <w:tc>
          <w:tcPr>
            <w:tcW w:w="1700" w:type="dxa"/>
            <w:vAlign w:val="bottom"/>
            <w:vMerge w:val="restart"/>
          </w:tcPr>
          <w:p>
            <w:pPr>
              <w:jc w:val="center"/>
              <w:ind w:left="52"/>
              <w:spacing w:after="0"/>
              <w:rPr>
                <w:sz w:val="20"/>
                <w:szCs w:val="20"/>
                <w:color w:val="auto"/>
              </w:rPr>
            </w:pPr>
            <w:r>
              <w:rPr>
                <w:rFonts w:ascii="Calibri" w:cs="Calibri" w:eastAsia="Calibri" w:hAnsi="Calibri"/>
                <w:sz w:val="14"/>
                <w:szCs w:val="14"/>
                <w:color w:val="auto"/>
              </w:rPr>
              <w:t>Plan (Target)</w:t>
            </w:r>
          </w:p>
        </w:tc>
        <w:tc>
          <w:tcPr>
            <w:tcW w:w="1580" w:type="dxa"/>
            <w:vAlign w:val="bottom"/>
            <w:vMerge w:val="restart"/>
          </w:tcPr>
          <w:p>
            <w:pPr>
              <w:jc w:val="center"/>
              <w:ind w:left="30"/>
              <w:spacing w:after="0"/>
              <w:rPr>
                <w:sz w:val="20"/>
                <w:szCs w:val="20"/>
                <w:color w:val="auto"/>
              </w:rPr>
            </w:pPr>
            <w:r>
              <w:rPr>
                <w:rFonts w:ascii="Calibri" w:cs="Calibri" w:eastAsia="Calibri" w:hAnsi="Calibri"/>
                <w:sz w:val="14"/>
                <w:szCs w:val="14"/>
                <w:color w:val="auto"/>
              </w:rPr>
              <w:t>100%</w:t>
            </w:r>
          </w:p>
        </w:tc>
        <w:tc>
          <w:tcPr>
            <w:tcW w:w="480" w:type="dxa"/>
            <w:vAlign w:val="bottom"/>
          </w:tcPr>
          <w:p>
            <w:pPr>
              <w:spacing w:after="0"/>
              <w:rPr>
                <w:sz w:val="14"/>
                <w:szCs w:val="14"/>
                <w:color w:val="auto"/>
              </w:rPr>
            </w:pPr>
          </w:p>
        </w:tc>
        <w:tc>
          <w:tcPr>
            <w:tcW w:w="1240" w:type="dxa"/>
            <w:vAlign w:val="bottom"/>
            <w:vMerge w:val="restart"/>
          </w:tcPr>
          <w:p>
            <w:pPr>
              <w:jc w:val="center"/>
              <w:ind w:left="430"/>
              <w:spacing w:after="0"/>
              <w:rPr>
                <w:sz w:val="20"/>
                <w:szCs w:val="20"/>
                <w:color w:val="auto"/>
              </w:rPr>
            </w:pPr>
            <w:r>
              <w:rPr>
                <w:rFonts w:ascii="Calibri" w:cs="Calibri" w:eastAsia="Calibri" w:hAnsi="Calibri"/>
                <w:sz w:val="14"/>
                <w:szCs w:val="14"/>
                <w:color w:val="auto"/>
              </w:rPr>
              <w:t>Plan (Target)</w:t>
            </w:r>
          </w:p>
        </w:tc>
        <w:tc>
          <w:tcPr>
            <w:tcW w:w="1960" w:type="dxa"/>
            <w:vAlign w:val="bottom"/>
            <w:vMerge w:val="restart"/>
          </w:tcPr>
          <w:p>
            <w:pPr>
              <w:jc w:val="center"/>
              <w:ind w:left="412"/>
              <w:spacing w:after="0"/>
              <w:rPr>
                <w:sz w:val="20"/>
                <w:szCs w:val="20"/>
                <w:color w:val="auto"/>
              </w:rPr>
            </w:pPr>
            <w:r>
              <w:rPr>
                <w:rFonts w:ascii="Calibri" w:cs="Calibri" w:eastAsia="Calibri" w:hAnsi="Calibri"/>
                <w:sz w:val="14"/>
                <w:szCs w:val="14"/>
                <w:color w:val="auto"/>
              </w:rPr>
              <w:t>100%</w:t>
            </w:r>
          </w:p>
        </w:tc>
        <w:tc>
          <w:tcPr>
            <w:tcW w:w="0" w:type="dxa"/>
            <w:vAlign w:val="bottom"/>
          </w:tcPr>
          <w:p>
            <w:pPr>
              <w:spacing w:after="0"/>
              <w:rPr>
                <w:sz w:val="1"/>
                <w:szCs w:val="1"/>
                <w:color w:val="auto"/>
              </w:rPr>
            </w:pPr>
          </w:p>
        </w:tc>
      </w:tr>
      <w:tr>
        <w:trPr>
          <w:trHeight w:val="33"/>
        </w:trPr>
        <w:tc>
          <w:tcPr>
            <w:tcW w:w="1920" w:type="dxa"/>
            <w:vAlign w:val="bottom"/>
            <w:tcBorders>
              <w:bottom w:val="single" w:sz="8" w:color="959595"/>
            </w:tcBorders>
          </w:tcPr>
          <w:p>
            <w:pPr>
              <w:spacing w:after="0"/>
              <w:rPr>
                <w:sz w:val="2"/>
                <w:szCs w:val="2"/>
                <w:color w:val="auto"/>
              </w:rPr>
            </w:pPr>
          </w:p>
        </w:tc>
        <w:tc>
          <w:tcPr>
            <w:tcW w:w="1880" w:type="dxa"/>
            <w:vAlign w:val="bottom"/>
            <w:tcBorders>
              <w:bottom w:val="single" w:sz="8" w:color="959595"/>
            </w:tcBorders>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1920" w:type="dxa"/>
            <w:vAlign w:val="bottom"/>
            <w:vMerge w:val="restart"/>
          </w:tcPr>
          <w:p>
            <w:pPr>
              <w:jc w:val="center"/>
              <w:spacing w:after="0" w:line="164" w:lineRule="exact"/>
              <w:rPr>
                <w:sz w:val="20"/>
                <w:szCs w:val="20"/>
                <w:color w:val="auto"/>
              </w:rPr>
            </w:pPr>
            <w:r>
              <w:rPr>
                <w:rFonts w:ascii="Calibri" w:cs="Calibri" w:eastAsia="Calibri" w:hAnsi="Calibri"/>
                <w:sz w:val="14"/>
                <w:szCs w:val="14"/>
                <w:color w:val="auto"/>
                <w:w w:val="98"/>
              </w:rPr>
              <w:t>40th</w:t>
            </w:r>
          </w:p>
        </w:tc>
        <w:tc>
          <w:tcPr>
            <w:tcW w:w="1880" w:type="dxa"/>
            <w:vAlign w:val="bottom"/>
            <w:vMerge w:val="restart"/>
          </w:tcPr>
          <w:p>
            <w:pPr>
              <w:jc w:val="center"/>
              <w:spacing w:after="0" w:line="164" w:lineRule="exact"/>
              <w:rPr>
                <w:sz w:val="20"/>
                <w:szCs w:val="20"/>
                <w:color w:val="auto"/>
              </w:rPr>
            </w:pPr>
            <w:r>
              <w:rPr>
                <w:rFonts w:ascii="Calibri" w:cs="Calibri" w:eastAsia="Calibri" w:hAnsi="Calibri"/>
                <w:sz w:val="14"/>
                <w:szCs w:val="14"/>
                <w:color w:val="auto"/>
              </w:rPr>
              <w:t>50%</w:t>
            </w:r>
          </w:p>
        </w:tc>
        <w:tc>
          <w:tcPr>
            <w:tcW w:w="4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92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920" w:type="dxa"/>
            <w:vAlign w:val="bottom"/>
            <w:tcBorders>
              <w:bottom w:val="single" w:sz="8" w:color="959595"/>
            </w:tcBorders>
          </w:tcPr>
          <w:p>
            <w:pPr>
              <w:spacing w:after="0"/>
              <w:rPr>
                <w:sz w:val="2"/>
                <w:szCs w:val="2"/>
                <w:color w:val="auto"/>
              </w:rPr>
            </w:pPr>
          </w:p>
        </w:tc>
        <w:tc>
          <w:tcPr>
            <w:tcW w:w="1880" w:type="dxa"/>
            <w:vAlign w:val="bottom"/>
            <w:tcBorders>
              <w:bottom w:val="single" w:sz="8" w:color="959595"/>
            </w:tcBorders>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Borders>
              <w:bottom w:val="single" w:sz="8" w:color="959595"/>
            </w:tcBorders>
          </w:tcPr>
          <w:p>
            <w:pPr>
              <w:spacing w:after="0"/>
              <w:rPr>
                <w:sz w:val="2"/>
                <w:szCs w:val="2"/>
                <w:color w:val="auto"/>
              </w:rPr>
            </w:pPr>
          </w:p>
        </w:tc>
        <w:tc>
          <w:tcPr>
            <w:tcW w:w="1580" w:type="dxa"/>
            <w:vAlign w:val="bottom"/>
            <w:tcBorders>
              <w:bottom w:val="single" w:sz="8" w:color="959595"/>
            </w:tcBorders>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Borders>
              <w:bottom w:val="single" w:sz="8" w:color="959595"/>
            </w:tcBorders>
          </w:tcPr>
          <w:p>
            <w:pPr>
              <w:spacing w:after="0"/>
              <w:rPr>
                <w:sz w:val="2"/>
                <w:szCs w:val="2"/>
                <w:color w:val="auto"/>
              </w:rPr>
            </w:pPr>
          </w:p>
        </w:tc>
        <w:tc>
          <w:tcPr>
            <w:tcW w:w="196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920" w:type="dxa"/>
            <w:vAlign w:val="bottom"/>
          </w:tcPr>
          <w:p>
            <w:pPr>
              <w:jc w:val="center"/>
              <w:spacing w:after="0" w:line="164" w:lineRule="exact"/>
              <w:rPr>
                <w:sz w:val="20"/>
                <w:szCs w:val="20"/>
                <w:color w:val="auto"/>
              </w:rPr>
            </w:pPr>
            <w:r>
              <w:rPr>
                <w:rFonts w:ascii="Calibri" w:cs="Calibri" w:eastAsia="Calibri" w:hAnsi="Calibri"/>
                <w:sz w:val="14"/>
                <w:szCs w:val="14"/>
                <w:color w:val="auto"/>
                <w:w w:val="98"/>
              </w:rPr>
              <w:t>35th</w:t>
            </w:r>
          </w:p>
        </w:tc>
        <w:tc>
          <w:tcPr>
            <w:tcW w:w="1880" w:type="dxa"/>
            <w:vAlign w:val="bottom"/>
          </w:tcPr>
          <w:p>
            <w:pPr>
              <w:jc w:val="center"/>
              <w:spacing w:after="0" w:line="164" w:lineRule="exact"/>
              <w:rPr>
                <w:sz w:val="20"/>
                <w:szCs w:val="20"/>
                <w:color w:val="auto"/>
              </w:rPr>
            </w:pPr>
            <w:r>
              <w:rPr>
                <w:rFonts w:ascii="Calibri" w:cs="Calibri" w:eastAsia="Calibri" w:hAnsi="Calibri"/>
                <w:sz w:val="14"/>
                <w:szCs w:val="14"/>
                <w:color w:val="auto"/>
              </w:rPr>
              <w:t>25%</w:t>
            </w:r>
          </w:p>
        </w:tc>
        <w:tc>
          <w:tcPr>
            <w:tcW w:w="480" w:type="dxa"/>
            <w:vAlign w:val="bottom"/>
          </w:tcPr>
          <w:p>
            <w:pPr>
              <w:spacing w:after="0"/>
              <w:rPr>
                <w:sz w:val="14"/>
                <w:szCs w:val="14"/>
                <w:color w:val="auto"/>
              </w:rPr>
            </w:pPr>
          </w:p>
        </w:tc>
        <w:tc>
          <w:tcPr>
            <w:tcW w:w="1700" w:type="dxa"/>
            <w:vAlign w:val="bottom"/>
            <w:vMerge w:val="restart"/>
          </w:tcPr>
          <w:p>
            <w:pPr>
              <w:jc w:val="center"/>
              <w:ind w:left="52"/>
              <w:spacing w:after="0"/>
              <w:rPr>
                <w:sz w:val="20"/>
                <w:szCs w:val="20"/>
                <w:color w:val="auto"/>
              </w:rPr>
            </w:pPr>
            <w:r>
              <w:rPr>
                <w:rFonts w:ascii="Calibri" w:cs="Calibri" w:eastAsia="Calibri" w:hAnsi="Calibri"/>
                <w:sz w:val="14"/>
                <w:szCs w:val="14"/>
                <w:color w:val="auto"/>
              </w:rPr>
              <w:t>Plan -15%</w:t>
            </w:r>
          </w:p>
        </w:tc>
        <w:tc>
          <w:tcPr>
            <w:tcW w:w="1580" w:type="dxa"/>
            <w:vAlign w:val="bottom"/>
            <w:vMerge w:val="restart"/>
          </w:tcPr>
          <w:p>
            <w:pPr>
              <w:jc w:val="center"/>
              <w:ind w:left="30"/>
              <w:spacing w:after="0"/>
              <w:rPr>
                <w:sz w:val="20"/>
                <w:szCs w:val="20"/>
                <w:color w:val="auto"/>
              </w:rPr>
            </w:pPr>
            <w:r>
              <w:rPr>
                <w:rFonts w:ascii="Calibri" w:cs="Calibri" w:eastAsia="Calibri" w:hAnsi="Calibri"/>
                <w:sz w:val="14"/>
                <w:szCs w:val="14"/>
                <w:color w:val="auto"/>
                <w:w w:val="98"/>
              </w:rPr>
              <w:t>25%</w:t>
            </w:r>
          </w:p>
        </w:tc>
        <w:tc>
          <w:tcPr>
            <w:tcW w:w="480" w:type="dxa"/>
            <w:vAlign w:val="bottom"/>
          </w:tcPr>
          <w:p>
            <w:pPr>
              <w:spacing w:after="0"/>
              <w:rPr>
                <w:sz w:val="14"/>
                <w:szCs w:val="14"/>
                <w:color w:val="auto"/>
              </w:rPr>
            </w:pPr>
          </w:p>
        </w:tc>
        <w:tc>
          <w:tcPr>
            <w:tcW w:w="1240" w:type="dxa"/>
            <w:vAlign w:val="bottom"/>
            <w:vMerge w:val="restart"/>
          </w:tcPr>
          <w:p>
            <w:pPr>
              <w:jc w:val="center"/>
              <w:ind w:left="430"/>
              <w:spacing w:after="0"/>
              <w:rPr>
                <w:sz w:val="20"/>
                <w:szCs w:val="20"/>
                <w:color w:val="auto"/>
              </w:rPr>
            </w:pPr>
            <w:r>
              <w:rPr>
                <w:rFonts w:ascii="Calibri" w:cs="Calibri" w:eastAsia="Calibri" w:hAnsi="Calibri"/>
                <w:sz w:val="14"/>
                <w:szCs w:val="14"/>
                <w:color w:val="auto"/>
              </w:rPr>
              <w:t>Plan -10%</w:t>
            </w:r>
          </w:p>
        </w:tc>
        <w:tc>
          <w:tcPr>
            <w:tcW w:w="1960" w:type="dxa"/>
            <w:vAlign w:val="bottom"/>
            <w:vMerge w:val="restart"/>
          </w:tcPr>
          <w:p>
            <w:pPr>
              <w:jc w:val="center"/>
              <w:ind w:left="412"/>
              <w:spacing w:after="0"/>
              <w:rPr>
                <w:sz w:val="20"/>
                <w:szCs w:val="20"/>
                <w:color w:val="auto"/>
              </w:rPr>
            </w:pPr>
            <w:r>
              <w:rPr>
                <w:rFonts w:ascii="Calibri" w:cs="Calibri" w:eastAsia="Calibri" w:hAnsi="Calibri"/>
                <w:sz w:val="14"/>
                <w:szCs w:val="14"/>
                <w:color w:val="auto"/>
                <w:w w:val="98"/>
              </w:rPr>
              <w:t>25%</w:t>
            </w:r>
          </w:p>
        </w:tc>
        <w:tc>
          <w:tcPr>
            <w:tcW w:w="0" w:type="dxa"/>
            <w:vAlign w:val="bottom"/>
          </w:tcPr>
          <w:p>
            <w:pPr>
              <w:spacing w:after="0"/>
              <w:rPr>
                <w:sz w:val="1"/>
                <w:szCs w:val="1"/>
                <w:color w:val="auto"/>
              </w:rPr>
            </w:pPr>
          </w:p>
        </w:tc>
      </w:tr>
      <w:tr>
        <w:trPr>
          <w:trHeight w:val="33"/>
        </w:trPr>
        <w:tc>
          <w:tcPr>
            <w:tcW w:w="1920" w:type="dxa"/>
            <w:vAlign w:val="bottom"/>
            <w:tcBorders>
              <w:bottom w:val="single" w:sz="8" w:color="959595"/>
            </w:tcBorders>
          </w:tcPr>
          <w:p>
            <w:pPr>
              <w:spacing w:after="0"/>
              <w:rPr>
                <w:sz w:val="2"/>
                <w:szCs w:val="2"/>
                <w:color w:val="auto"/>
              </w:rPr>
            </w:pPr>
          </w:p>
        </w:tc>
        <w:tc>
          <w:tcPr>
            <w:tcW w:w="1880" w:type="dxa"/>
            <w:vAlign w:val="bottom"/>
            <w:tcBorders>
              <w:bottom w:val="single" w:sz="8" w:color="959595"/>
            </w:tcBorders>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1920" w:type="dxa"/>
            <w:vAlign w:val="bottom"/>
            <w:vMerge w:val="restart"/>
          </w:tcPr>
          <w:p>
            <w:pPr>
              <w:jc w:val="center"/>
              <w:spacing w:after="0" w:line="164" w:lineRule="exact"/>
              <w:rPr>
                <w:sz w:val="20"/>
                <w:szCs w:val="20"/>
                <w:color w:val="auto"/>
              </w:rPr>
            </w:pPr>
            <w:r>
              <w:rPr>
                <w:rFonts w:ascii="Calibri" w:cs="Calibri" w:eastAsia="Calibri" w:hAnsi="Calibri"/>
                <w:sz w:val="14"/>
                <w:szCs w:val="14"/>
                <w:color w:val="auto"/>
              </w:rPr>
              <w:t>&lt; 35th</w:t>
            </w:r>
          </w:p>
        </w:tc>
        <w:tc>
          <w:tcPr>
            <w:tcW w:w="1880" w:type="dxa"/>
            <w:vAlign w:val="bottom"/>
            <w:vMerge w:val="restart"/>
          </w:tcPr>
          <w:p>
            <w:pPr>
              <w:jc w:val="center"/>
              <w:spacing w:after="0" w:line="164" w:lineRule="exact"/>
              <w:rPr>
                <w:sz w:val="20"/>
                <w:szCs w:val="20"/>
                <w:color w:val="auto"/>
              </w:rPr>
            </w:pPr>
            <w:r>
              <w:rPr>
                <w:rFonts w:ascii="Calibri" w:cs="Calibri" w:eastAsia="Calibri" w:hAnsi="Calibri"/>
                <w:sz w:val="14"/>
                <w:szCs w:val="14"/>
                <w:color w:val="auto"/>
              </w:rPr>
              <w:t>0%</w:t>
            </w:r>
          </w:p>
        </w:tc>
        <w:tc>
          <w:tcPr>
            <w:tcW w:w="4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92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920" w:type="dxa"/>
            <w:vAlign w:val="bottom"/>
            <w:tcBorders>
              <w:bottom w:val="single" w:sz="8" w:color="959595"/>
            </w:tcBorders>
          </w:tcPr>
          <w:p>
            <w:pPr>
              <w:spacing w:after="0"/>
              <w:rPr>
                <w:sz w:val="2"/>
                <w:szCs w:val="2"/>
                <w:color w:val="auto"/>
              </w:rPr>
            </w:pPr>
          </w:p>
        </w:tc>
        <w:tc>
          <w:tcPr>
            <w:tcW w:w="1880" w:type="dxa"/>
            <w:vAlign w:val="bottom"/>
            <w:tcBorders>
              <w:bottom w:val="single" w:sz="8" w:color="959595"/>
            </w:tcBorders>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Borders>
              <w:bottom w:val="single" w:sz="8" w:color="959595"/>
            </w:tcBorders>
          </w:tcPr>
          <w:p>
            <w:pPr>
              <w:spacing w:after="0"/>
              <w:rPr>
                <w:sz w:val="2"/>
                <w:szCs w:val="2"/>
                <w:color w:val="auto"/>
              </w:rPr>
            </w:pPr>
          </w:p>
        </w:tc>
        <w:tc>
          <w:tcPr>
            <w:tcW w:w="1580" w:type="dxa"/>
            <w:vAlign w:val="bottom"/>
            <w:tcBorders>
              <w:bottom w:val="single" w:sz="8" w:color="959595"/>
            </w:tcBorders>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Borders>
              <w:bottom w:val="single" w:sz="8" w:color="959595"/>
            </w:tcBorders>
          </w:tcPr>
          <w:p>
            <w:pPr>
              <w:spacing w:after="0"/>
              <w:rPr>
                <w:sz w:val="2"/>
                <w:szCs w:val="2"/>
                <w:color w:val="auto"/>
              </w:rPr>
            </w:pPr>
          </w:p>
        </w:tc>
        <w:tc>
          <w:tcPr>
            <w:tcW w:w="196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right="100" w:hanging="252"/>
        <w:spacing w:after="0" w:line="245" w:lineRule="auto"/>
        <w:tabs>
          <w:tab w:leader="none" w:pos="248" w:val="left"/>
        </w:tabs>
        <w:numPr>
          <w:ilvl w:val="0"/>
          <w:numId w:val="79"/>
        </w:numPr>
        <w:rPr>
          <w:rFonts w:ascii="Calibri" w:cs="Calibri" w:eastAsia="Calibri" w:hAnsi="Calibri"/>
          <w:sz w:val="14"/>
          <w:szCs w:val="14"/>
          <w:color w:val="auto"/>
        </w:rPr>
      </w:pPr>
      <w:r>
        <w:rPr>
          <w:rFonts w:ascii="Calibri" w:cs="Calibri" w:eastAsia="Calibri" w:hAnsi="Calibri"/>
          <w:sz w:val="14"/>
          <w:szCs w:val="14"/>
          <w:color w:val="auto"/>
        </w:rPr>
        <w:t>2022-2024 Relatve TSR performance is measured against our peers in the S&amp;P GICS 2010 - Capital Goods, US-Indexed &amp; with a revenue &gt;$10B and market cap &gt;$5B, totaling 28 peers (See Selecton of LTI Performance Measures above for Relatve TSR Comparators).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color w:val="003478"/>
        </w:rPr>
        <w:t>2020-2022 LTIP and PSU Awards</w:t>
      </w:r>
    </w:p>
    <w:p>
      <w:pPr>
        <w:spacing w:after="0" w:line="115" w:lineRule="exact"/>
        <w:rPr>
          <w:sz w:val="20"/>
          <w:szCs w:val="20"/>
          <w:color w:val="auto"/>
        </w:rPr>
      </w:pPr>
    </w:p>
    <w:p>
      <w:pPr>
        <w:ind w:right="20"/>
        <w:spacing w:after="0" w:line="247" w:lineRule="auto"/>
        <w:rPr>
          <w:sz w:val="20"/>
          <w:szCs w:val="20"/>
          <w:color w:val="auto"/>
        </w:rPr>
      </w:pPr>
      <w:r>
        <w:rPr>
          <w:rFonts w:ascii="Calibri" w:cs="Calibri" w:eastAsia="Calibri" w:hAnsi="Calibri"/>
          <w:sz w:val="17"/>
          <w:szCs w:val="17"/>
          <w:color w:val="auto"/>
        </w:rPr>
        <w:t>The cash-based LTIP and share-based PSU payouts for the three-year performance period ended December 31, 2022 shown below were calculated by comparing actual corporate performance for each metric for the period January 1, 2020 through December 31, 2022, against a table of payment levels from 0% to 200% (with the 100% payout level being considered target) established at the beginning of the performance period in February 2020. In September 2020, the Compensaton Commitee approved amendments to the LTIP and PSU awards granted in February 2020 to allow the Company to neutralize the impact of government stmulus and assistance programs enacted in response to COVID-19 and any non-cash setlement charges associated with pension risk transfer transactons. In February and June 2021, the Compensaton Commitee approved additonal amendments to these awards to neutralize the impact of changes in tax laws or interpretatons of law related to the amortzaton of R&amp;D expenditures for tax purposes and the pension expense and funding provisions of the American Rescue Plan Act. Neutralizing the impact of these items ensures they do not afect payouts to a partcipant’s beneft or detriment.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shd w:val="clear" w:color="auto" w:fill="E4E6EF"/>
          </w:tcPr>
          <w:p>
            <w:pPr>
              <w:ind w:left="20"/>
              <w:spacing w:after="0"/>
              <w:rPr>
                <w:sz w:val="20"/>
                <w:szCs w:val="20"/>
                <w:color w:val="auto"/>
              </w:rPr>
            </w:pPr>
            <w:r>
              <w:rPr>
                <w:rFonts w:ascii="Arial" w:cs="Arial" w:eastAsia="Arial" w:hAnsi="Arial"/>
                <w:sz w:val="13"/>
                <w:szCs w:val="13"/>
                <w:color w:val="auto"/>
              </w:rPr>
              <w:t>Performance</w:t>
            </w:r>
          </w:p>
        </w:tc>
        <w:tc>
          <w:tcPr>
            <w:tcW w:w="900" w:type="dxa"/>
            <w:vAlign w:val="bottom"/>
            <w:vMerge w:val="restart"/>
            <w:shd w:val="clear" w:color="auto" w:fill="E4E6EF"/>
          </w:tcPr>
          <w:p>
            <w:pPr>
              <w:jc w:val="center"/>
              <w:spacing w:after="0"/>
              <w:rPr>
                <w:sz w:val="20"/>
                <w:szCs w:val="20"/>
                <w:color w:val="auto"/>
              </w:rPr>
            </w:pPr>
            <w:r>
              <w:rPr>
                <w:rFonts w:ascii="Arial" w:cs="Arial" w:eastAsia="Arial" w:hAnsi="Arial"/>
                <w:sz w:val="13"/>
                <w:szCs w:val="13"/>
                <w:color w:val="auto"/>
                <w:w w:val="93"/>
              </w:rPr>
              <w:t>Weight</w:t>
            </w:r>
          </w:p>
        </w:tc>
        <w:tc>
          <w:tcPr>
            <w:tcW w:w="1360" w:type="dxa"/>
            <w:vAlign w:val="bottom"/>
            <w:shd w:val="clear" w:color="auto" w:fill="E4E6EF"/>
          </w:tcPr>
          <w:p>
            <w:pPr>
              <w:jc w:val="center"/>
              <w:ind w:right="97"/>
              <w:spacing w:after="0"/>
              <w:rPr>
                <w:sz w:val="20"/>
                <w:szCs w:val="20"/>
                <w:color w:val="auto"/>
              </w:rPr>
            </w:pPr>
            <w:r>
              <w:rPr>
                <w:rFonts w:ascii="Arial" w:cs="Arial" w:eastAsia="Arial" w:hAnsi="Arial"/>
                <w:sz w:val="13"/>
                <w:szCs w:val="13"/>
                <w:color w:val="auto"/>
                <w:w w:val="96"/>
              </w:rPr>
              <w:t>Threshold</w:t>
            </w:r>
          </w:p>
        </w:tc>
        <w:tc>
          <w:tcPr>
            <w:tcW w:w="1660" w:type="dxa"/>
            <w:vAlign w:val="bottom"/>
            <w:shd w:val="clear" w:color="auto" w:fill="E4E6EF"/>
          </w:tcPr>
          <w:p>
            <w:pPr>
              <w:jc w:val="center"/>
              <w:spacing w:after="0"/>
              <w:rPr>
                <w:sz w:val="20"/>
                <w:szCs w:val="20"/>
                <w:color w:val="auto"/>
              </w:rPr>
            </w:pPr>
            <w:r>
              <w:rPr>
                <w:rFonts w:ascii="Arial" w:cs="Arial" w:eastAsia="Arial" w:hAnsi="Arial"/>
                <w:sz w:val="13"/>
                <w:szCs w:val="13"/>
                <w:color w:val="auto"/>
                <w:w w:val="95"/>
              </w:rPr>
              <w:t>Target</w:t>
            </w:r>
          </w:p>
        </w:tc>
        <w:tc>
          <w:tcPr>
            <w:tcW w:w="1420" w:type="dxa"/>
            <w:vAlign w:val="bottom"/>
            <w:shd w:val="clear" w:color="auto" w:fill="E4E6EF"/>
          </w:tcPr>
          <w:p>
            <w:pPr>
              <w:jc w:val="center"/>
              <w:ind w:left="137"/>
              <w:spacing w:after="0"/>
              <w:rPr>
                <w:sz w:val="20"/>
                <w:szCs w:val="20"/>
                <w:color w:val="auto"/>
              </w:rPr>
            </w:pPr>
            <w:r>
              <w:rPr>
                <w:rFonts w:ascii="Arial" w:cs="Arial" w:eastAsia="Arial" w:hAnsi="Arial"/>
                <w:sz w:val="13"/>
                <w:szCs w:val="13"/>
                <w:color w:val="auto"/>
                <w:w w:val="95"/>
              </w:rPr>
              <w:t>Maximum</w:t>
            </w:r>
          </w:p>
        </w:tc>
        <w:tc>
          <w:tcPr>
            <w:tcW w:w="1640" w:type="dxa"/>
            <w:vAlign w:val="bottom"/>
            <w:shd w:val="clear" w:color="auto" w:fill="E4E6EF"/>
          </w:tcPr>
          <w:p>
            <w:pPr>
              <w:jc w:val="center"/>
              <w:ind w:left="191"/>
              <w:spacing w:after="0"/>
              <w:rPr>
                <w:sz w:val="20"/>
                <w:szCs w:val="20"/>
                <w:color w:val="auto"/>
              </w:rPr>
            </w:pPr>
            <w:r>
              <w:rPr>
                <w:rFonts w:ascii="Arial" w:cs="Arial" w:eastAsia="Arial" w:hAnsi="Arial"/>
                <w:sz w:val="13"/>
                <w:szCs w:val="13"/>
                <w:color w:val="auto"/>
                <w:w w:val="94"/>
              </w:rPr>
              <w:t>Calculated</w:t>
            </w:r>
          </w:p>
        </w:tc>
        <w:tc>
          <w:tcPr>
            <w:tcW w:w="960" w:type="dxa"/>
            <w:vAlign w:val="bottom"/>
            <w:shd w:val="clear" w:color="auto" w:fill="E4E6EF"/>
          </w:tcPr>
          <w:p>
            <w:pPr>
              <w:jc w:val="center"/>
              <w:ind w:right="71"/>
              <w:spacing w:after="0"/>
              <w:rPr>
                <w:sz w:val="20"/>
                <w:szCs w:val="20"/>
                <w:color w:val="auto"/>
              </w:rPr>
            </w:pPr>
            <w:r>
              <w:rPr>
                <w:rFonts w:ascii="Arial" w:cs="Arial" w:eastAsia="Arial" w:hAnsi="Arial"/>
                <w:sz w:val="13"/>
                <w:szCs w:val="13"/>
                <w:color w:val="auto"/>
                <w:w w:val="98"/>
              </w:rPr>
              <w:t>Weighted</w:t>
            </w:r>
          </w:p>
        </w:tc>
        <w:tc>
          <w:tcPr>
            <w:tcW w:w="0" w:type="dxa"/>
            <w:vAlign w:val="bottom"/>
          </w:tcPr>
          <w:p>
            <w:pPr>
              <w:spacing w:after="0"/>
              <w:rPr>
                <w:sz w:val="1"/>
                <w:szCs w:val="1"/>
                <w:color w:val="auto"/>
              </w:rPr>
            </w:pPr>
          </w:p>
        </w:tc>
      </w:tr>
      <w:tr>
        <w:trPr>
          <w:trHeight w:val="207"/>
        </w:trPr>
        <w:tc>
          <w:tcPr>
            <w:tcW w:w="144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13"/>
                <w:szCs w:val="13"/>
                <w:color w:val="auto"/>
              </w:rPr>
              <w:t>Measure</w:t>
            </w:r>
          </w:p>
        </w:tc>
        <w:tc>
          <w:tcPr>
            <w:tcW w:w="900" w:type="dxa"/>
            <w:vAlign w:val="bottom"/>
            <w:tcBorders>
              <w:bottom w:val="single" w:sz="8" w:color="E4E6EF"/>
            </w:tcBorders>
            <w:vMerge w:val="continue"/>
            <w:shd w:val="clear" w:color="auto" w:fill="E4E6EF"/>
          </w:tcPr>
          <w:p>
            <w:pPr>
              <w:spacing w:after="0"/>
              <w:rPr>
                <w:sz w:val="18"/>
                <w:szCs w:val="18"/>
                <w:color w:val="auto"/>
              </w:rPr>
            </w:pPr>
          </w:p>
        </w:tc>
        <w:tc>
          <w:tcPr>
            <w:tcW w:w="1360" w:type="dxa"/>
            <w:vAlign w:val="bottom"/>
            <w:tcBorders>
              <w:bottom w:val="single" w:sz="8" w:color="E4E6EF"/>
            </w:tcBorders>
            <w:shd w:val="clear" w:color="auto" w:fill="E4E6EF"/>
          </w:tcPr>
          <w:p>
            <w:pPr>
              <w:jc w:val="center"/>
              <w:ind w:right="97"/>
              <w:spacing w:after="0"/>
              <w:rPr>
                <w:sz w:val="20"/>
                <w:szCs w:val="20"/>
                <w:color w:val="auto"/>
              </w:rPr>
            </w:pPr>
            <w:r>
              <w:rPr>
                <w:rFonts w:ascii="Arial" w:cs="Arial" w:eastAsia="Arial" w:hAnsi="Arial"/>
                <w:sz w:val="13"/>
                <w:szCs w:val="13"/>
                <w:color w:val="auto"/>
                <w:w w:val="96"/>
              </w:rPr>
              <w:t>25% Payout)</w:t>
            </w:r>
          </w:p>
        </w:tc>
        <w:tc>
          <w:tcPr>
            <w:tcW w:w="1660" w:type="dxa"/>
            <w:vAlign w:val="bottom"/>
            <w:tcBorders>
              <w:bottom w:val="single" w:sz="8" w:color="E4E6EF"/>
            </w:tcBorders>
            <w:shd w:val="clear" w:color="auto" w:fill="E4E6EF"/>
          </w:tcPr>
          <w:p>
            <w:pPr>
              <w:jc w:val="center"/>
              <w:spacing w:after="0"/>
              <w:rPr>
                <w:sz w:val="20"/>
                <w:szCs w:val="20"/>
                <w:color w:val="auto"/>
              </w:rPr>
            </w:pPr>
            <w:r>
              <w:rPr>
                <w:rFonts w:ascii="Arial" w:cs="Arial" w:eastAsia="Arial" w:hAnsi="Arial"/>
                <w:sz w:val="13"/>
                <w:szCs w:val="13"/>
                <w:color w:val="auto"/>
                <w:w w:val="97"/>
              </w:rPr>
              <w:t>(100% Payout)</w:t>
            </w:r>
          </w:p>
        </w:tc>
        <w:tc>
          <w:tcPr>
            <w:tcW w:w="1420" w:type="dxa"/>
            <w:vAlign w:val="bottom"/>
            <w:tcBorders>
              <w:bottom w:val="single" w:sz="8" w:color="E4E6EF"/>
            </w:tcBorders>
            <w:shd w:val="clear" w:color="auto" w:fill="E4E6EF"/>
          </w:tcPr>
          <w:p>
            <w:pPr>
              <w:jc w:val="center"/>
              <w:ind w:left="117"/>
              <w:spacing w:after="0"/>
              <w:rPr>
                <w:sz w:val="20"/>
                <w:szCs w:val="20"/>
                <w:color w:val="auto"/>
              </w:rPr>
            </w:pPr>
            <w:r>
              <w:rPr>
                <w:rFonts w:ascii="Arial" w:cs="Arial" w:eastAsia="Arial" w:hAnsi="Arial"/>
                <w:sz w:val="13"/>
                <w:szCs w:val="13"/>
                <w:color w:val="auto"/>
                <w:w w:val="97"/>
              </w:rPr>
              <w:t>(200% Payout)</w:t>
            </w:r>
          </w:p>
        </w:tc>
        <w:tc>
          <w:tcPr>
            <w:tcW w:w="1640" w:type="dxa"/>
            <w:vAlign w:val="bottom"/>
            <w:tcBorders>
              <w:bottom w:val="single" w:sz="8" w:color="E4E6EF"/>
            </w:tcBorders>
            <w:shd w:val="clear" w:color="auto" w:fill="E4E6EF"/>
          </w:tcPr>
          <w:p>
            <w:pPr>
              <w:jc w:val="center"/>
              <w:ind w:left="191"/>
              <w:spacing w:after="0"/>
              <w:rPr>
                <w:sz w:val="20"/>
                <w:szCs w:val="20"/>
                <w:color w:val="auto"/>
              </w:rPr>
            </w:pPr>
            <w:r>
              <w:rPr>
                <w:rFonts w:ascii="Arial" w:cs="Arial" w:eastAsia="Arial" w:hAnsi="Arial"/>
                <w:sz w:val="13"/>
                <w:szCs w:val="13"/>
                <w:color w:val="auto"/>
                <w:w w:val="93"/>
              </w:rPr>
              <w:t>Payout</w:t>
            </w:r>
          </w:p>
        </w:tc>
        <w:tc>
          <w:tcPr>
            <w:tcW w:w="960" w:type="dxa"/>
            <w:vAlign w:val="bottom"/>
            <w:tcBorders>
              <w:bottom w:val="single" w:sz="8" w:color="E4E6EF"/>
            </w:tcBorders>
            <w:shd w:val="clear" w:color="auto" w:fill="E4E6EF"/>
          </w:tcPr>
          <w:p>
            <w:pPr>
              <w:jc w:val="center"/>
              <w:ind w:right="71"/>
              <w:spacing w:after="0"/>
              <w:rPr>
                <w:sz w:val="20"/>
                <w:szCs w:val="20"/>
                <w:color w:val="auto"/>
              </w:rPr>
            </w:pPr>
            <w:r>
              <w:rPr>
                <w:rFonts w:ascii="Arial" w:cs="Arial" w:eastAsia="Arial" w:hAnsi="Arial"/>
                <w:sz w:val="13"/>
                <w:szCs w:val="13"/>
                <w:color w:val="auto"/>
                <w:w w:val="93"/>
              </w:rPr>
              <w:t>Payout</w:t>
            </w:r>
          </w:p>
        </w:tc>
        <w:tc>
          <w:tcPr>
            <w:tcW w:w="0" w:type="dxa"/>
            <w:vAlign w:val="bottom"/>
          </w:tcPr>
          <w:p>
            <w:pPr>
              <w:spacing w:after="0"/>
              <w:rPr>
                <w:sz w:val="1"/>
                <w:szCs w:val="1"/>
                <w:color w:val="auto"/>
              </w:rPr>
            </w:pPr>
          </w:p>
        </w:tc>
      </w:tr>
      <w:tr>
        <w:trPr>
          <w:trHeight w:val="419"/>
        </w:trPr>
        <w:tc>
          <w:tcPr>
            <w:tcW w:w="1440" w:type="dxa"/>
            <w:vAlign w:val="bottom"/>
            <w:tcBorders>
              <w:top w:val="single" w:sz="8" w:color="003478"/>
            </w:tcBorders>
          </w:tcPr>
          <w:p>
            <w:pPr>
              <w:ind w:left="20"/>
              <w:spacing w:after="0"/>
              <w:rPr>
                <w:sz w:val="20"/>
                <w:szCs w:val="20"/>
                <w:color w:val="auto"/>
              </w:rPr>
            </w:pPr>
            <w:r>
              <w:rPr>
                <w:rFonts w:ascii="Calibri" w:cs="Calibri" w:eastAsia="Calibri" w:hAnsi="Calibri"/>
                <w:sz w:val="14"/>
                <w:szCs w:val="14"/>
                <w:b w:val="1"/>
                <w:bCs w:val="1"/>
                <w:color w:val="auto"/>
              </w:rPr>
              <w:t>Relatve TSR</w:t>
            </w:r>
          </w:p>
        </w:tc>
        <w:tc>
          <w:tcPr>
            <w:tcW w:w="900" w:type="dxa"/>
            <w:vAlign w:val="bottom"/>
            <w:tcBorders>
              <w:top w:val="single" w:sz="8" w:color="003478"/>
            </w:tcBorders>
          </w:tcPr>
          <w:p>
            <w:pPr>
              <w:jc w:val="center"/>
              <w:spacing w:after="0"/>
              <w:rPr>
                <w:sz w:val="20"/>
                <w:szCs w:val="20"/>
                <w:color w:val="auto"/>
              </w:rPr>
            </w:pPr>
            <w:r>
              <w:rPr>
                <w:rFonts w:ascii="Calibri" w:cs="Calibri" w:eastAsia="Calibri" w:hAnsi="Calibri"/>
                <w:sz w:val="14"/>
                <w:szCs w:val="14"/>
                <w:b w:val="1"/>
                <w:bCs w:val="1"/>
                <w:color w:val="003478"/>
              </w:rPr>
              <w:t>50%</w:t>
            </w:r>
          </w:p>
        </w:tc>
        <w:tc>
          <w:tcPr>
            <w:tcW w:w="1360" w:type="dxa"/>
            <w:vAlign w:val="bottom"/>
            <w:tcBorders>
              <w:top w:val="single" w:sz="8" w:color="003478"/>
            </w:tcBorders>
          </w:tcPr>
          <w:p>
            <w:pPr>
              <w:spacing w:after="0"/>
              <w:rPr>
                <w:sz w:val="24"/>
                <w:szCs w:val="24"/>
                <w:color w:val="auto"/>
              </w:rPr>
            </w:pPr>
          </w:p>
        </w:tc>
        <w:tc>
          <w:tcPr>
            <w:tcW w:w="1660" w:type="dxa"/>
            <w:vAlign w:val="bottom"/>
            <w:tcBorders>
              <w:top w:val="single" w:sz="8" w:color="003478"/>
            </w:tcBorders>
          </w:tcPr>
          <w:p>
            <w:pPr>
              <w:spacing w:after="0"/>
              <w:rPr>
                <w:sz w:val="24"/>
                <w:szCs w:val="24"/>
                <w:color w:val="auto"/>
              </w:rPr>
            </w:pPr>
          </w:p>
        </w:tc>
        <w:tc>
          <w:tcPr>
            <w:tcW w:w="1420" w:type="dxa"/>
            <w:vAlign w:val="bottom"/>
            <w:tcBorders>
              <w:top w:val="single" w:sz="8" w:color="003478"/>
            </w:tcBorders>
          </w:tcPr>
          <w:p>
            <w:pPr>
              <w:spacing w:after="0"/>
              <w:rPr>
                <w:sz w:val="24"/>
                <w:szCs w:val="24"/>
                <w:color w:val="auto"/>
              </w:rPr>
            </w:pPr>
          </w:p>
        </w:tc>
        <w:tc>
          <w:tcPr>
            <w:tcW w:w="1640" w:type="dxa"/>
            <w:vAlign w:val="bottom"/>
            <w:tcBorders>
              <w:top w:val="single" w:sz="8" w:color="003478"/>
            </w:tcBorders>
          </w:tcPr>
          <w:p>
            <w:pPr>
              <w:jc w:val="center"/>
              <w:ind w:left="191"/>
              <w:spacing w:after="0"/>
              <w:rPr>
                <w:sz w:val="20"/>
                <w:szCs w:val="20"/>
                <w:color w:val="auto"/>
              </w:rPr>
            </w:pPr>
            <w:r>
              <w:rPr>
                <w:rFonts w:ascii="Calibri" w:cs="Calibri" w:eastAsia="Calibri" w:hAnsi="Calibri"/>
                <w:sz w:val="14"/>
                <w:szCs w:val="14"/>
                <w:color w:val="auto"/>
              </w:rPr>
              <w:t>100.0%</w:t>
            </w:r>
          </w:p>
        </w:tc>
        <w:tc>
          <w:tcPr>
            <w:tcW w:w="960" w:type="dxa"/>
            <w:vAlign w:val="bottom"/>
            <w:tcBorders>
              <w:top w:val="single" w:sz="8" w:color="003478"/>
            </w:tcBorders>
          </w:tcPr>
          <w:p>
            <w:pPr>
              <w:jc w:val="center"/>
              <w:ind w:right="71"/>
              <w:spacing w:after="0"/>
              <w:rPr>
                <w:sz w:val="20"/>
                <w:szCs w:val="20"/>
                <w:color w:val="auto"/>
              </w:rPr>
            </w:pPr>
            <w:r>
              <w:rPr>
                <w:rFonts w:ascii="Calibri" w:cs="Calibri" w:eastAsia="Calibri" w:hAnsi="Calibri"/>
                <w:sz w:val="14"/>
                <w:szCs w:val="14"/>
                <w:color w:val="auto"/>
                <w:w w:val="97"/>
              </w:rPr>
              <w:t>50.0%</w:t>
            </w:r>
          </w:p>
        </w:tc>
        <w:tc>
          <w:tcPr>
            <w:tcW w:w="0" w:type="dxa"/>
            <w:vAlign w:val="bottom"/>
          </w:tcPr>
          <w:p>
            <w:pPr>
              <w:spacing w:after="0"/>
              <w:rPr>
                <w:sz w:val="1"/>
                <w:szCs w:val="1"/>
                <w:color w:val="auto"/>
              </w:rPr>
            </w:pPr>
          </w:p>
        </w:tc>
      </w:tr>
      <w:tr>
        <w:trPr>
          <w:trHeight w:val="317"/>
        </w:trPr>
        <w:tc>
          <w:tcPr>
            <w:tcW w:w="1440" w:type="dxa"/>
            <w:vAlign w:val="bottom"/>
            <w:tcBorders>
              <w:bottom w:val="single" w:sz="8" w:color="959595"/>
            </w:tcBorders>
          </w:tcPr>
          <w:p>
            <w:pPr>
              <w:spacing w:after="0"/>
              <w:rPr>
                <w:sz w:val="24"/>
                <w:szCs w:val="24"/>
                <w:color w:val="auto"/>
              </w:rPr>
            </w:pPr>
          </w:p>
        </w:tc>
        <w:tc>
          <w:tcPr>
            <w:tcW w:w="90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spacing w:after="0"/>
              <w:rPr>
                <w:sz w:val="24"/>
                <w:szCs w:val="24"/>
                <w:color w:val="auto"/>
              </w:rPr>
            </w:pPr>
          </w:p>
        </w:tc>
        <w:tc>
          <w:tcPr>
            <w:tcW w:w="1660" w:type="dxa"/>
            <w:vAlign w:val="bottom"/>
            <w:tcBorders>
              <w:bottom w:val="single" w:sz="8" w:color="959595"/>
            </w:tcBorders>
          </w:tcPr>
          <w:p>
            <w:pPr>
              <w:spacing w:after="0"/>
              <w:rPr>
                <w:sz w:val="24"/>
                <w:szCs w:val="24"/>
                <w:color w:val="auto"/>
              </w:rPr>
            </w:pPr>
          </w:p>
        </w:tc>
        <w:tc>
          <w:tcPr>
            <w:tcW w:w="1420" w:type="dxa"/>
            <w:vAlign w:val="bottom"/>
            <w:tcBorders>
              <w:bottom w:val="single" w:sz="8" w:color="959595"/>
            </w:tcBorders>
          </w:tcPr>
          <w:p>
            <w:pPr>
              <w:spacing w:after="0"/>
              <w:rPr>
                <w:sz w:val="24"/>
                <w:szCs w:val="24"/>
                <w:color w:val="auto"/>
              </w:rPr>
            </w:pPr>
          </w:p>
        </w:tc>
        <w:tc>
          <w:tcPr>
            <w:tcW w:w="1640" w:type="dxa"/>
            <w:vAlign w:val="bottom"/>
            <w:tcBorders>
              <w:bottom w:val="single" w:sz="8" w:color="959595"/>
            </w:tcBorders>
          </w:tcPr>
          <w:p>
            <w:pPr>
              <w:spacing w:after="0"/>
              <w:rPr>
                <w:sz w:val="24"/>
                <w:szCs w:val="24"/>
                <w:color w:val="auto"/>
              </w:rPr>
            </w:pPr>
          </w:p>
        </w:tc>
        <w:tc>
          <w:tcPr>
            <w:tcW w:w="960" w:type="dxa"/>
            <w:vAlign w:val="bottom"/>
            <w:tcBorders>
              <w:bottom w:val="single" w:sz="8" w:color="959595"/>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440" w:type="dxa"/>
            <w:vAlign w:val="bottom"/>
          </w:tcPr>
          <w:p>
            <w:pPr>
              <w:ind w:left="20"/>
              <w:spacing w:after="0"/>
              <w:rPr>
                <w:sz w:val="20"/>
                <w:szCs w:val="20"/>
                <w:color w:val="auto"/>
              </w:rPr>
            </w:pPr>
            <w:r>
              <w:rPr>
                <w:rFonts w:ascii="Calibri" w:cs="Calibri" w:eastAsia="Calibri" w:hAnsi="Calibri"/>
                <w:sz w:val="14"/>
                <w:szCs w:val="14"/>
                <w:b w:val="1"/>
                <w:bCs w:val="1"/>
                <w:color w:val="auto"/>
              </w:rPr>
              <w:t>Performance Cash*</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003478"/>
              </w:rPr>
              <w:t>25%</w:t>
            </w: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jc w:val="center"/>
              <w:ind w:left="191"/>
              <w:spacing w:after="0"/>
              <w:rPr>
                <w:sz w:val="20"/>
                <w:szCs w:val="20"/>
                <w:color w:val="auto"/>
              </w:rPr>
            </w:pPr>
            <w:r>
              <w:rPr>
                <w:rFonts w:ascii="Calibri" w:cs="Calibri" w:eastAsia="Calibri" w:hAnsi="Calibri"/>
                <w:sz w:val="14"/>
                <w:szCs w:val="14"/>
                <w:color w:val="auto"/>
              </w:rPr>
              <w:t>189.9%</w:t>
            </w:r>
          </w:p>
        </w:tc>
        <w:tc>
          <w:tcPr>
            <w:tcW w:w="960" w:type="dxa"/>
            <w:vAlign w:val="bottom"/>
          </w:tcPr>
          <w:p>
            <w:pPr>
              <w:jc w:val="center"/>
              <w:ind w:right="71"/>
              <w:spacing w:after="0"/>
              <w:rPr>
                <w:sz w:val="20"/>
                <w:szCs w:val="20"/>
                <w:color w:val="auto"/>
              </w:rPr>
            </w:pPr>
            <w:r>
              <w:rPr>
                <w:rFonts w:ascii="Calibri" w:cs="Calibri" w:eastAsia="Calibri" w:hAnsi="Calibri"/>
                <w:sz w:val="14"/>
                <w:szCs w:val="14"/>
                <w:color w:val="auto"/>
                <w:w w:val="97"/>
              </w:rPr>
              <w:t>47.5%</w:t>
            </w:r>
          </w:p>
        </w:tc>
        <w:tc>
          <w:tcPr>
            <w:tcW w:w="0" w:type="dxa"/>
            <w:vAlign w:val="bottom"/>
          </w:tcPr>
          <w:p>
            <w:pPr>
              <w:spacing w:after="0"/>
              <w:rPr>
                <w:sz w:val="1"/>
                <w:szCs w:val="1"/>
                <w:color w:val="auto"/>
              </w:rPr>
            </w:pPr>
          </w:p>
        </w:tc>
      </w:tr>
      <w:tr>
        <w:trPr>
          <w:trHeight w:val="344"/>
        </w:trPr>
        <w:tc>
          <w:tcPr>
            <w:tcW w:w="1440" w:type="dxa"/>
            <w:vAlign w:val="bottom"/>
            <w:tcBorders>
              <w:bottom w:val="single" w:sz="8" w:color="959595"/>
            </w:tcBorders>
          </w:tcPr>
          <w:p>
            <w:pPr>
              <w:spacing w:after="0"/>
              <w:rPr>
                <w:sz w:val="24"/>
                <w:szCs w:val="24"/>
                <w:color w:val="auto"/>
              </w:rPr>
            </w:pPr>
          </w:p>
        </w:tc>
        <w:tc>
          <w:tcPr>
            <w:tcW w:w="90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spacing w:after="0"/>
              <w:rPr>
                <w:sz w:val="24"/>
                <w:szCs w:val="24"/>
                <w:color w:val="auto"/>
              </w:rPr>
            </w:pPr>
          </w:p>
        </w:tc>
        <w:tc>
          <w:tcPr>
            <w:tcW w:w="1660" w:type="dxa"/>
            <w:vAlign w:val="bottom"/>
            <w:tcBorders>
              <w:bottom w:val="single" w:sz="8" w:color="959595"/>
            </w:tcBorders>
          </w:tcPr>
          <w:p>
            <w:pPr>
              <w:spacing w:after="0"/>
              <w:rPr>
                <w:sz w:val="24"/>
                <w:szCs w:val="24"/>
                <w:color w:val="auto"/>
              </w:rPr>
            </w:pPr>
          </w:p>
        </w:tc>
        <w:tc>
          <w:tcPr>
            <w:tcW w:w="1420" w:type="dxa"/>
            <w:vAlign w:val="bottom"/>
            <w:tcBorders>
              <w:bottom w:val="single" w:sz="8" w:color="959595"/>
            </w:tcBorders>
          </w:tcPr>
          <w:p>
            <w:pPr>
              <w:spacing w:after="0"/>
              <w:rPr>
                <w:sz w:val="24"/>
                <w:szCs w:val="24"/>
                <w:color w:val="auto"/>
              </w:rPr>
            </w:pPr>
          </w:p>
        </w:tc>
        <w:tc>
          <w:tcPr>
            <w:tcW w:w="1640" w:type="dxa"/>
            <w:vAlign w:val="bottom"/>
            <w:tcBorders>
              <w:bottom w:val="single" w:sz="8" w:color="959595"/>
            </w:tcBorders>
          </w:tcPr>
          <w:p>
            <w:pPr>
              <w:spacing w:after="0"/>
              <w:rPr>
                <w:sz w:val="24"/>
                <w:szCs w:val="24"/>
                <w:color w:val="auto"/>
              </w:rPr>
            </w:pPr>
          </w:p>
        </w:tc>
        <w:tc>
          <w:tcPr>
            <w:tcW w:w="960" w:type="dxa"/>
            <w:vAlign w:val="bottom"/>
            <w:tcBorders>
              <w:bottom w:val="single" w:sz="8" w:color="959595"/>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440" w:type="dxa"/>
            <w:vAlign w:val="bottom"/>
          </w:tcPr>
          <w:p>
            <w:pPr>
              <w:ind w:left="20"/>
              <w:spacing w:after="0"/>
              <w:rPr>
                <w:sz w:val="20"/>
                <w:szCs w:val="20"/>
                <w:color w:val="auto"/>
              </w:rPr>
            </w:pPr>
            <w:r>
              <w:rPr>
                <w:rFonts w:ascii="Calibri" w:cs="Calibri" w:eastAsia="Calibri" w:hAnsi="Calibri"/>
                <w:sz w:val="14"/>
                <w:szCs w:val="14"/>
                <w:b w:val="1"/>
                <w:bCs w:val="1"/>
                <w:color w:val="auto"/>
              </w:rPr>
              <w:t>ROIC*</w:t>
            </w:r>
          </w:p>
        </w:tc>
        <w:tc>
          <w:tcPr>
            <w:tcW w:w="900" w:type="dxa"/>
            <w:vAlign w:val="bottom"/>
          </w:tcPr>
          <w:p>
            <w:pPr>
              <w:jc w:val="center"/>
              <w:spacing w:after="0"/>
              <w:rPr>
                <w:sz w:val="20"/>
                <w:szCs w:val="20"/>
                <w:color w:val="auto"/>
              </w:rPr>
            </w:pPr>
            <w:r>
              <w:rPr>
                <w:rFonts w:ascii="Calibri" w:cs="Calibri" w:eastAsia="Calibri" w:hAnsi="Calibri"/>
                <w:sz w:val="14"/>
                <w:szCs w:val="14"/>
                <w:b w:val="1"/>
                <w:bCs w:val="1"/>
                <w:color w:val="003478"/>
              </w:rPr>
              <w:t>25%</w:t>
            </w: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jc w:val="center"/>
              <w:ind w:left="191"/>
              <w:spacing w:after="0"/>
              <w:rPr>
                <w:sz w:val="20"/>
                <w:szCs w:val="20"/>
                <w:color w:val="auto"/>
              </w:rPr>
            </w:pPr>
            <w:r>
              <w:rPr>
                <w:rFonts w:ascii="Calibri" w:cs="Calibri" w:eastAsia="Calibri" w:hAnsi="Calibri"/>
                <w:sz w:val="14"/>
                <w:szCs w:val="14"/>
                <w:color w:val="auto"/>
              </w:rPr>
              <w:t>200.0%</w:t>
            </w:r>
          </w:p>
        </w:tc>
        <w:tc>
          <w:tcPr>
            <w:tcW w:w="960" w:type="dxa"/>
            <w:vAlign w:val="bottom"/>
          </w:tcPr>
          <w:p>
            <w:pPr>
              <w:jc w:val="center"/>
              <w:ind w:right="71"/>
              <w:spacing w:after="0"/>
              <w:rPr>
                <w:sz w:val="20"/>
                <w:szCs w:val="20"/>
                <w:color w:val="auto"/>
              </w:rPr>
            </w:pPr>
            <w:r>
              <w:rPr>
                <w:rFonts w:ascii="Calibri" w:cs="Calibri" w:eastAsia="Calibri" w:hAnsi="Calibri"/>
                <w:sz w:val="14"/>
                <w:szCs w:val="14"/>
                <w:color w:val="auto"/>
                <w:w w:val="97"/>
              </w:rPr>
              <w:t>50.0%</w:t>
            </w:r>
          </w:p>
        </w:tc>
        <w:tc>
          <w:tcPr>
            <w:tcW w:w="0" w:type="dxa"/>
            <w:vAlign w:val="bottom"/>
          </w:tcPr>
          <w:p>
            <w:pPr>
              <w:spacing w:after="0"/>
              <w:rPr>
                <w:sz w:val="1"/>
                <w:szCs w:val="1"/>
                <w:color w:val="auto"/>
              </w:rPr>
            </w:pPr>
          </w:p>
        </w:tc>
      </w:tr>
      <w:tr>
        <w:trPr>
          <w:trHeight w:val="344"/>
        </w:trPr>
        <w:tc>
          <w:tcPr>
            <w:tcW w:w="1440" w:type="dxa"/>
            <w:vAlign w:val="bottom"/>
            <w:tcBorders>
              <w:bottom w:val="single" w:sz="8" w:color="959595"/>
            </w:tcBorders>
          </w:tcPr>
          <w:p>
            <w:pPr>
              <w:spacing w:after="0"/>
              <w:rPr>
                <w:sz w:val="24"/>
                <w:szCs w:val="24"/>
                <w:color w:val="auto"/>
              </w:rPr>
            </w:pPr>
          </w:p>
        </w:tc>
        <w:tc>
          <w:tcPr>
            <w:tcW w:w="90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spacing w:after="0"/>
              <w:rPr>
                <w:sz w:val="24"/>
                <w:szCs w:val="24"/>
                <w:color w:val="auto"/>
              </w:rPr>
            </w:pPr>
          </w:p>
        </w:tc>
        <w:tc>
          <w:tcPr>
            <w:tcW w:w="1660" w:type="dxa"/>
            <w:vAlign w:val="bottom"/>
            <w:tcBorders>
              <w:bottom w:val="single" w:sz="8" w:color="959595"/>
            </w:tcBorders>
          </w:tcPr>
          <w:p>
            <w:pPr>
              <w:spacing w:after="0"/>
              <w:rPr>
                <w:sz w:val="24"/>
                <w:szCs w:val="24"/>
                <w:color w:val="auto"/>
              </w:rPr>
            </w:pPr>
          </w:p>
        </w:tc>
        <w:tc>
          <w:tcPr>
            <w:tcW w:w="1420" w:type="dxa"/>
            <w:vAlign w:val="bottom"/>
            <w:tcBorders>
              <w:bottom w:val="single" w:sz="8" w:color="959595"/>
            </w:tcBorders>
          </w:tcPr>
          <w:p>
            <w:pPr>
              <w:spacing w:after="0"/>
              <w:rPr>
                <w:sz w:val="24"/>
                <w:szCs w:val="24"/>
                <w:color w:val="auto"/>
              </w:rPr>
            </w:pPr>
          </w:p>
        </w:tc>
        <w:tc>
          <w:tcPr>
            <w:tcW w:w="1640" w:type="dxa"/>
            <w:vAlign w:val="bottom"/>
            <w:tcBorders>
              <w:bottom w:val="single" w:sz="8" w:color="959595"/>
            </w:tcBorders>
          </w:tcPr>
          <w:p>
            <w:pPr>
              <w:spacing w:after="0"/>
              <w:rPr>
                <w:sz w:val="24"/>
                <w:szCs w:val="24"/>
                <w:color w:val="auto"/>
              </w:rPr>
            </w:pPr>
          </w:p>
        </w:tc>
        <w:tc>
          <w:tcPr>
            <w:tcW w:w="960" w:type="dxa"/>
            <w:vAlign w:val="bottom"/>
            <w:tcBorders>
              <w:bottom w:val="single" w:sz="8" w:color="959595"/>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40" w:type="dxa"/>
            <w:vAlign w:val="bottom"/>
          </w:tcPr>
          <w:p>
            <w:pPr>
              <w:ind w:left="220"/>
              <w:spacing w:after="0"/>
              <w:rPr>
                <w:sz w:val="20"/>
                <w:szCs w:val="20"/>
                <w:color w:val="auto"/>
              </w:rPr>
            </w:pPr>
            <w:r>
              <w:rPr>
                <w:rFonts w:ascii="Calibri" w:cs="Calibri" w:eastAsia="Calibri" w:hAnsi="Calibri"/>
                <w:sz w:val="14"/>
                <w:szCs w:val="14"/>
                <w:b w:val="1"/>
                <w:bCs w:val="1"/>
                <w:color w:val="auto"/>
              </w:rPr>
              <w:t>Overall Payout Factor</w:t>
            </w:r>
          </w:p>
        </w:tc>
        <w:tc>
          <w:tcPr>
            <w:tcW w:w="960" w:type="dxa"/>
            <w:vAlign w:val="bottom"/>
          </w:tcPr>
          <w:p>
            <w:pPr>
              <w:jc w:val="center"/>
              <w:ind w:right="71"/>
              <w:spacing w:after="0"/>
              <w:rPr>
                <w:sz w:val="20"/>
                <w:szCs w:val="20"/>
                <w:color w:val="auto"/>
              </w:rPr>
            </w:pPr>
            <w:r>
              <w:rPr>
                <w:rFonts w:ascii="Calibri" w:cs="Calibri" w:eastAsia="Calibri" w:hAnsi="Calibri"/>
                <w:sz w:val="14"/>
                <w:szCs w:val="14"/>
                <w:b w:val="1"/>
                <w:bCs w:val="1"/>
                <w:color w:val="auto"/>
                <w:w w:val="99"/>
              </w:rPr>
              <w:t>147.5%</w:t>
            </w:r>
          </w:p>
        </w:tc>
        <w:tc>
          <w:tcPr>
            <w:tcW w:w="0" w:type="dxa"/>
            <w:vAlign w:val="bottom"/>
          </w:tcPr>
          <w:p>
            <w:pPr>
              <w:spacing w:after="0"/>
              <w:rPr>
                <w:sz w:val="1"/>
                <w:szCs w:val="1"/>
                <w:color w:val="auto"/>
              </w:rPr>
            </w:pPr>
          </w:p>
        </w:tc>
      </w:tr>
      <w:tr>
        <w:trPr>
          <w:trHeight w:val="74"/>
        </w:trPr>
        <w:tc>
          <w:tcPr>
            <w:tcW w:w="1440" w:type="dxa"/>
            <w:vAlign w:val="bottom"/>
            <w:tcBorders>
              <w:bottom w:val="single" w:sz="8" w:color="959595"/>
            </w:tcBorders>
          </w:tcPr>
          <w:p>
            <w:pPr>
              <w:spacing w:after="0"/>
              <w:rPr>
                <w:sz w:val="6"/>
                <w:szCs w:val="6"/>
                <w:color w:val="auto"/>
              </w:rPr>
            </w:pPr>
          </w:p>
        </w:tc>
        <w:tc>
          <w:tcPr>
            <w:tcW w:w="900" w:type="dxa"/>
            <w:vAlign w:val="bottom"/>
            <w:tcBorders>
              <w:bottom w:val="single" w:sz="8" w:color="959595"/>
            </w:tcBorders>
          </w:tcPr>
          <w:p>
            <w:pPr>
              <w:spacing w:after="0"/>
              <w:rPr>
                <w:sz w:val="6"/>
                <w:szCs w:val="6"/>
                <w:color w:val="auto"/>
              </w:rPr>
            </w:pPr>
          </w:p>
        </w:tc>
        <w:tc>
          <w:tcPr>
            <w:tcW w:w="1360" w:type="dxa"/>
            <w:vAlign w:val="bottom"/>
            <w:tcBorders>
              <w:bottom w:val="single" w:sz="8" w:color="959595"/>
            </w:tcBorders>
          </w:tcPr>
          <w:p>
            <w:pPr>
              <w:spacing w:after="0"/>
              <w:rPr>
                <w:sz w:val="6"/>
                <w:szCs w:val="6"/>
                <w:color w:val="auto"/>
              </w:rPr>
            </w:pPr>
          </w:p>
        </w:tc>
        <w:tc>
          <w:tcPr>
            <w:tcW w:w="1660" w:type="dxa"/>
            <w:vAlign w:val="bottom"/>
            <w:tcBorders>
              <w:bottom w:val="single" w:sz="8" w:color="959595"/>
            </w:tcBorders>
          </w:tcPr>
          <w:p>
            <w:pPr>
              <w:spacing w:after="0"/>
              <w:rPr>
                <w:sz w:val="6"/>
                <w:szCs w:val="6"/>
                <w:color w:val="auto"/>
              </w:rPr>
            </w:pPr>
          </w:p>
        </w:tc>
        <w:tc>
          <w:tcPr>
            <w:tcW w:w="1420" w:type="dxa"/>
            <w:vAlign w:val="bottom"/>
            <w:tcBorders>
              <w:bottom w:val="single" w:sz="8" w:color="959595"/>
            </w:tcBorders>
          </w:tcPr>
          <w:p>
            <w:pPr>
              <w:spacing w:after="0"/>
              <w:rPr>
                <w:sz w:val="6"/>
                <w:szCs w:val="6"/>
                <w:color w:val="auto"/>
              </w:rPr>
            </w:pPr>
          </w:p>
        </w:tc>
        <w:tc>
          <w:tcPr>
            <w:tcW w:w="1640" w:type="dxa"/>
            <w:vAlign w:val="bottom"/>
            <w:tcBorders>
              <w:bottom w:val="single" w:sz="8" w:color="959595"/>
            </w:tcBorders>
          </w:tcPr>
          <w:p>
            <w:pPr>
              <w:spacing w:after="0"/>
              <w:rPr>
                <w:sz w:val="6"/>
                <w:szCs w:val="6"/>
                <w:color w:val="auto"/>
              </w:rPr>
            </w:pPr>
          </w:p>
        </w:tc>
        <w:tc>
          <w:tcPr>
            <w:tcW w:w="960" w:type="dxa"/>
            <w:vAlign w:val="bottom"/>
            <w:tcBorders>
              <w:bottom w:val="single" w:sz="8" w:color="959595"/>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-1645285</wp:posOffset>
            </wp:positionV>
            <wp:extent cx="2682875" cy="3600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82875" cy="36004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-1182370</wp:posOffset>
            </wp:positionV>
            <wp:extent cx="2451735" cy="4114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451735" cy="41148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-685165</wp:posOffset>
            </wp:positionV>
            <wp:extent cx="2554605" cy="4368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54605" cy="436880"/>
                    </a:xfrm>
                    <a:prstGeom prst="rect">
                      <a:avLst/>
                    </a:prstGeom>
                    <a:noFill/>
                  </pic:spPr>
                </pic:pic>
              </a:graphicData>
            </a:graphic>
          </wp:anchor>
        </w:drawing>
      </w:r>
    </w:p>
    <w:p>
      <w:pPr>
        <w:spacing w:after="0" w:line="128" w:lineRule="exact"/>
        <w:rPr>
          <w:sz w:val="20"/>
          <w:szCs w:val="20"/>
          <w:color w:val="auto"/>
        </w:rPr>
      </w:pPr>
    </w:p>
    <w:p>
      <w:pPr>
        <w:ind w:left="260" w:right="500" w:hanging="252"/>
        <w:spacing w:after="0" w:line="245" w:lineRule="auto"/>
        <w:tabs>
          <w:tab w:leader="none" w:pos="248" w:val="left"/>
        </w:tabs>
        <w:numPr>
          <w:ilvl w:val="0"/>
          <w:numId w:val="80"/>
        </w:numPr>
        <w:rPr>
          <w:rFonts w:ascii="Calibri" w:cs="Calibri" w:eastAsia="Calibri" w:hAnsi="Calibri"/>
          <w:sz w:val="14"/>
          <w:szCs w:val="14"/>
          <w:color w:val="auto"/>
        </w:rPr>
      </w:pPr>
      <w:r>
        <w:rPr>
          <w:rFonts w:ascii="Calibri" w:cs="Calibri" w:eastAsia="Calibri" w:hAnsi="Calibri"/>
          <w:sz w:val="14"/>
          <w:szCs w:val="14"/>
          <w:color w:val="auto"/>
        </w:rPr>
        <w:t>See Appendix A for defniton of Non-GAAP measures. Performance Cash represents the Company’s Cash from Operatons adjusted for items as described in the PSU and LTIP award agreements.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59" w:name="page60"/>
    <w:bookmarkEnd w:id="59"/>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alibri" w:cs="Calibri" w:eastAsia="Calibri" w:hAnsi="Calibri"/>
          <w:sz w:val="17"/>
          <w:szCs w:val="17"/>
          <w:color w:val="auto"/>
        </w:rPr>
        <w:t>Based on a weighted payout factor of 147.5%, the following table shows the payouts for 2020-2022 LTIP and PSU awards paid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2228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Borders>
              <w:bottom w:val="single" w:sz="8" w:color="003478"/>
            </w:tcBorders>
          </w:tcPr>
          <w:p>
            <w:pPr>
              <w:ind w:left="20"/>
              <w:spacing w:after="0"/>
              <w:rPr>
                <w:sz w:val="20"/>
                <w:szCs w:val="20"/>
                <w:color w:val="auto"/>
              </w:rPr>
            </w:pPr>
            <w:r>
              <w:rPr>
                <w:rFonts w:ascii="Arial" w:cs="Arial" w:eastAsia="Arial" w:hAnsi="Arial"/>
                <w:sz w:val="13"/>
                <w:szCs w:val="13"/>
                <w:color w:val="auto"/>
              </w:rPr>
              <w:t>NEO</w:t>
            </w:r>
            <w:r>
              <w:rPr>
                <w:rFonts w:ascii="Arial" w:cs="Arial" w:eastAsia="Arial" w:hAnsi="Arial"/>
                <w:sz w:val="16"/>
                <w:szCs w:val="16"/>
                <w:color w:val="auto"/>
                <w:vertAlign w:val="superscript"/>
              </w:rPr>
              <w:t>1</w:t>
            </w:r>
          </w:p>
        </w:tc>
        <w:tc>
          <w:tcPr>
            <w:tcW w:w="3400" w:type="dxa"/>
            <w:vAlign w:val="bottom"/>
            <w:tcBorders>
              <w:bottom w:val="single" w:sz="8" w:color="003478"/>
            </w:tcBorders>
          </w:tcPr>
          <w:p>
            <w:pPr>
              <w:ind w:left="2220"/>
              <w:spacing w:after="0"/>
              <w:rPr>
                <w:sz w:val="20"/>
                <w:szCs w:val="20"/>
                <w:color w:val="auto"/>
              </w:rPr>
            </w:pPr>
            <w:r>
              <w:rPr>
                <w:rFonts w:ascii="Arial" w:cs="Arial" w:eastAsia="Arial" w:hAnsi="Arial"/>
                <w:sz w:val="13"/>
                <w:szCs w:val="13"/>
                <w:color w:val="auto"/>
              </w:rPr>
              <w:t>LTIP Target ($)</w:t>
            </w:r>
          </w:p>
        </w:tc>
        <w:tc>
          <w:tcPr>
            <w:tcW w:w="1500" w:type="dxa"/>
            <w:vAlign w:val="bottom"/>
            <w:tcBorders>
              <w:bottom w:val="single" w:sz="8" w:color="003478"/>
            </w:tcBorders>
          </w:tcPr>
          <w:p>
            <w:pPr>
              <w:ind w:left="340"/>
              <w:spacing w:after="0"/>
              <w:rPr>
                <w:sz w:val="20"/>
                <w:szCs w:val="20"/>
                <w:color w:val="auto"/>
              </w:rPr>
            </w:pPr>
            <w:r>
              <w:rPr>
                <w:rFonts w:ascii="Arial" w:cs="Arial" w:eastAsia="Arial" w:hAnsi="Arial"/>
                <w:sz w:val="13"/>
                <w:szCs w:val="13"/>
                <w:color w:val="auto"/>
              </w:rPr>
              <w:t>LTIP Payout ($)</w:t>
            </w:r>
          </w:p>
        </w:tc>
      </w:tr>
      <w:tr>
        <w:trPr>
          <w:trHeight w:val="163"/>
        </w:trPr>
        <w:tc>
          <w:tcPr>
            <w:tcW w:w="30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Taiclet</w:t>
            </w:r>
          </w:p>
        </w:tc>
        <w:tc>
          <w:tcPr>
            <w:tcW w:w="3400" w:type="dxa"/>
            <w:vAlign w:val="bottom"/>
          </w:tcPr>
          <w:p>
            <w:pPr>
              <w:jc w:val="center"/>
              <w:ind w:left="1789"/>
              <w:spacing w:after="0" w:line="164" w:lineRule="exact"/>
              <w:rPr>
                <w:sz w:val="20"/>
                <w:szCs w:val="20"/>
                <w:color w:val="auto"/>
              </w:rPr>
            </w:pPr>
            <w:r>
              <w:rPr>
                <w:rFonts w:ascii="Calibri" w:cs="Calibri" w:eastAsia="Calibri" w:hAnsi="Calibri"/>
                <w:sz w:val="14"/>
                <w:szCs w:val="14"/>
                <w:color w:val="auto"/>
              </w:rPr>
              <w:t>2,800,000</w:t>
            </w:r>
          </w:p>
        </w:tc>
        <w:tc>
          <w:tcPr>
            <w:tcW w:w="1500" w:type="dxa"/>
            <w:vAlign w:val="bottom"/>
          </w:tcPr>
          <w:p>
            <w:pPr>
              <w:jc w:val="center"/>
              <w:spacing w:after="0" w:line="164" w:lineRule="exact"/>
              <w:rPr>
                <w:sz w:val="20"/>
                <w:szCs w:val="20"/>
                <w:color w:val="auto"/>
              </w:rPr>
            </w:pPr>
            <w:r>
              <w:rPr>
                <w:rFonts w:ascii="Calibri" w:cs="Calibri" w:eastAsia="Calibri" w:hAnsi="Calibri"/>
                <w:sz w:val="14"/>
                <w:szCs w:val="14"/>
                <w:color w:val="auto"/>
              </w:rPr>
              <w:t>4,130,000</w:t>
            </w:r>
          </w:p>
        </w:tc>
      </w:tr>
      <w:tr>
        <w:trPr>
          <w:trHeight w:val="33"/>
        </w:trPr>
        <w:tc>
          <w:tcPr>
            <w:tcW w:w="3080" w:type="dxa"/>
            <w:vAlign w:val="bottom"/>
            <w:tcBorders>
              <w:bottom w:val="single" w:sz="8" w:color="959595"/>
            </w:tcBorders>
          </w:tcPr>
          <w:p>
            <w:pPr>
              <w:spacing w:after="0"/>
              <w:rPr>
                <w:sz w:val="2"/>
                <w:szCs w:val="2"/>
                <w:color w:val="auto"/>
              </w:rPr>
            </w:pPr>
          </w:p>
        </w:tc>
        <w:tc>
          <w:tcPr>
            <w:tcW w:w="3400" w:type="dxa"/>
            <w:vAlign w:val="bottom"/>
            <w:tcBorders>
              <w:bottom w:val="single" w:sz="8" w:color="959595"/>
            </w:tcBorders>
          </w:tcPr>
          <w:p>
            <w:pPr>
              <w:spacing w:after="0"/>
              <w:rPr>
                <w:sz w:val="2"/>
                <w:szCs w:val="2"/>
                <w:color w:val="auto"/>
              </w:rPr>
            </w:pPr>
          </w:p>
        </w:tc>
        <w:tc>
          <w:tcPr>
            <w:tcW w:w="1500" w:type="dxa"/>
            <w:vAlign w:val="bottom"/>
            <w:tcBorders>
              <w:bottom w:val="single" w:sz="8" w:color="959595"/>
            </w:tcBorders>
          </w:tcPr>
          <w:p>
            <w:pPr>
              <w:spacing w:after="0"/>
              <w:rPr>
                <w:sz w:val="2"/>
                <w:szCs w:val="2"/>
                <w:color w:val="auto"/>
              </w:rPr>
            </w:pPr>
          </w:p>
        </w:tc>
      </w:tr>
      <w:tr>
        <w:trPr>
          <w:trHeight w:val="196"/>
        </w:trPr>
        <w:tc>
          <w:tcPr>
            <w:tcW w:w="3080" w:type="dxa"/>
            <w:vAlign w:val="bottom"/>
            <w:tcBorders>
              <w:bottom w:val="single" w:sz="8" w:color="959595"/>
            </w:tcBorders>
          </w:tcPr>
          <w:p>
            <w:pPr>
              <w:ind w:left="20"/>
              <w:spacing w:after="0" w:line="196" w:lineRule="exact"/>
              <w:rPr>
                <w:sz w:val="20"/>
                <w:szCs w:val="20"/>
                <w:color w:val="auto"/>
              </w:rPr>
            </w:pPr>
            <w:r>
              <w:rPr>
                <w:rFonts w:ascii="Calibri" w:cs="Calibri" w:eastAsia="Calibri" w:hAnsi="Calibri"/>
                <w:sz w:val="14"/>
                <w:szCs w:val="14"/>
                <w:b w:val="1"/>
                <w:bCs w:val="1"/>
                <w:color w:val="003478"/>
              </w:rPr>
              <w:t>Mr. Mollard</w:t>
            </w:r>
            <w:r>
              <w:rPr>
                <w:rFonts w:ascii="Calibri" w:cs="Calibri" w:eastAsia="Calibri" w:hAnsi="Calibri"/>
                <w:sz w:val="18"/>
                <w:szCs w:val="18"/>
                <w:b w:val="1"/>
                <w:bCs w:val="1"/>
                <w:color w:val="003478"/>
                <w:vertAlign w:val="superscript"/>
              </w:rPr>
              <w:t>2,3</w:t>
            </w:r>
          </w:p>
        </w:tc>
        <w:tc>
          <w:tcPr>
            <w:tcW w:w="3400" w:type="dxa"/>
            <w:vAlign w:val="bottom"/>
            <w:tcBorders>
              <w:bottom w:val="single" w:sz="8" w:color="959595"/>
            </w:tcBorders>
          </w:tcPr>
          <w:p>
            <w:pPr>
              <w:jc w:val="center"/>
              <w:ind w:left="1809"/>
              <w:spacing w:after="0"/>
              <w:rPr>
                <w:sz w:val="20"/>
                <w:szCs w:val="20"/>
                <w:color w:val="auto"/>
              </w:rPr>
            </w:pPr>
            <w:r>
              <w:rPr>
                <w:rFonts w:ascii="Calibri" w:cs="Calibri" w:eastAsia="Calibri" w:hAnsi="Calibri"/>
                <w:sz w:val="14"/>
                <w:szCs w:val="14"/>
                <w:color w:val="auto"/>
              </w:rPr>
              <w:t>300,000</w:t>
            </w:r>
          </w:p>
        </w:tc>
        <w:tc>
          <w:tcPr>
            <w:tcW w:w="1500" w:type="dxa"/>
            <w:vAlign w:val="bottom"/>
            <w:tcBorders>
              <w:bottom w:val="single" w:sz="8" w:color="959595"/>
            </w:tcBorders>
          </w:tcPr>
          <w:p>
            <w:pPr>
              <w:jc w:val="center"/>
              <w:spacing w:after="0"/>
              <w:rPr>
                <w:sz w:val="20"/>
                <w:szCs w:val="20"/>
                <w:color w:val="auto"/>
              </w:rPr>
            </w:pPr>
            <w:r>
              <w:rPr>
                <w:rFonts w:ascii="Calibri" w:cs="Calibri" w:eastAsia="Calibri" w:hAnsi="Calibri"/>
                <w:sz w:val="14"/>
                <w:szCs w:val="14"/>
                <w:color w:val="auto"/>
                <w:w w:val="99"/>
              </w:rPr>
              <w:t>442,500</w:t>
            </w:r>
          </w:p>
        </w:tc>
      </w:tr>
      <w:tr>
        <w:trPr>
          <w:trHeight w:val="163"/>
        </w:trPr>
        <w:tc>
          <w:tcPr>
            <w:tcW w:w="30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Mr. St. John</w:t>
            </w:r>
          </w:p>
        </w:tc>
        <w:tc>
          <w:tcPr>
            <w:tcW w:w="3400" w:type="dxa"/>
            <w:vAlign w:val="bottom"/>
          </w:tcPr>
          <w:p>
            <w:pPr>
              <w:jc w:val="center"/>
              <w:ind w:left="1809"/>
              <w:spacing w:after="0" w:line="164" w:lineRule="exact"/>
              <w:rPr>
                <w:sz w:val="20"/>
                <w:szCs w:val="20"/>
                <w:color w:val="auto"/>
              </w:rPr>
            </w:pPr>
            <w:r>
              <w:rPr>
                <w:rFonts w:ascii="Calibri" w:cs="Calibri" w:eastAsia="Calibri" w:hAnsi="Calibri"/>
                <w:sz w:val="14"/>
                <w:szCs w:val="14"/>
                <w:color w:val="auto"/>
              </w:rPr>
              <w:t>930,000</w:t>
            </w:r>
          </w:p>
        </w:tc>
        <w:tc>
          <w:tcPr>
            <w:tcW w:w="1500" w:type="dxa"/>
            <w:vAlign w:val="bottom"/>
          </w:tcPr>
          <w:p>
            <w:pPr>
              <w:jc w:val="center"/>
              <w:spacing w:after="0" w:line="164" w:lineRule="exact"/>
              <w:rPr>
                <w:sz w:val="20"/>
                <w:szCs w:val="20"/>
                <w:color w:val="auto"/>
              </w:rPr>
            </w:pPr>
            <w:r>
              <w:rPr>
                <w:rFonts w:ascii="Calibri" w:cs="Calibri" w:eastAsia="Calibri" w:hAnsi="Calibri"/>
                <w:sz w:val="14"/>
                <w:szCs w:val="14"/>
                <w:color w:val="auto"/>
              </w:rPr>
              <w:t>1,371,750</w:t>
            </w:r>
          </w:p>
        </w:tc>
      </w:tr>
      <w:tr>
        <w:trPr>
          <w:trHeight w:val="33"/>
        </w:trPr>
        <w:tc>
          <w:tcPr>
            <w:tcW w:w="3080" w:type="dxa"/>
            <w:vAlign w:val="bottom"/>
            <w:tcBorders>
              <w:bottom w:val="single" w:sz="8" w:color="959595"/>
            </w:tcBorders>
          </w:tcPr>
          <w:p>
            <w:pPr>
              <w:spacing w:after="0"/>
              <w:rPr>
                <w:sz w:val="2"/>
                <w:szCs w:val="2"/>
                <w:color w:val="auto"/>
              </w:rPr>
            </w:pPr>
          </w:p>
        </w:tc>
        <w:tc>
          <w:tcPr>
            <w:tcW w:w="3400" w:type="dxa"/>
            <w:vAlign w:val="bottom"/>
            <w:tcBorders>
              <w:bottom w:val="single" w:sz="8" w:color="959595"/>
            </w:tcBorders>
          </w:tcPr>
          <w:p>
            <w:pPr>
              <w:spacing w:after="0"/>
              <w:rPr>
                <w:sz w:val="2"/>
                <w:szCs w:val="2"/>
                <w:color w:val="auto"/>
              </w:rPr>
            </w:pPr>
          </w:p>
        </w:tc>
        <w:tc>
          <w:tcPr>
            <w:tcW w:w="1500" w:type="dxa"/>
            <w:vAlign w:val="bottom"/>
            <w:tcBorders>
              <w:bottom w:val="single" w:sz="8" w:color="959595"/>
            </w:tcBorders>
          </w:tcPr>
          <w:p>
            <w:pPr>
              <w:spacing w:after="0"/>
              <w:rPr>
                <w:sz w:val="2"/>
                <w:szCs w:val="2"/>
                <w:color w:val="auto"/>
              </w:rPr>
            </w:pPr>
          </w:p>
        </w:tc>
      </w:tr>
      <w:tr>
        <w:trPr>
          <w:trHeight w:val="196"/>
        </w:trPr>
        <w:tc>
          <w:tcPr>
            <w:tcW w:w="3080" w:type="dxa"/>
            <w:vAlign w:val="bottom"/>
            <w:tcBorders>
              <w:bottom w:val="single" w:sz="8" w:color="959595"/>
            </w:tcBorders>
          </w:tcPr>
          <w:p>
            <w:pPr>
              <w:ind w:left="20"/>
              <w:spacing w:after="0" w:line="196" w:lineRule="exact"/>
              <w:rPr>
                <w:sz w:val="20"/>
                <w:szCs w:val="20"/>
                <w:color w:val="auto"/>
              </w:rPr>
            </w:pPr>
            <w:r>
              <w:rPr>
                <w:rFonts w:ascii="Calibri" w:cs="Calibri" w:eastAsia="Calibri" w:hAnsi="Calibri"/>
                <w:sz w:val="14"/>
                <w:szCs w:val="14"/>
                <w:b w:val="1"/>
                <w:bCs w:val="1"/>
                <w:color w:val="003478"/>
              </w:rPr>
              <w:t>Mr. Greene</w:t>
            </w:r>
            <w:r>
              <w:rPr>
                <w:rFonts w:ascii="Calibri" w:cs="Calibri" w:eastAsia="Calibri" w:hAnsi="Calibri"/>
                <w:sz w:val="18"/>
                <w:szCs w:val="18"/>
                <w:b w:val="1"/>
                <w:bCs w:val="1"/>
                <w:color w:val="003478"/>
                <w:vertAlign w:val="superscript"/>
              </w:rPr>
              <w:t>3</w:t>
            </w:r>
          </w:p>
        </w:tc>
        <w:tc>
          <w:tcPr>
            <w:tcW w:w="3400" w:type="dxa"/>
            <w:vAlign w:val="bottom"/>
            <w:tcBorders>
              <w:bottom w:val="single" w:sz="8" w:color="959595"/>
            </w:tcBorders>
          </w:tcPr>
          <w:p>
            <w:pPr>
              <w:jc w:val="center"/>
              <w:ind w:left="1809"/>
              <w:spacing w:after="0"/>
              <w:rPr>
                <w:sz w:val="20"/>
                <w:szCs w:val="20"/>
                <w:color w:val="auto"/>
              </w:rPr>
            </w:pPr>
            <w:r>
              <w:rPr>
                <w:rFonts w:ascii="Calibri" w:cs="Calibri" w:eastAsia="Calibri" w:hAnsi="Calibri"/>
                <w:sz w:val="14"/>
                <w:szCs w:val="14"/>
                <w:color w:val="auto"/>
              </w:rPr>
              <w:t>800,000</w:t>
            </w:r>
          </w:p>
        </w:tc>
        <w:tc>
          <w:tcPr>
            <w:tcW w:w="1500" w:type="dxa"/>
            <w:vAlign w:val="bottom"/>
            <w:tcBorders>
              <w:bottom w:val="single" w:sz="8" w:color="959595"/>
            </w:tcBorders>
          </w:tcPr>
          <w:p>
            <w:pPr>
              <w:jc w:val="center"/>
              <w:spacing w:after="0"/>
              <w:rPr>
                <w:sz w:val="20"/>
                <w:szCs w:val="20"/>
                <w:color w:val="auto"/>
              </w:rPr>
            </w:pPr>
            <w:r>
              <w:rPr>
                <w:rFonts w:ascii="Calibri" w:cs="Calibri" w:eastAsia="Calibri" w:hAnsi="Calibri"/>
                <w:sz w:val="14"/>
                <w:szCs w:val="14"/>
                <w:color w:val="auto"/>
              </w:rPr>
              <w:t>1,180,000</w:t>
            </w:r>
          </w:p>
        </w:tc>
      </w:tr>
      <w:tr>
        <w:trPr>
          <w:trHeight w:val="163"/>
        </w:trPr>
        <w:tc>
          <w:tcPr>
            <w:tcW w:w="30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Ms. Lavan</w:t>
            </w:r>
          </w:p>
        </w:tc>
        <w:tc>
          <w:tcPr>
            <w:tcW w:w="3400" w:type="dxa"/>
            <w:vAlign w:val="bottom"/>
          </w:tcPr>
          <w:p>
            <w:pPr>
              <w:jc w:val="center"/>
              <w:ind w:left="1809"/>
              <w:spacing w:after="0" w:line="164" w:lineRule="exact"/>
              <w:rPr>
                <w:sz w:val="20"/>
                <w:szCs w:val="20"/>
                <w:color w:val="auto"/>
              </w:rPr>
            </w:pPr>
            <w:r>
              <w:rPr>
                <w:rFonts w:ascii="Calibri" w:cs="Calibri" w:eastAsia="Calibri" w:hAnsi="Calibri"/>
                <w:sz w:val="14"/>
                <w:szCs w:val="14"/>
                <w:color w:val="auto"/>
              </w:rPr>
              <w:t>650,000</w:t>
            </w:r>
          </w:p>
        </w:tc>
        <w:tc>
          <w:tcPr>
            <w:tcW w:w="1500" w:type="dxa"/>
            <w:vAlign w:val="bottom"/>
          </w:tcPr>
          <w:p>
            <w:pPr>
              <w:jc w:val="center"/>
              <w:spacing w:after="0" w:line="164" w:lineRule="exact"/>
              <w:rPr>
                <w:sz w:val="20"/>
                <w:szCs w:val="20"/>
                <w:color w:val="auto"/>
              </w:rPr>
            </w:pPr>
            <w:r>
              <w:rPr>
                <w:rFonts w:ascii="Calibri" w:cs="Calibri" w:eastAsia="Calibri" w:hAnsi="Calibri"/>
                <w:sz w:val="14"/>
                <w:szCs w:val="14"/>
                <w:color w:val="auto"/>
                <w:w w:val="99"/>
              </w:rPr>
              <w:t>958,750</w:t>
            </w:r>
          </w:p>
        </w:tc>
      </w:tr>
      <w:tr>
        <w:trPr>
          <w:trHeight w:val="33"/>
        </w:trPr>
        <w:tc>
          <w:tcPr>
            <w:tcW w:w="3080" w:type="dxa"/>
            <w:vAlign w:val="bottom"/>
            <w:tcBorders>
              <w:bottom w:val="single" w:sz="8" w:color="959595"/>
            </w:tcBorders>
          </w:tcPr>
          <w:p>
            <w:pPr>
              <w:spacing w:after="0"/>
              <w:rPr>
                <w:sz w:val="2"/>
                <w:szCs w:val="2"/>
                <w:color w:val="auto"/>
              </w:rPr>
            </w:pPr>
          </w:p>
        </w:tc>
        <w:tc>
          <w:tcPr>
            <w:tcW w:w="3400" w:type="dxa"/>
            <w:vAlign w:val="bottom"/>
            <w:tcBorders>
              <w:bottom w:val="single" w:sz="8" w:color="959595"/>
            </w:tcBorders>
          </w:tcPr>
          <w:p>
            <w:pPr>
              <w:spacing w:after="0"/>
              <w:rPr>
                <w:sz w:val="2"/>
                <w:szCs w:val="2"/>
                <w:color w:val="auto"/>
              </w:rPr>
            </w:pPr>
          </w:p>
        </w:tc>
        <w:tc>
          <w:tcPr>
            <w:tcW w:w="1500" w:type="dxa"/>
            <w:vAlign w:val="bottom"/>
            <w:tcBorders>
              <w:bottom w:val="single" w:sz="8" w:color="959595"/>
            </w:tcBorders>
          </w:tcPr>
          <w:p>
            <w:pPr>
              <w:spacing w:after="0"/>
              <w:rPr>
                <w:sz w:val="2"/>
                <w:szCs w:val="2"/>
                <w:color w:val="auto"/>
              </w:rPr>
            </w:pPr>
          </w:p>
        </w:tc>
      </w:tr>
      <w:tr>
        <w:trPr>
          <w:trHeight w:val="196"/>
        </w:trPr>
        <w:tc>
          <w:tcPr>
            <w:tcW w:w="3080" w:type="dxa"/>
            <w:vAlign w:val="bottom"/>
            <w:tcBorders>
              <w:bottom w:val="single" w:sz="8" w:color="959595"/>
            </w:tcBorders>
          </w:tcPr>
          <w:p>
            <w:pPr>
              <w:ind w:left="20"/>
              <w:spacing w:after="0" w:line="196" w:lineRule="exact"/>
              <w:rPr>
                <w:sz w:val="20"/>
                <w:szCs w:val="20"/>
                <w:color w:val="auto"/>
              </w:rPr>
            </w:pPr>
            <w:r>
              <w:rPr>
                <w:rFonts w:ascii="Calibri" w:cs="Calibri" w:eastAsia="Calibri" w:hAnsi="Calibri"/>
                <w:sz w:val="14"/>
                <w:szCs w:val="14"/>
                <w:b w:val="1"/>
                <w:bCs w:val="1"/>
                <w:color w:val="003478"/>
              </w:rPr>
              <w:t>Mr. Ulmer</w:t>
            </w:r>
            <w:r>
              <w:rPr>
                <w:rFonts w:ascii="Calibri" w:cs="Calibri" w:eastAsia="Calibri" w:hAnsi="Calibri"/>
                <w:sz w:val="18"/>
                <w:szCs w:val="18"/>
                <w:b w:val="1"/>
                <w:bCs w:val="1"/>
                <w:color w:val="003478"/>
                <w:vertAlign w:val="superscript"/>
              </w:rPr>
              <w:t>2</w:t>
            </w:r>
          </w:p>
        </w:tc>
        <w:tc>
          <w:tcPr>
            <w:tcW w:w="3400" w:type="dxa"/>
            <w:vAlign w:val="bottom"/>
            <w:tcBorders>
              <w:bottom w:val="single" w:sz="8" w:color="959595"/>
            </w:tcBorders>
          </w:tcPr>
          <w:p>
            <w:pPr>
              <w:jc w:val="center"/>
              <w:ind w:left="1809"/>
              <w:spacing w:after="0"/>
              <w:rPr>
                <w:sz w:val="20"/>
                <w:szCs w:val="20"/>
                <w:color w:val="auto"/>
              </w:rPr>
            </w:pPr>
            <w:r>
              <w:rPr>
                <w:rFonts w:ascii="Calibri" w:cs="Calibri" w:eastAsia="Calibri" w:hAnsi="Calibri"/>
                <w:sz w:val="14"/>
                <w:szCs w:val="14"/>
                <w:color w:val="auto"/>
              </w:rPr>
              <w:t>368,000</w:t>
            </w:r>
          </w:p>
        </w:tc>
        <w:tc>
          <w:tcPr>
            <w:tcW w:w="1500" w:type="dxa"/>
            <w:vAlign w:val="bottom"/>
            <w:tcBorders>
              <w:bottom w:val="single" w:sz="8" w:color="959595"/>
            </w:tcBorders>
          </w:tcPr>
          <w:p>
            <w:pPr>
              <w:jc w:val="center"/>
              <w:spacing w:after="0"/>
              <w:rPr>
                <w:sz w:val="20"/>
                <w:szCs w:val="20"/>
                <w:color w:val="auto"/>
              </w:rPr>
            </w:pPr>
            <w:r>
              <w:rPr>
                <w:rFonts w:ascii="Calibri" w:cs="Calibri" w:eastAsia="Calibri" w:hAnsi="Calibri"/>
                <w:sz w:val="14"/>
                <w:szCs w:val="14"/>
                <w:color w:val="auto"/>
                <w:w w:val="99"/>
              </w:rPr>
              <w:t>542,800</w:t>
            </w: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80" w:type="dxa"/>
            <w:vAlign w:val="bottom"/>
            <w:vMerge w:val="restart"/>
          </w:tcPr>
          <w:p>
            <w:pPr>
              <w:ind w:left="300"/>
              <w:spacing w:after="0"/>
              <w:rPr>
                <w:sz w:val="20"/>
                <w:szCs w:val="20"/>
                <w:color w:val="auto"/>
              </w:rPr>
            </w:pPr>
            <w:r>
              <w:rPr>
                <w:rFonts w:ascii="Arial" w:cs="Arial" w:eastAsia="Arial" w:hAnsi="Arial"/>
                <w:sz w:val="13"/>
                <w:szCs w:val="13"/>
                <w:color w:val="auto"/>
              </w:rPr>
              <w:t>PSUs Target (#)</w:t>
            </w:r>
          </w:p>
        </w:tc>
        <w:tc>
          <w:tcPr>
            <w:tcW w:w="1640" w:type="dxa"/>
            <w:vAlign w:val="bottom"/>
          </w:tcPr>
          <w:p>
            <w:pPr>
              <w:jc w:val="center"/>
              <w:ind w:left="50"/>
              <w:spacing w:after="0"/>
              <w:rPr>
                <w:sz w:val="20"/>
                <w:szCs w:val="20"/>
                <w:color w:val="auto"/>
              </w:rPr>
            </w:pPr>
            <w:r>
              <w:rPr>
                <w:rFonts w:ascii="Arial" w:cs="Arial" w:eastAsia="Arial" w:hAnsi="Arial"/>
                <w:sz w:val="13"/>
                <w:szCs w:val="13"/>
                <w:color w:val="auto"/>
                <w:w w:val="95"/>
              </w:rPr>
              <w:t>Total Shares Distributed /</w:t>
            </w:r>
          </w:p>
        </w:tc>
        <w:tc>
          <w:tcPr>
            <w:tcW w:w="0" w:type="dxa"/>
            <w:vAlign w:val="bottom"/>
          </w:tcPr>
          <w:p>
            <w:pPr>
              <w:spacing w:after="0"/>
              <w:rPr>
                <w:sz w:val="1"/>
                <w:szCs w:val="1"/>
                <w:color w:val="auto"/>
              </w:rPr>
            </w:pPr>
          </w:p>
        </w:tc>
      </w:tr>
      <w:tr>
        <w:trPr>
          <w:trHeight w:val="173"/>
        </w:trPr>
        <w:tc>
          <w:tcPr>
            <w:tcW w:w="1380" w:type="dxa"/>
            <w:vAlign w:val="bottom"/>
            <w:tcBorders>
              <w:bottom w:val="single" w:sz="8" w:color="003478"/>
            </w:tcBorders>
            <w:vMerge w:val="continue"/>
          </w:tcPr>
          <w:p>
            <w:pPr>
              <w:spacing w:after="0"/>
              <w:rPr>
                <w:sz w:val="15"/>
                <w:szCs w:val="15"/>
                <w:color w:val="auto"/>
              </w:rPr>
            </w:pPr>
          </w:p>
        </w:tc>
        <w:tc>
          <w:tcPr>
            <w:tcW w:w="1640" w:type="dxa"/>
            <w:vAlign w:val="bottom"/>
            <w:tcBorders>
              <w:bottom w:val="single" w:sz="8" w:color="003478"/>
            </w:tcBorders>
          </w:tcPr>
          <w:p>
            <w:pPr>
              <w:jc w:val="center"/>
              <w:ind w:left="50"/>
              <w:spacing w:after="0"/>
              <w:rPr>
                <w:sz w:val="20"/>
                <w:szCs w:val="20"/>
                <w:color w:val="auto"/>
              </w:rPr>
            </w:pPr>
            <w:r>
              <w:rPr>
                <w:rFonts w:ascii="Arial" w:cs="Arial" w:eastAsia="Arial" w:hAnsi="Arial"/>
                <w:sz w:val="13"/>
                <w:szCs w:val="13"/>
                <w:color w:val="auto"/>
                <w:w w:val="95"/>
              </w:rPr>
              <w:t>Earned</w:t>
            </w:r>
          </w:p>
        </w:tc>
        <w:tc>
          <w:tcPr>
            <w:tcW w:w="0" w:type="dxa"/>
            <w:vAlign w:val="bottom"/>
          </w:tcPr>
          <w:p>
            <w:pPr>
              <w:spacing w:after="0"/>
              <w:rPr>
                <w:sz w:val="1"/>
                <w:szCs w:val="1"/>
                <w:color w:val="auto"/>
              </w:rPr>
            </w:pPr>
          </w:p>
        </w:tc>
      </w:tr>
      <w:tr>
        <w:trPr>
          <w:trHeight w:val="170"/>
        </w:trPr>
        <w:tc>
          <w:tcPr>
            <w:tcW w:w="1380" w:type="dxa"/>
            <w:vAlign w:val="bottom"/>
          </w:tcPr>
          <w:p>
            <w:pPr>
              <w:jc w:val="center"/>
              <w:ind w:left="69"/>
              <w:spacing w:after="0"/>
              <w:rPr>
                <w:sz w:val="20"/>
                <w:szCs w:val="20"/>
                <w:color w:val="auto"/>
              </w:rPr>
            </w:pPr>
            <w:r>
              <w:rPr>
                <w:rFonts w:ascii="Calibri" w:cs="Calibri" w:eastAsia="Calibri" w:hAnsi="Calibri"/>
                <w:sz w:val="14"/>
                <w:szCs w:val="14"/>
                <w:color w:val="auto"/>
              </w:rPr>
              <w:t>18,321</w:t>
            </w:r>
          </w:p>
        </w:tc>
        <w:tc>
          <w:tcPr>
            <w:tcW w:w="1640" w:type="dxa"/>
            <w:vAlign w:val="bottom"/>
          </w:tcPr>
          <w:p>
            <w:pPr>
              <w:jc w:val="center"/>
              <w:ind w:left="50"/>
              <w:spacing w:after="0"/>
              <w:rPr>
                <w:sz w:val="20"/>
                <w:szCs w:val="20"/>
                <w:color w:val="auto"/>
              </w:rPr>
            </w:pPr>
            <w:r>
              <w:rPr>
                <w:rFonts w:ascii="Calibri" w:cs="Calibri" w:eastAsia="Calibri" w:hAnsi="Calibri"/>
                <w:sz w:val="14"/>
                <w:szCs w:val="14"/>
                <w:color w:val="auto"/>
              </w:rPr>
              <w:t>27,024</w:t>
            </w:r>
          </w:p>
        </w:tc>
        <w:tc>
          <w:tcPr>
            <w:tcW w:w="0" w:type="dxa"/>
            <w:vAlign w:val="bottom"/>
          </w:tcPr>
          <w:p>
            <w:pPr>
              <w:spacing w:after="0"/>
              <w:rPr>
                <w:sz w:val="1"/>
                <w:szCs w:val="1"/>
                <w:color w:val="auto"/>
              </w:rPr>
            </w:pPr>
          </w:p>
        </w:tc>
      </w:tr>
      <w:tr>
        <w:trPr>
          <w:trHeight w:val="33"/>
        </w:trPr>
        <w:tc>
          <w:tcPr>
            <w:tcW w:w="138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380" w:type="dxa"/>
            <w:vAlign w:val="bottom"/>
          </w:tcPr>
          <w:p>
            <w:pPr>
              <w:jc w:val="center"/>
              <w:ind w:left="49"/>
              <w:spacing w:after="0" w:line="164" w:lineRule="exact"/>
              <w:rPr>
                <w:sz w:val="20"/>
                <w:szCs w:val="20"/>
                <w:color w:val="auto"/>
              </w:rPr>
            </w:pPr>
            <w:r>
              <w:rPr>
                <w:rFonts w:ascii="Calibri" w:cs="Calibri" w:eastAsia="Calibri" w:hAnsi="Calibri"/>
                <w:sz w:val="14"/>
                <w:szCs w:val="14"/>
                <w:color w:val="auto"/>
              </w:rPr>
              <w:t>186</w:t>
            </w:r>
          </w:p>
        </w:tc>
        <w:tc>
          <w:tcPr>
            <w:tcW w:w="1640" w:type="dxa"/>
            <w:vAlign w:val="bottom"/>
          </w:tcPr>
          <w:p>
            <w:pPr>
              <w:jc w:val="center"/>
              <w:ind w:left="70"/>
              <w:spacing w:after="0" w:line="164" w:lineRule="exact"/>
              <w:rPr>
                <w:sz w:val="20"/>
                <w:szCs w:val="20"/>
                <w:color w:val="auto"/>
              </w:rPr>
            </w:pPr>
            <w:r>
              <w:rPr>
                <w:rFonts w:ascii="Calibri" w:cs="Calibri" w:eastAsia="Calibri" w:hAnsi="Calibri"/>
                <w:sz w:val="14"/>
                <w:szCs w:val="14"/>
                <w:color w:val="auto"/>
              </w:rPr>
              <w:t>275</w:t>
            </w:r>
          </w:p>
        </w:tc>
        <w:tc>
          <w:tcPr>
            <w:tcW w:w="0" w:type="dxa"/>
            <w:vAlign w:val="bottom"/>
          </w:tcPr>
          <w:p>
            <w:pPr>
              <w:spacing w:after="0"/>
              <w:rPr>
                <w:sz w:val="1"/>
                <w:szCs w:val="1"/>
                <w:color w:val="auto"/>
              </w:rPr>
            </w:pPr>
          </w:p>
        </w:tc>
      </w:tr>
      <w:tr>
        <w:trPr>
          <w:trHeight w:val="33"/>
        </w:trPr>
        <w:tc>
          <w:tcPr>
            <w:tcW w:w="138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380" w:type="dxa"/>
            <w:vAlign w:val="bottom"/>
          </w:tcPr>
          <w:p>
            <w:pPr>
              <w:jc w:val="center"/>
              <w:ind w:left="49"/>
              <w:spacing w:after="0" w:line="164" w:lineRule="exact"/>
              <w:rPr>
                <w:sz w:val="20"/>
                <w:szCs w:val="20"/>
                <w:color w:val="auto"/>
              </w:rPr>
            </w:pPr>
            <w:r>
              <w:rPr>
                <w:rFonts w:ascii="Calibri" w:cs="Calibri" w:eastAsia="Calibri" w:hAnsi="Calibri"/>
                <w:sz w:val="14"/>
                <w:szCs w:val="14"/>
                <w:color w:val="auto"/>
              </w:rPr>
              <w:t>6,049</w:t>
            </w:r>
          </w:p>
        </w:tc>
        <w:tc>
          <w:tcPr>
            <w:tcW w:w="1640" w:type="dxa"/>
            <w:vAlign w:val="bottom"/>
          </w:tcPr>
          <w:p>
            <w:pPr>
              <w:jc w:val="center"/>
              <w:ind w:left="50"/>
              <w:spacing w:after="0" w:line="164" w:lineRule="exact"/>
              <w:rPr>
                <w:sz w:val="20"/>
                <w:szCs w:val="20"/>
                <w:color w:val="auto"/>
              </w:rPr>
            </w:pPr>
            <w:r>
              <w:rPr>
                <w:rFonts w:ascii="Calibri" w:cs="Calibri" w:eastAsia="Calibri" w:hAnsi="Calibri"/>
                <w:sz w:val="14"/>
                <w:szCs w:val="14"/>
                <w:color w:val="auto"/>
              </w:rPr>
              <w:t>8,924</w:t>
            </w:r>
          </w:p>
        </w:tc>
        <w:tc>
          <w:tcPr>
            <w:tcW w:w="0" w:type="dxa"/>
            <w:vAlign w:val="bottom"/>
          </w:tcPr>
          <w:p>
            <w:pPr>
              <w:spacing w:after="0"/>
              <w:rPr>
                <w:sz w:val="1"/>
                <w:szCs w:val="1"/>
                <w:color w:val="auto"/>
              </w:rPr>
            </w:pPr>
          </w:p>
        </w:tc>
      </w:tr>
      <w:tr>
        <w:trPr>
          <w:trHeight w:val="33"/>
        </w:trPr>
        <w:tc>
          <w:tcPr>
            <w:tcW w:w="138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380" w:type="dxa"/>
            <w:vAlign w:val="bottom"/>
          </w:tcPr>
          <w:p>
            <w:pPr>
              <w:jc w:val="center"/>
              <w:ind w:left="49"/>
              <w:spacing w:after="0" w:line="164" w:lineRule="exact"/>
              <w:rPr>
                <w:sz w:val="20"/>
                <w:szCs w:val="20"/>
                <w:color w:val="auto"/>
              </w:rPr>
            </w:pPr>
            <w:r>
              <w:rPr>
                <w:rFonts w:ascii="Calibri" w:cs="Calibri" w:eastAsia="Calibri" w:hAnsi="Calibri"/>
                <w:sz w:val="14"/>
                <w:szCs w:val="14"/>
                <w:color w:val="auto"/>
              </w:rPr>
              <w:t>4,926</w:t>
            </w:r>
          </w:p>
        </w:tc>
        <w:tc>
          <w:tcPr>
            <w:tcW w:w="1640" w:type="dxa"/>
            <w:vAlign w:val="bottom"/>
          </w:tcPr>
          <w:p>
            <w:pPr>
              <w:jc w:val="center"/>
              <w:ind w:left="50"/>
              <w:spacing w:after="0" w:line="164" w:lineRule="exact"/>
              <w:rPr>
                <w:sz w:val="20"/>
                <w:szCs w:val="20"/>
                <w:color w:val="auto"/>
              </w:rPr>
            </w:pPr>
            <w:r>
              <w:rPr>
                <w:rFonts w:ascii="Calibri" w:cs="Calibri" w:eastAsia="Calibri" w:hAnsi="Calibri"/>
                <w:sz w:val="14"/>
                <w:szCs w:val="14"/>
                <w:color w:val="auto"/>
              </w:rPr>
              <w:t>7,266</w:t>
            </w:r>
          </w:p>
        </w:tc>
        <w:tc>
          <w:tcPr>
            <w:tcW w:w="0" w:type="dxa"/>
            <w:vAlign w:val="bottom"/>
          </w:tcPr>
          <w:p>
            <w:pPr>
              <w:spacing w:after="0"/>
              <w:rPr>
                <w:sz w:val="1"/>
                <w:szCs w:val="1"/>
                <w:color w:val="auto"/>
              </w:rPr>
            </w:pPr>
          </w:p>
        </w:tc>
      </w:tr>
      <w:tr>
        <w:trPr>
          <w:trHeight w:val="33"/>
        </w:trPr>
        <w:tc>
          <w:tcPr>
            <w:tcW w:w="138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380" w:type="dxa"/>
            <w:vAlign w:val="bottom"/>
          </w:tcPr>
          <w:p>
            <w:pPr>
              <w:jc w:val="center"/>
              <w:ind w:left="49"/>
              <w:spacing w:after="0" w:line="164" w:lineRule="exact"/>
              <w:rPr>
                <w:sz w:val="20"/>
                <w:szCs w:val="20"/>
                <w:color w:val="auto"/>
              </w:rPr>
            </w:pPr>
            <w:r>
              <w:rPr>
                <w:rFonts w:ascii="Calibri" w:cs="Calibri" w:eastAsia="Calibri" w:hAnsi="Calibri"/>
                <w:sz w:val="14"/>
                <w:szCs w:val="14"/>
                <w:color w:val="auto"/>
              </w:rPr>
              <w:t>4,226</w:t>
            </w:r>
          </w:p>
        </w:tc>
        <w:tc>
          <w:tcPr>
            <w:tcW w:w="1640" w:type="dxa"/>
            <w:vAlign w:val="bottom"/>
          </w:tcPr>
          <w:p>
            <w:pPr>
              <w:jc w:val="center"/>
              <w:ind w:left="50"/>
              <w:spacing w:after="0" w:line="164" w:lineRule="exact"/>
              <w:rPr>
                <w:sz w:val="20"/>
                <w:szCs w:val="20"/>
                <w:color w:val="auto"/>
              </w:rPr>
            </w:pPr>
            <w:r>
              <w:rPr>
                <w:rFonts w:ascii="Calibri" w:cs="Calibri" w:eastAsia="Calibri" w:hAnsi="Calibri"/>
                <w:sz w:val="14"/>
                <w:szCs w:val="14"/>
                <w:color w:val="auto"/>
              </w:rPr>
              <w:t>6,234</w:t>
            </w:r>
          </w:p>
        </w:tc>
        <w:tc>
          <w:tcPr>
            <w:tcW w:w="0" w:type="dxa"/>
            <w:vAlign w:val="bottom"/>
          </w:tcPr>
          <w:p>
            <w:pPr>
              <w:spacing w:after="0"/>
              <w:rPr>
                <w:sz w:val="1"/>
                <w:szCs w:val="1"/>
                <w:color w:val="auto"/>
              </w:rPr>
            </w:pPr>
          </w:p>
        </w:tc>
      </w:tr>
      <w:tr>
        <w:trPr>
          <w:trHeight w:val="33"/>
        </w:trPr>
        <w:tc>
          <w:tcPr>
            <w:tcW w:w="138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380" w:type="dxa"/>
            <w:vAlign w:val="bottom"/>
          </w:tcPr>
          <w:p>
            <w:pPr>
              <w:jc w:val="center"/>
              <w:ind w:left="49"/>
              <w:spacing w:after="0" w:line="164" w:lineRule="exact"/>
              <w:rPr>
                <w:sz w:val="20"/>
                <w:szCs w:val="20"/>
                <w:color w:val="auto"/>
              </w:rPr>
            </w:pPr>
            <w:r>
              <w:rPr>
                <w:rFonts w:ascii="Calibri" w:cs="Calibri" w:eastAsia="Calibri" w:hAnsi="Calibri"/>
                <w:sz w:val="14"/>
                <w:szCs w:val="14"/>
                <w:color w:val="auto"/>
              </w:rPr>
              <w:t>240</w:t>
            </w:r>
          </w:p>
        </w:tc>
        <w:tc>
          <w:tcPr>
            <w:tcW w:w="1640" w:type="dxa"/>
            <w:vAlign w:val="bottom"/>
          </w:tcPr>
          <w:p>
            <w:pPr>
              <w:jc w:val="center"/>
              <w:ind w:left="70"/>
              <w:spacing w:after="0" w:line="164" w:lineRule="exact"/>
              <w:rPr>
                <w:sz w:val="20"/>
                <w:szCs w:val="20"/>
                <w:color w:val="auto"/>
              </w:rPr>
            </w:pPr>
            <w:r>
              <w:rPr>
                <w:rFonts w:ascii="Calibri" w:cs="Calibri" w:eastAsia="Calibri" w:hAnsi="Calibri"/>
                <w:sz w:val="14"/>
                <w:szCs w:val="14"/>
                <w:color w:val="auto"/>
              </w:rPr>
              <w:t>354</w:t>
            </w:r>
          </w:p>
        </w:tc>
        <w:tc>
          <w:tcPr>
            <w:tcW w:w="0" w:type="dxa"/>
            <w:vAlign w:val="bottom"/>
          </w:tcPr>
          <w:p>
            <w:pPr>
              <w:spacing w:after="0"/>
              <w:rPr>
                <w:sz w:val="1"/>
                <w:szCs w:val="1"/>
                <w:color w:val="auto"/>
              </w:rPr>
            </w:pPr>
          </w:p>
        </w:tc>
      </w:tr>
      <w:tr>
        <w:trPr>
          <w:trHeight w:val="33"/>
        </w:trPr>
        <w:tc>
          <w:tcPr>
            <w:tcW w:w="1380" w:type="dxa"/>
            <w:vAlign w:val="bottom"/>
            <w:tcBorders>
              <w:bottom w:val="single" w:sz="8" w:color="959595"/>
            </w:tcBorders>
          </w:tcPr>
          <w:p>
            <w:pPr>
              <w:spacing w:after="0"/>
              <w:rPr>
                <w:sz w:val="2"/>
                <w:szCs w:val="2"/>
                <w:color w:val="auto"/>
              </w:rPr>
            </w:pPr>
          </w:p>
        </w:tc>
        <w:tc>
          <w:tcPr>
            <w:tcW w:w="164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2">
            <w:col w:w="7980" w:space="240"/>
            <w:col w:w="3020"/>
          </w:cols>
          <w:pgMar w:left="320" w:top="231" w:right="339" w:bottom="1440" w:gutter="0" w:footer="0" w:header="0"/>
          <w:type w:val="continuous"/>
        </w:sectPr>
      </w:pPr>
    </w:p>
    <w:p>
      <w:pPr>
        <w:ind w:left="240" w:hanging="232"/>
        <w:spacing w:after="0"/>
        <w:tabs>
          <w:tab w:leader="none" w:pos="240" w:val="left"/>
        </w:tabs>
        <w:numPr>
          <w:ilvl w:val="0"/>
          <w:numId w:val="81"/>
        </w:numPr>
        <w:rPr>
          <w:rFonts w:ascii="Calibri" w:cs="Calibri" w:eastAsia="Calibri" w:hAnsi="Calibri"/>
          <w:sz w:val="19"/>
          <w:szCs w:val="19"/>
          <w:color w:val="auto"/>
          <w:vertAlign w:val="superscript"/>
        </w:rPr>
      </w:pPr>
      <w:r>
        <w:rPr>
          <w:rFonts w:ascii="Calibri" w:cs="Calibri" w:eastAsia="Calibri" w:hAnsi="Calibri"/>
          <w:sz w:val="14"/>
          <w:szCs w:val="14"/>
          <w:color w:val="auto"/>
        </w:rPr>
        <w:t>Excludes Mr. Malave who did not receive a 2020-2022 LTIP or PSU award.</w:t>
      </w:r>
    </w:p>
    <w:p>
      <w:pPr>
        <w:spacing w:after="0" w:line="39" w:lineRule="exact"/>
        <w:rPr>
          <w:rFonts w:ascii="Calibri" w:cs="Calibri" w:eastAsia="Calibri" w:hAnsi="Calibri"/>
          <w:sz w:val="19"/>
          <w:szCs w:val="19"/>
          <w:color w:val="auto"/>
          <w:vertAlign w:val="superscript"/>
        </w:rPr>
      </w:pPr>
    </w:p>
    <w:p>
      <w:pPr>
        <w:ind w:left="240" w:hanging="232"/>
        <w:spacing w:after="0" w:line="210" w:lineRule="auto"/>
        <w:tabs>
          <w:tab w:leader="none" w:pos="240" w:val="left"/>
        </w:tabs>
        <w:numPr>
          <w:ilvl w:val="0"/>
          <w:numId w:val="81"/>
        </w:numPr>
        <w:rPr>
          <w:rFonts w:ascii="Calibri" w:cs="Calibri" w:eastAsia="Calibri" w:hAnsi="Calibri"/>
          <w:sz w:val="19"/>
          <w:szCs w:val="19"/>
          <w:color w:val="auto"/>
          <w:vertAlign w:val="superscript"/>
        </w:rPr>
      </w:pPr>
      <w:r>
        <w:rPr>
          <w:rFonts w:ascii="Calibri" w:cs="Calibri" w:eastAsia="Calibri" w:hAnsi="Calibri"/>
          <w:sz w:val="14"/>
          <w:szCs w:val="14"/>
          <w:color w:val="auto"/>
        </w:rPr>
        <w:t>Refects targets and payouts associated with the 2020-2022 awards received as Vice Presidents.</w:t>
      </w:r>
    </w:p>
    <w:p>
      <w:pPr>
        <w:spacing w:after="0" w:line="40" w:lineRule="exact"/>
        <w:rPr>
          <w:rFonts w:ascii="Calibri" w:cs="Calibri" w:eastAsia="Calibri" w:hAnsi="Calibri"/>
          <w:sz w:val="19"/>
          <w:szCs w:val="19"/>
          <w:color w:val="auto"/>
          <w:vertAlign w:val="superscript"/>
        </w:rPr>
      </w:pPr>
    </w:p>
    <w:p>
      <w:pPr>
        <w:ind w:left="240" w:hanging="232"/>
        <w:spacing w:after="0" w:line="210" w:lineRule="auto"/>
        <w:tabs>
          <w:tab w:leader="none" w:pos="240" w:val="left"/>
        </w:tabs>
        <w:numPr>
          <w:ilvl w:val="0"/>
          <w:numId w:val="81"/>
        </w:numPr>
        <w:rPr>
          <w:rFonts w:ascii="Calibri" w:cs="Calibri" w:eastAsia="Calibri" w:hAnsi="Calibri"/>
          <w:sz w:val="19"/>
          <w:szCs w:val="19"/>
          <w:color w:val="auto"/>
          <w:vertAlign w:val="superscript"/>
        </w:rPr>
      </w:pPr>
      <w:r>
        <w:rPr>
          <w:rFonts w:ascii="Calibri" w:cs="Calibri" w:eastAsia="Calibri" w:hAnsi="Calibri"/>
          <w:sz w:val="14"/>
          <w:szCs w:val="14"/>
          <w:color w:val="auto"/>
        </w:rPr>
        <w:t>PSU payout pro-rated based on days worked during the vestng period.</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818EB4"/>
        </w:rPr>
        <w:t>2023 Compensation</w:t>
      </w:r>
    </w:p>
    <w:p>
      <w:pPr>
        <w:spacing w:after="0" w:line="111" w:lineRule="exact"/>
        <w:rPr>
          <w:sz w:val="20"/>
          <w:szCs w:val="20"/>
          <w:color w:val="auto"/>
        </w:rPr>
      </w:pPr>
    </w:p>
    <w:p>
      <w:pPr>
        <w:ind w:right="200"/>
        <w:spacing w:after="0" w:line="245" w:lineRule="auto"/>
        <w:rPr>
          <w:sz w:val="20"/>
          <w:szCs w:val="20"/>
          <w:color w:val="auto"/>
        </w:rPr>
      </w:pPr>
      <w:r>
        <w:rPr>
          <w:rFonts w:ascii="Calibri" w:cs="Calibri" w:eastAsia="Calibri" w:hAnsi="Calibri"/>
          <w:sz w:val="17"/>
          <w:szCs w:val="17"/>
          <w:color w:val="auto"/>
        </w:rPr>
        <w:t>In February 2023, the Compensaton Commitee approved the 2023 target compensaton for executves using the same approach they used for 2022 target compensaton. There were no changes to our overall annual or long-term incentve plan design for 2023.</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color w:val="818EB4"/>
        </w:rPr>
        <w:t>Other Compensation Matters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818EB4"/>
        </w:rPr>
        <w:t>Our Use of Independent Compensation Consultants</w:t>
      </w:r>
    </w:p>
    <w:p>
      <w:pPr>
        <w:spacing w:after="0" w:line="111" w:lineRule="exact"/>
        <w:rPr>
          <w:sz w:val="20"/>
          <w:szCs w:val="20"/>
          <w:color w:val="auto"/>
        </w:rPr>
      </w:pPr>
    </w:p>
    <w:p>
      <w:pPr>
        <w:ind w:right="500"/>
        <w:spacing w:after="0" w:line="255" w:lineRule="auto"/>
        <w:rPr>
          <w:sz w:val="20"/>
          <w:szCs w:val="20"/>
          <w:color w:val="auto"/>
        </w:rPr>
      </w:pPr>
      <w:r>
        <w:rPr>
          <w:rFonts w:ascii="Calibri" w:cs="Calibri" w:eastAsia="Calibri" w:hAnsi="Calibri"/>
          <w:sz w:val="17"/>
          <w:szCs w:val="17"/>
          <w:color w:val="auto"/>
        </w:rPr>
        <w:t>The independent compensaton consultant provides important informaton about market practces, the types and amounts of compensaton ofered to executves generally and the role of corporate governance consideratons in making compensaton decisions. The Compensaton Commitee’s charter authorizes it to retain outside advisors that it believes are appropriate to assist in evaluatng executve compensaton.</w:t>
      </w:r>
    </w:p>
    <w:p>
      <w:pPr>
        <w:spacing w:after="0" w:line="118" w:lineRule="exact"/>
        <w:rPr>
          <w:sz w:val="20"/>
          <w:szCs w:val="20"/>
          <w:color w:val="auto"/>
        </w:rPr>
      </w:pPr>
    </w:p>
    <w:p>
      <w:pPr>
        <w:spacing w:after="0"/>
        <w:rPr>
          <w:sz w:val="20"/>
          <w:szCs w:val="20"/>
          <w:color w:val="auto"/>
        </w:rPr>
      </w:pPr>
      <w:r>
        <w:rPr>
          <w:rFonts w:ascii="Calibri" w:cs="Calibri" w:eastAsia="Calibri" w:hAnsi="Calibri"/>
          <w:sz w:val="17"/>
          <w:szCs w:val="17"/>
          <w:color w:val="auto"/>
        </w:rPr>
        <w:t>For 2022, the Compensaton Commitee contnued to retain Meridian as an independent compensaton consultant. In connecton with its retenton of</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Meridian, the Compensaton Commitee considered the following factors in assessing Meridian’s independence:</w:t>
      </w:r>
    </w:p>
    <w:p>
      <w:pPr>
        <w:spacing w:after="0" w:line="130" w:lineRule="exact"/>
        <w:rPr>
          <w:sz w:val="20"/>
          <w:szCs w:val="20"/>
          <w:color w:val="auto"/>
        </w:rPr>
      </w:pPr>
    </w:p>
    <w:p>
      <w:pPr>
        <w:ind w:left="240" w:hanging="151"/>
        <w:spacing w:after="0"/>
        <w:tabs>
          <w:tab w:leader="none" w:pos="240" w:val="left"/>
        </w:tabs>
        <w:numPr>
          <w:ilvl w:val="0"/>
          <w:numId w:val="82"/>
        </w:numPr>
        <w:rPr>
          <w:rFonts w:ascii="Calibri" w:cs="Calibri" w:eastAsia="Calibri" w:hAnsi="Calibri"/>
          <w:sz w:val="17"/>
          <w:szCs w:val="17"/>
          <w:color w:val="002E6D"/>
        </w:rPr>
      </w:pPr>
      <w:r>
        <w:rPr>
          <w:rFonts w:ascii="Calibri" w:cs="Calibri" w:eastAsia="Calibri" w:hAnsi="Calibri"/>
          <w:sz w:val="17"/>
          <w:szCs w:val="17"/>
          <w:color w:val="auto"/>
        </w:rPr>
        <w:t>Meridian’s services for the Company are limited to executve and director compensaton.</w:t>
      </w:r>
    </w:p>
    <w:p>
      <w:pPr>
        <w:spacing w:after="0" w:line="62" w:lineRule="exact"/>
        <w:rPr>
          <w:rFonts w:ascii="Calibri" w:cs="Calibri" w:eastAsia="Calibri" w:hAnsi="Calibri"/>
          <w:sz w:val="17"/>
          <w:szCs w:val="17"/>
          <w:color w:val="002E6D"/>
        </w:rPr>
      </w:pPr>
    </w:p>
    <w:p>
      <w:pPr>
        <w:ind w:left="240" w:hanging="151"/>
        <w:spacing w:after="0"/>
        <w:tabs>
          <w:tab w:leader="none" w:pos="240" w:val="left"/>
        </w:tabs>
        <w:numPr>
          <w:ilvl w:val="0"/>
          <w:numId w:val="82"/>
        </w:numPr>
        <w:rPr>
          <w:rFonts w:ascii="Calibri" w:cs="Calibri" w:eastAsia="Calibri" w:hAnsi="Calibri"/>
          <w:sz w:val="17"/>
          <w:szCs w:val="17"/>
          <w:color w:val="002E6D"/>
        </w:rPr>
      </w:pPr>
      <w:r>
        <w:rPr>
          <w:rFonts w:ascii="Calibri" w:cs="Calibri" w:eastAsia="Calibri" w:hAnsi="Calibri"/>
          <w:sz w:val="17"/>
          <w:szCs w:val="17"/>
          <w:color w:val="auto"/>
        </w:rPr>
        <w:t>The compensaton paid to Meridian is less than 1% of Meridian’s revenues.</w:t>
      </w:r>
    </w:p>
    <w:p>
      <w:pPr>
        <w:spacing w:after="0" w:line="75" w:lineRule="exact"/>
        <w:rPr>
          <w:rFonts w:ascii="Calibri" w:cs="Calibri" w:eastAsia="Calibri" w:hAnsi="Calibri"/>
          <w:sz w:val="17"/>
          <w:szCs w:val="17"/>
          <w:color w:val="002E6D"/>
        </w:rPr>
      </w:pPr>
    </w:p>
    <w:p>
      <w:pPr>
        <w:ind w:left="240" w:hanging="151"/>
        <w:spacing w:after="0"/>
        <w:tabs>
          <w:tab w:leader="none" w:pos="240" w:val="left"/>
        </w:tabs>
        <w:numPr>
          <w:ilvl w:val="0"/>
          <w:numId w:val="82"/>
        </w:numPr>
        <w:rPr>
          <w:rFonts w:ascii="Calibri" w:cs="Calibri" w:eastAsia="Calibri" w:hAnsi="Calibri"/>
          <w:sz w:val="17"/>
          <w:szCs w:val="17"/>
          <w:color w:val="002E6D"/>
        </w:rPr>
      </w:pPr>
      <w:r>
        <w:rPr>
          <w:rFonts w:ascii="Calibri" w:cs="Calibri" w:eastAsia="Calibri" w:hAnsi="Calibri"/>
          <w:sz w:val="17"/>
          <w:szCs w:val="17"/>
          <w:color w:val="auto"/>
        </w:rPr>
        <w:t>Meridian has business ethics and insider trading and stock ownership policies, which are designed to avoid conficts of interest.</w:t>
      </w:r>
    </w:p>
    <w:p>
      <w:pPr>
        <w:spacing w:after="0" w:line="62" w:lineRule="exact"/>
        <w:rPr>
          <w:rFonts w:ascii="Calibri" w:cs="Calibri" w:eastAsia="Calibri" w:hAnsi="Calibri"/>
          <w:sz w:val="17"/>
          <w:szCs w:val="17"/>
          <w:color w:val="002E6D"/>
        </w:rPr>
      </w:pPr>
    </w:p>
    <w:p>
      <w:pPr>
        <w:ind w:left="240" w:hanging="151"/>
        <w:spacing w:after="0"/>
        <w:tabs>
          <w:tab w:leader="none" w:pos="240" w:val="left"/>
        </w:tabs>
        <w:numPr>
          <w:ilvl w:val="0"/>
          <w:numId w:val="82"/>
        </w:numPr>
        <w:rPr>
          <w:rFonts w:ascii="Calibri" w:cs="Calibri" w:eastAsia="Calibri" w:hAnsi="Calibri"/>
          <w:sz w:val="17"/>
          <w:szCs w:val="17"/>
          <w:color w:val="002E6D"/>
        </w:rPr>
      </w:pPr>
      <w:r>
        <w:rPr>
          <w:rFonts w:ascii="Calibri" w:cs="Calibri" w:eastAsia="Calibri" w:hAnsi="Calibri"/>
          <w:sz w:val="17"/>
          <w:szCs w:val="17"/>
          <w:color w:val="auto"/>
        </w:rPr>
        <w:t>Meridian employees supportng the engagement and their immediate family members do not own Lockheed Martn securites.</w:t>
      </w:r>
    </w:p>
    <w:p>
      <w:pPr>
        <w:spacing w:after="0" w:line="65" w:lineRule="exact"/>
        <w:rPr>
          <w:rFonts w:ascii="Calibri" w:cs="Calibri" w:eastAsia="Calibri" w:hAnsi="Calibri"/>
          <w:sz w:val="17"/>
          <w:szCs w:val="17"/>
          <w:color w:val="002E6D"/>
        </w:rPr>
      </w:pPr>
    </w:p>
    <w:p>
      <w:pPr>
        <w:ind w:left="260" w:right="180" w:hanging="171"/>
        <w:spacing w:after="0" w:line="261" w:lineRule="auto"/>
        <w:tabs>
          <w:tab w:leader="none" w:pos="253" w:val="left"/>
        </w:tabs>
        <w:numPr>
          <w:ilvl w:val="0"/>
          <w:numId w:val="82"/>
        </w:numPr>
        <w:rPr>
          <w:rFonts w:ascii="Calibri" w:cs="Calibri" w:eastAsia="Calibri" w:hAnsi="Calibri"/>
          <w:sz w:val="17"/>
          <w:szCs w:val="17"/>
          <w:color w:val="002E6D"/>
        </w:rPr>
      </w:pPr>
      <w:r>
        <w:rPr>
          <w:rFonts w:ascii="Calibri" w:cs="Calibri" w:eastAsia="Calibri" w:hAnsi="Calibri"/>
          <w:sz w:val="17"/>
          <w:szCs w:val="17"/>
          <w:color w:val="auto"/>
        </w:rPr>
        <w:t>Meridian employees supportng the engagement have no business or personal relatonships with members of the Compensaton Commitee or with any Lockheed Martn executve ofcer.</w:t>
      </w:r>
    </w:p>
    <w:p>
      <w:pPr>
        <w:spacing w:after="0" w:line="102" w:lineRule="exact"/>
        <w:rPr>
          <w:sz w:val="20"/>
          <w:szCs w:val="20"/>
          <w:color w:val="auto"/>
        </w:rPr>
      </w:pPr>
    </w:p>
    <w:p>
      <w:pPr>
        <w:ind w:right="40"/>
        <w:spacing w:after="0" w:line="261" w:lineRule="auto"/>
        <w:rPr>
          <w:sz w:val="20"/>
          <w:szCs w:val="20"/>
          <w:color w:val="auto"/>
        </w:rPr>
      </w:pPr>
      <w:r>
        <w:rPr>
          <w:rFonts w:ascii="Calibri" w:cs="Calibri" w:eastAsia="Calibri" w:hAnsi="Calibri"/>
          <w:sz w:val="17"/>
          <w:szCs w:val="17"/>
          <w:color w:val="auto"/>
        </w:rPr>
        <w:t>At its February 2023 meetng, the Compensaton Commitee renewed the engagement of Meridian. At that tme, Meridian confrmed the contnuing accuracy of each of the factors described above.</w:t>
      </w:r>
    </w:p>
    <w:p>
      <w:pPr>
        <w:spacing w:after="0" w:line="99" w:lineRule="exact"/>
        <w:rPr>
          <w:sz w:val="20"/>
          <w:szCs w:val="20"/>
          <w:color w:val="auto"/>
        </w:rPr>
      </w:pPr>
    </w:p>
    <w:p>
      <w:pPr>
        <w:spacing w:after="0"/>
        <w:rPr>
          <w:sz w:val="20"/>
          <w:szCs w:val="20"/>
          <w:color w:val="auto"/>
        </w:rPr>
      </w:pPr>
      <w:r>
        <w:rPr>
          <w:rFonts w:ascii="Calibri" w:cs="Calibri" w:eastAsia="Calibri" w:hAnsi="Calibri"/>
          <w:sz w:val="17"/>
          <w:szCs w:val="17"/>
          <w:color w:val="auto"/>
        </w:rPr>
        <w:t>The nature and scope of Meridian’s engagement was determined by the Compensaton Commitee and not limited in any way by management.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818EB4"/>
        </w:rPr>
        <w:t>Policy Regarding Timing of Equity Grants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7"/>
          <w:szCs w:val="17"/>
          <w:color w:val="auto"/>
        </w:rPr>
        <w:t>We have a corporate policy statement concerning the grant of equity awards. Under that policy:</w:t>
      </w:r>
    </w:p>
    <w:p>
      <w:pPr>
        <w:spacing w:after="0" w:line="116" w:lineRule="exact"/>
        <w:rPr>
          <w:sz w:val="20"/>
          <w:szCs w:val="20"/>
          <w:color w:val="auto"/>
        </w:rPr>
      </w:pPr>
    </w:p>
    <w:p>
      <w:pPr>
        <w:ind w:left="240" w:hanging="151"/>
        <w:spacing w:after="0"/>
        <w:tabs>
          <w:tab w:leader="none" w:pos="240" w:val="left"/>
        </w:tabs>
        <w:numPr>
          <w:ilvl w:val="0"/>
          <w:numId w:val="83"/>
        </w:numPr>
        <w:rPr>
          <w:rFonts w:ascii="Calibri" w:cs="Calibri" w:eastAsia="Calibri" w:hAnsi="Calibri"/>
          <w:sz w:val="17"/>
          <w:szCs w:val="17"/>
          <w:color w:val="002E6D"/>
        </w:rPr>
      </w:pPr>
      <w:r>
        <w:rPr>
          <w:rFonts w:ascii="Calibri" w:cs="Calibri" w:eastAsia="Calibri" w:hAnsi="Calibri"/>
          <w:sz w:val="17"/>
          <w:szCs w:val="17"/>
          <w:color w:val="auto"/>
        </w:rPr>
        <w:t>The Compensaton Commitee is responsible for determining the grant date of all equity awards to executve ofcers.</w:t>
      </w:r>
    </w:p>
    <w:p>
      <w:pPr>
        <w:spacing w:after="0" w:line="79" w:lineRule="exact"/>
        <w:rPr>
          <w:rFonts w:ascii="Calibri" w:cs="Calibri" w:eastAsia="Calibri" w:hAnsi="Calibri"/>
          <w:sz w:val="17"/>
          <w:szCs w:val="17"/>
          <w:color w:val="002E6D"/>
        </w:rPr>
      </w:pPr>
    </w:p>
    <w:p>
      <w:pPr>
        <w:ind w:left="260" w:right="140" w:hanging="171"/>
        <w:spacing w:after="0" w:line="245" w:lineRule="auto"/>
        <w:tabs>
          <w:tab w:leader="none" w:pos="253" w:val="left"/>
        </w:tabs>
        <w:numPr>
          <w:ilvl w:val="0"/>
          <w:numId w:val="83"/>
        </w:numPr>
        <w:rPr>
          <w:rFonts w:ascii="Calibri" w:cs="Calibri" w:eastAsia="Calibri" w:hAnsi="Calibri"/>
          <w:sz w:val="17"/>
          <w:szCs w:val="17"/>
          <w:color w:val="002E6D"/>
        </w:rPr>
      </w:pPr>
      <w:r>
        <w:rPr>
          <w:rFonts w:ascii="Calibri" w:cs="Calibri" w:eastAsia="Calibri" w:hAnsi="Calibri"/>
          <w:sz w:val="17"/>
          <w:szCs w:val="17"/>
          <w:color w:val="auto"/>
        </w:rPr>
        <w:t>No equity award may be backdated. A future date may be used if, among other reasons, the Compensaton Commitee’s acton occurs in proximity to the release of earnings or during a trading blackout period.</w:t>
      </w:r>
    </w:p>
    <w:p>
      <w:pPr>
        <w:spacing w:after="0" w:line="72" w:lineRule="exact"/>
        <w:rPr>
          <w:rFonts w:ascii="Calibri" w:cs="Calibri" w:eastAsia="Calibri" w:hAnsi="Calibri"/>
          <w:sz w:val="17"/>
          <w:szCs w:val="17"/>
          <w:color w:val="002E6D"/>
        </w:rPr>
      </w:pPr>
    </w:p>
    <w:p>
      <w:pPr>
        <w:ind w:left="240" w:hanging="151"/>
        <w:spacing w:after="0"/>
        <w:tabs>
          <w:tab w:leader="none" w:pos="240" w:val="left"/>
        </w:tabs>
        <w:numPr>
          <w:ilvl w:val="0"/>
          <w:numId w:val="83"/>
        </w:numPr>
        <w:rPr>
          <w:rFonts w:ascii="Calibri" w:cs="Calibri" w:eastAsia="Calibri" w:hAnsi="Calibri"/>
          <w:sz w:val="17"/>
          <w:szCs w:val="17"/>
          <w:color w:val="002E6D"/>
        </w:rPr>
      </w:pPr>
      <w:r>
        <w:rPr>
          <w:rFonts w:ascii="Calibri" w:cs="Calibri" w:eastAsia="Calibri" w:hAnsi="Calibri"/>
          <w:sz w:val="17"/>
          <w:szCs w:val="17"/>
          <w:color w:val="auto"/>
        </w:rPr>
        <w:t>Equity plans explicitly prohibit repricing of stock optons or paying cash for underwater stock optons.</w:t>
      </w:r>
    </w:p>
    <w:p>
      <w:pPr>
        <w:spacing w:after="0" w:line="65" w:lineRule="exact"/>
        <w:rPr>
          <w:rFonts w:ascii="Calibri" w:cs="Calibri" w:eastAsia="Calibri" w:hAnsi="Calibri"/>
          <w:sz w:val="17"/>
          <w:szCs w:val="17"/>
          <w:color w:val="002E6D"/>
        </w:rPr>
      </w:pPr>
    </w:p>
    <w:p>
      <w:pPr>
        <w:ind w:left="260" w:right="800" w:hanging="171"/>
        <w:spacing w:after="0" w:line="261" w:lineRule="auto"/>
        <w:tabs>
          <w:tab w:leader="none" w:pos="253" w:val="left"/>
        </w:tabs>
        <w:numPr>
          <w:ilvl w:val="0"/>
          <w:numId w:val="83"/>
        </w:numPr>
        <w:rPr>
          <w:rFonts w:ascii="Calibri" w:cs="Calibri" w:eastAsia="Calibri" w:hAnsi="Calibri"/>
          <w:sz w:val="17"/>
          <w:szCs w:val="17"/>
          <w:color w:val="auto"/>
        </w:rPr>
      </w:pPr>
      <w:r>
        <w:rPr>
          <w:rFonts w:ascii="Calibri" w:cs="Calibri" w:eastAsia="Calibri" w:hAnsi="Calibri"/>
          <w:sz w:val="17"/>
          <w:szCs w:val="17"/>
          <w:color w:val="auto"/>
        </w:rPr>
        <w:t>Proposed equity awards are presented to the Compensaton Commitee in February of each year. Of-cycle awards may be considered in special circumstances, which may include hiring, retenton or acquisiton transactons.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287655</wp:posOffset>
            </wp:positionV>
            <wp:extent cx="1071880" cy="1803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818EB4"/>
        </w:rPr>
        <w:t>Clawback and Other Protective Provisions</w:t>
      </w:r>
    </w:p>
    <w:p>
      <w:pPr>
        <w:spacing w:after="0" w:line="111" w:lineRule="exact"/>
        <w:rPr>
          <w:sz w:val="20"/>
          <w:szCs w:val="20"/>
          <w:color w:val="auto"/>
        </w:rPr>
      </w:pPr>
    </w:p>
    <w:p>
      <w:pPr>
        <w:ind w:right="100"/>
        <w:spacing w:after="0" w:line="256" w:lineRule="auto"/>
        <w:rPr>
          <w:sz w:val="20"/>
          <w:szCs w:val="20"/>
          <w:color w:val="auto"/>
        </w:rPr>
      </w:pPr>
      <w:r>
        <w:rPr>
          <w:rFonts w:ascii="Calibri" w:cs="Calibri" w:eastAsia="Calibri" w:hAnsi="Calibri"/>
          <w:sz w:val="17"/>
          <w:szCs w:val="17"/>
          <w:color w:val="auto"/>
        </w:rPr>
        <w:t>The Governance Guidelines include a clawback policy, which provides that if the Board of Directors determines that (i) an ofcer’s intentonal misconduct, gross negligence or failure to report such acts by another person is a contributng factor in requiring us to restate any of our fnancial statements or consttuted fraud, bribery or another illegal act (or contributed to another person’s fraud, bribery or other illegal act) that adversely impacts our fnancial positon or reputaton; (ii) an ofcer’s intentonal misconduct or gross negligence causes severe reputatonal or fnancial harm to the Company; or (iii) an ofcer’s misappropriaton of Lockheed Martn Proprietary Informaton causes, or is intended to cause, severe reputatonal or fnancial harm to the Company, then the Board shall take such acton as it deems in the best interest of the Company and necessary to remedy the misconduct and prevent its recurrence. Among other actons, the Board may seek to recover or require reimbursement of amounts awarded to the ofcer in the form of an annual incentve or LTI award.</w:t>
      </w:r>
    </w:p>
    <w:p>
      <w:pPr>
        <w:spacing w:after="0" w:line="341" w:lineRule="exact"/>
        <w:rPr>
          <w:sz w:val="20"/>
          <w:szCs w:val="20"/>
          <w:color w:val="auto"/>
        </w:rPr>
      </w:pPr>
    </w:p>
    <w:p>
      <w:pPr>
        <w:ind w:right="120"/>
        <w:spacing w:after="0" w:line="256" w:lineRule="auto"/>
        <w:rPr>
          <w:sz w:val="20"/>
          <w:szCs w:val="20"/>
          <w:color w:val="auto"/>
        </w:rPr>
      </w:pPr>
      <w:r>
        <w:rPr>
          <w:rFonts w:ascii="Calibri" w:cs="Calibri" w:eastAsia="Calibri" w:hAnsi="Calibri"/>
          <w:sz w:val="17"/>
          <w:szCs w:val="17"/>
          <w:color w:val="auto"/>
        </w:rPr>
        <w:t>The clawback policy is incorporated into our annual incentve plan and in the award agreements for the long-term incentve awards, covering all variable incentve compensaton. There were no events requiring Board consideraton of a clawback acton during 2022. If the Board recoups incentve compensaton under the policy, management intends to disclose the aggregate amount of incentve compensaton recovered, so long as the underlying event has already been publicly disclosed in our flings with the SEC. This disclosure would appear in the proxy statement following any such Board acton and would provide the aggregate amount of recovery for each event if there is more than one applicable event. All executve-level award agreements also contain post-employment restrictve covenants, and compensaton awarded under those agreements may be subject to clawback in the event an executve breaches any of the post-employment restrictve covenants.</w:t>
      </w:r>
    </w:p>
    <w:p>
      <w:pPr>
        <w:spacing w:after="0" w:line="111" w:lineRule="exact"/>
        <w:rPr>
          <w:sz w:val="20"/>
          <w:szCs w:val="20"/>
          <w:color w:val="auto"/>
        </w:rPr>
      </w:pPr>
    </w:p>
    <w:p>
      <w:pPr>
        <w:ind w:right="80"/>
        <w:spacing w:after="0" w:line="255" w:lineRule="auto"/>
        <w:rPr>
          <w:sz w:val="20"/>
          <w:szCs w:val="20"/>
          <w:color w:val="auto"/>
        </w:rPr>
      </w:pPr>
      <w:r>
        <w:rPr>
          <w:rFonts w:ascii="Calibri" w:cs="Calibri" w:eastAsia="Calibri" w:hAnsi="Calibri"/>
          <w:sz w:val="17"/>
          <w:szCs w:val="17"/>
          <w:color w:val="auto"/>
        </w:rPr>
        <w:t>In November 2022, the SEC issued a fnal rule requiring public companies to recover certain erroneously awarded incentve-based compensaton in the event of an accountng restatement. We are evaluatng the fnal rule and the NYSE’s associated proposed listng standards. We will adopt and implement a policy that complies with the fnal rule and listng standards by the applicable deadline.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818EB4"/>
        </w:rPr>
        <w:t>Anti-Hedging and Anti-Pledging Policy</w:t>
      </w:r>
    </w:p>
    <w:p>
      <w:pPr>
        <w:spacing w:after="0" w:line="124" w:lineRule="exact"/>
        <w:rPr>
          <w:sz w:val="20"/>
          <w:szCs w:val="20"/>
          <w:color w:val="auto"/>
        </w:rPr>
      </w:pPr>
    </w:p>
    <w:p>
      <w:pPr>
        <w:ind w:right="140"/>
        <w:spacing w:after="0" w:line="254" w:lineRule="auto"/>
        <w:rPr>
          <w:sz w:val="20"/>
          <w:szCs w:val="20"/>
          <w:color w:val="auto"/>
        </w:rPr>
      </w:pPr>
      <w:r>
        <w:rPr>
          <w:rFonts w:ascii="Calibri" w:cs="Calibri" w:eastAsia="Calibri" w:hAnsi="Calibri"/>
          <w:sz w:val="17"/>
          <w:szCs w:val="17"/>
          <w:color w:val="auto"/>
        </w:rPr>
        <w:t>Our policies prohibit hedging and pledging of Lockheed Martn stock by all directors, ofcers and employees. Under our policies, Lockheed Martn directors, ofcers and employees may not purchase or sell derivatve securites based on Lockheed Martn common stock or other Lockheed Martn securites. This policy also prohibits hedging or monetzaton transactons such as forward-sale contracts, equity swaps, collars and exchange funds, that are designed to hedge or ofset any decrease in the market value of equity securites, lock in then-current market gains without the sale of the underlying security, or transactons in which the director or employee may divest aspects of the risks and rewards of ownership. This policy applies to shares of Lockheed Martn common stock that are either (i) granted to directors, ofcers or employees by Lockheed Martn as part of their compensaton or (ii) otherwise held, directly or indirectly, by directors, ofcers or employees.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818EB4"/>
        </w:rPr>
        <w:t>Stock Ownership Requirements for Key Employees</w:t>
      </w:r>
    </w:p>
    <w:p>
      <w:pPr>
        <w:spacing w:after="0" w:line="111" w:lineRule="exact"/>
        <w:rPr>
          <w:sz w:val="20"/>
          <w:szCs w:val="20"/>
          <w:color w:val="auto"/>
        </w:rPr>
      </w:pPr>
    </w:p>
    <w:p>
      <w:pPr>
        <w:ind w:right="940"/>
        <w:spacing w:after="0" w:line="245" w:lineRule="auto"/>
        <w:rPr>
          <w:sz w:val="20"/>
          <w:szCs w:val="20"/>
          <w:color w:val="auto"/>
        </w:rPr>
      </w:pPr>
      <w:r>
        <w:rPr>
          <w:rFonts w:ascii="Calibri" w:cs="Calibri" w:eastAsia="Calibri" w:hAnsi="Calibri"/>
          <w:sz w:val="17"/>
          <w:szCs w:val="17"/>
          <w:color w:val="auto"/>
        </w:rPr>
        <w:t>To beter align their interests with the long-term interests of our stockholders, we expect our ofcers (including the NEOs) and other members of management to maintain an ownership interest in the Company based on the following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107950</wp:posOffset>
            </wp:positionV>
            <wp:extent cx="3497580" cy="685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97580" cy="6858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660" w:type="dxa"/>
            <w:vAlign w:val="bottom"/>
            <w:shd w:val="clear" w:color="auto" w:fill="003478"/>
          </w:tcPr>
          <w:p>
            <w:pPr>
              <w:spacing w:after="0"/>
              <w:rPr>
                <w:sz w:val="9"/>
                <w:szCs w:val="9"/>
                <w:color w:val="auto"/>
              </w:rPr>
            </w:pPr>
          </w:p>
        </w:tc>
        <w:tc>
          <w:tcPr>
            <w:tcW w:w="120" w:type="dxa"/>
            <w:vAlign w:val="bottom"/>
          </w:tcPr>
          <w:p>
            <w:pPr>
              <w:spacing w:after="0"/>
              <w:rPr>
                <w:sz w:val="9"/>
                <w:szCs w:val="9"/>
                <w:color w:val="auto"/>
              </w:rPr>
            </w:pPr>
          </w:p>
        </w:tc>
        <w:tc>
          <w:tcPr>
            <w:tcW w:w="2700" w:type="dxa"/>
            <w:vAlign w:val="bottom"/>
            <w:shd w:val="clear" w:color="auto" w:fill="003478"/>
          </w:tcPr>
          <w:p>
            <w:pPr>
              <w:spacing w:after="0"/>
              <w:rPr>
                <w:sz w:val="9"/>
                <w:szCs w:val="9"/>
                <w:color w:val="auto"/>
              </w:rPr>
            </w:pPr>
          </w:p>
        </w:tc>
      </w:tr>
      <w:tr>
        <w:trPr>
          <w:trHeight w:val="405"/>
        </w:trPr>
        <w:tc>
          <w:tcPr>
            <w:tcW w:w="2660" w:type="dxa"/>
            <w:vAlign w:val="bottom"/>
            <w:shd w:val="clear" w:color="auto" w:fill="E4E6EF"/>
          </w:tcPr>
          <w:p>
            <w:pPr>
              <w:ind w:left="100"/>
              <w:spacing w:after="0"/>
              <w:rPr>
                <w:sz w:val="20"/>
                <w:szCs w:val="20"/>
                <w:color w:val="auto"/>
              </w:rPr>
            </w:pPr>
            <w:r>
              <w:rPr>
                <w:rFonts w:ascii="Arial" w:cs="Arial" w:eastAsia="Arial" w:hAnsi="Arial"/>
                <w:sz w:val="24"/>
                <w:szCs w:val="24"/>
                <w:b w:val="1"/>
                <w:bCs w:val="1"/>
                <w:color w:val="003478"/>
                <w:shd w:val="clear" w:color="auto" w:fill="E4E6EF"/>
              </w:rPr>
              <w:t>6x</w:t>
            </w:r>
          </w:p>
        </w:tc>
        <w:tc>
          <w:tcPr>
            <w:tcW w:w="120" w:type="dxa"/>
            <w:vAlign w:val="bottom"/>
          </w:tcPr>
          <w:p>
            <w:pPr>
              <w:spacing w:after="0"/>
              <w:rPr>
                <w:sz w:val="24"/>
                <w:szCs w:val="24"/>
                <w:color w:val="auto"/>
              </w:rPr>
            </w:pPr>
          </w:p>
        </w:tc>
        <w:tc>
          <w:tcPr>
            <w:tcW w:w="2700" w:type="dxa"/>
            <w:vAlign w:val="bottom"/>
            <w:shd w:val="clear" w:color="auto" w:fill="E4E6EF"/>
          </w:tcPr>
          <w:p>
            <w:pPr>
              <w:ind w:left="100"/>
              <w:spacing w:after="0"/>
              <w:rPr>
                <w:sz w:val="20"/>
                <w:szCs w:val="20"/>
                <w:color w:val="auto"/>
              </w:rPr>
            </w:pPr>
            <w:r>
              <w:rPr>
                <w:rFonts w:ascii="Arial" w:cs="Arial" w:eastAsia="Arial" w:hAnsi="Arial"/>
                <w:sz w:val="24"/>
                <w:szCs w:val="24"/>
                <w:b w:val="1"/>
                <w:bCs w:val="1"/>
                <w:color w:val="003478"/>
                <w:shd w:val="clear" w:color="auto" w:fill="E4E6EF"/>
              </w:rPr>
              <w:t>4x</w:t>
            </w:r>
          </w:p>
        </w:tc>
      </w:tr>
      <w:tr>
        <w:trPr>
          <w:trHeight w:val="243"/>
        </w:trPr>
        <w:tc>
          <w:tcPr>
            <w:tcW w:w="2660" w:type="dxa"/>
            <w:vAlign w:val="bottom"/>
            <w:shd w:val="clear" w:color="auto" w:fill="E4E6EF"/>
          </w:tcPr>
          <w:p>
            <w:pPr>
              <w:ind w:left="100"/>
              <w:spacing w:after="0"/>
              <w:rPr>
                <w:sz w:val="20"/>
                <w:szCs w:val="20"/>
                <w:color w:val="auto"/>
              </w:rPr>
            </w:pPr>
            <w:r>
              <w:rPr>
                <w:rFonts w:ascii="Calibri" w:cs="Calibri" w:eastAsia="Calibri" w:hAnsi="Calibri"/>
                <w:sz w:val="17"/>
                <w:szCs w:val="17"/>
                <w:color w:val="auto"/>
                <w:shd w:val="clear" w:color="auto" w:fill="E4E6EF"/>
              </w:rPr>
              <w:t>base salary for CEO and Chairman</w:t>
            </w:r>
          </w:p>
        </w:tc>
        <w:tc>
          <w:tcPr>
            <w:tcW w:w="120" w:type="dxa"/>
            <w:vAlign w:val="bottom"/>
          </w:tcPr>
          <w:p>
            <w:pPr>
              <w:spacing w:after="0"/>
              <w:rPr>
                <w:sz w:val="21"/>
                <w:szCs w:val="21"/>
                <w:color w:val="auto"/>
              </w:rPr>
            </w:pPr>
          </w:p>
        </w:tc>
        <w:tc>
          <w:tcPr>
            <w:tcW w:w="2700" w:type="dxa"/>
            <w:vAlign w:val="bottom"/>
            <w:shd w:val="clear" w:color="auto" w:fill="E4E6EF"/>
          </w:tcPr>
          <w:p>
            <w:pPr>
              <w:ind w:left="100"/>
              <w:spacing w:after="0"/>
              <w:rPr>
                <w:sz w:val="20"/>
                <w:szCs w:val="20"/>
                <w:color w:val="auto"/>
              </w:rPr>
            </w:pPr>
            <w:r>
              <w:rPr>
                <w:rFonts w:ascii="Calibri" w:cs="Calibri" w:eastAsia="Calibri" w:hAnsi="Calibri"/>
                <w:sz w:val="17"/>
                <w:szCs w:val="17"/>
                <w:color w:val="auto"/>
                <w:shd w:val="clear" w:color="auto" w:fill="E4E6EF"/>
              </w:rPr>
              <w:t>base salary for Chief Financial</w:t>
            </w:r>
          </w:p>
        </w:tc>
      </w:tr>
      <w:tr>
        <w:trPr>
          <w:trHeight w:val="216"/>
        </w:trPr>
        <w:tc>
          <w:tcPr>
            <w:tcW w:w="2660" w:type="dxa"/>
            <w:vAlign w:val="bottom"/>
            <w:shd w:val="clear" w:color="auto" w:fill="E4E6EF"/>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shd w:val="clear" w:color="auto" w:fill="E4E6EF"/>
          </w:tcPr>
          <w:p>
            <w:pPr>
              <w:ind w:left="100"/>
              <w:spacing w:after="0"/>
              <w:rPr>
                <w:sz w:val="20"/>
                <w:szCs w:val="20"/>
                <w:color w:val="auto"/>
              </w:rPr>
            </w:pPr>
            <w:r>
              <w:rPr>
                <w:rFonts w:ascii="Calibri" w:cs="Calibri" w:eastAsia="Calibri" w:hAnsi="Calibri"/>
                <w:sz w:val="17"/>
                <w:szCs w:val="17"/>
                <w:color w:val="auto"/>
                <w:shd w:val="clear" w:color="auto" w:fill="E4E6EF"/>
              </w:rPr>
              <w:t>Ofcer and Chief Operatng Ofcer</w:t>
            </w:r>
          </w:p>
        </w:tc>
      </w:tr>
      <w:tr>
        <w:trPr>
          <w:trHeight w:val="310"/>
        </w:trPr>
        <w:tc>
          <w:tcPr>
            <w:tcW w:w="2660" w:type="dxa"/>
            <w:vAlign w:val="bottom"/>
            <w:shd w:val="clear" w:color="auto" w:fill="E4E6EF"/>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shd w:val="clear" w:color="auto" w:fill="E4E6EF"/>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24"/>
          <w:szCs w:val="24"/>
          <w:b w:val="1"/>
          <w:bCs w:val="1"/>
          <w:color w:val="003478"/>
          <w:shd w:val="clear" w:color="auto" w:fill="E4E6EF"/>
        </w:rPr>
        <w:t>3x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-242570</wp:posOffset>
            </wp:positionV>
            <wp:extent cx="1705610" cy="7454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705610" cy="745490"/>
                    </a:xfrm>
                    <a:prstGeom prst="rect">
                      <a:avLst/>
                    </a:prstGeom>
                    <a:noFill/>
                  </pic:spPr>
                </pic:pic>
              </a:graphicData>
            </a:graphic>
          </wp:anchor>
        </w:drawing>
      </w:r>
    </w:p>
    <w:p>
      <w:pPr>
        <w:spacing w:after="0" w:line="42" w:lineRule="exact"/>
        <w:rPr>
          <w:sz w:val="20"/>
          <w:szCs w:val="20"/>
          <w:color w:val="auto"/>
        </w:rPr>
      </w:pPr>
    </w:p>
    <w:p>
      <w:pPr>
        <w:ind w:right="20"/>
        <w:spacing w:after="0" w:line="245" w:lineRule="auto"/>
        <w:rPr>
          <w:sz w:val="20"/>
          <w:szCs w:val="20"/>
          <w:color w:val="auto"/>
        </w:rPr>
      </w:pPr>
      <w:r>
        <w:rPr>
          <w:rFonts w:ascii="Calibri" w:cs="Calibri" w:eastAsia="Calibri" w:hAnsi="Calibri"/>
          <w:sz w:val="17"/>
          <w:szCs w:val="17"/>
          <w:color w:val="auto"/>
          <w:shd w:val="clear" w:color="auto" w:fill="E4E6EF"/>
        </w:rPr>
        <w:t>base salary for Executve Vice Presidents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24"/>
          <w:szCs w:val="24"/>
          <w:b w:val="1"/>
          <w:bCs w:val="1"/>
          <w:color w:val="003478"/>
          <w:shd w:val="clear" w:color="auto" w:fill="E4E6EF"/>
        </w:rPr>
        <w:t>2x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-242570</wp:posOffset>
            </wp:positionV>
            <wp:extent cx="1705610" cy="7454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705610" cy="745490"/>
                    </a:xfrm>
                    <a:prstGeom prst="rect">
                      <a:avLst/>
                    </a:prstGeom>
                    <a:noFill/>
                  </pic:spPr>
                </pic:pic>
              </a:graphicData>
            </a:graphic>
          </wp:anchor>
        </w:drawing>
      </w:r>
    </w:p>
    <w:p>
      <w:pPr>
        <w:spacing w:after="0" w:line="56" w:lineRule="exact"/>
        <w:rPr>
          <w:sz w:val="20"/>
          <w:szCs w:val="20"/>
          <w:color w:val="auto"/>
        </w:rPr>
      </w:pPr>
    </w:p>
    <w:p>
      <w:pPr>
        <w:ind w:right="840"/>
        <w:spacing w:after="0" w:line="255" w:lineRule="auto"/>
        <w:rPr>
          <w:sz w:val="20"/>
          <w:szCs w:val="20"/>
          <w:color w:val="auto"/>
        </w:rPr>
      </w:pPr>
      <w:r>
        <w:rPr>
          <w:rFonts w:ascii="Calibri" w:cs="Calibri" w:eastAsia="Calibri" w:hAnsi="Calibri"/>
          <w:sz w:val="17"/>
          <w:szCs w:val="17"/>
          <w:color w:val="auto"/>
          <w:shd w:val="clear" w:color="auto" w:fill="E4E6EF"/>
        </w:rPr>
        <w:t>base salary for Senior Vice Presidents and Elected Vice Presidents</w:t>
      </w:r>
    </w:p>
    <w:p>
      <w:pPr>
        <w:spacing w:after="0" w:line="229" w:lineRule="exact"/>
        <w:rPr>
          <w:sz w:val="20"/>
          <w:szCs w:val="20"/>
          <w:color w:val="auto"/>
        </w:rPr>
      </w:pPr>
    </w:p>
    <w:p>
      <w:pPr>
        <w:sectPr>
          <w:pgSz w:w="11900" w:h="16838" w:orient="portrait"/>
          <w:cols w:equalWidth="0" w:num="3">
            <w:col w:w="5480" w:space="220"/>
            <w:col w:w="2120" w:space="720"/>
            <w:col w:w="2700"/>
          </w:cols>
          <w:pgMar w:left="320" w:top="231" w:right="339" w:bottom="1440" w:gutter="0" w:footer="0" w:header="0"/>
          <w:type w:val="continuous"/>
        </w:sectPr>
      </w:pPr>
    </w:p>
    <w:p>
      <w:pPr>
        <w:ind w:right="20"/>
        <w:spacing w:after="0" w:line="256" w:lineRule="auto"/>
        <w:rPr>
          <w:sz w:val="20"/>
          <w:szCs w:val="20"/>
          <w:color w:val="auto"/>
        </w:rPr>
      </w:pPr>
      <w:r>
        <w:rPr>
          <w:rFonts w:ascii="Calibri" w:cs="Calibri" w:eastAsia="Calibri" w:hAnsi="Calibri"/>
          <w:sz w:val="17"/>
          <w:szCs w:val="17"/>
          <w:color w:val="auto"/>
        </w:rPr>
        <w:t>NEOs are required to achieve ownership levels within fve years of assuming their role and must hold net shares from vested RSUs and PSUs untl the value of the shares equals the specifed multple of base salary. The securites counted toward their respectve target threshold include common stock, unvested RSUs, and stock units under our 401(k) plans and other deferral plans. Unvested PSUs do not count towards the stock ownership requirement. As of December 31, 2022, each of our NEOs had exceeded their respectve ownership requirements, irrespectve of whether they have been in their current role for fve years. NEOs who are no longer executve ofcers as of December 31, 2022 are not included in the chart below.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372745</wp:posOffset>
            </wp:positionV>
            <wp:extent cx="5837555" cy="21259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83755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818EB4"/>
        </w:rPr>
        <w:t>Benefit, Retirement and Perquisite Programs</w:t>
      </w:r>
    </w:p>
    <w:p>
      <w:pPr>
        <w:spacing w:after="0" w:line="111" w:lineRule="exact"/>
        <w:rPr>
          <w:sz w:val="20"/>
          <w:szCs w:val="20"/>
          <w:color w:val="auto"/>
        </w:rPr>
      </w:pPr>
    </w:p>
    <w:p>
      <w:pPr>
        <w:ind w:right="20"/>
        <w:spacing w:after="0" w:line="255" w:lineRule="auto"/>
        <w:rPr>
          <w:sz w:val="20"/>
          <w:szCs w:val="20"/>
          <w:color w:val="auto"/>
        </w:rPr>
      </w:pPr>
      <w:r>
        <w:rPr>
          <w:rFonts w:ascii="Calibri" w:cs="Calibri" w:eastAsia="Calibri" w:hAnsi="Calibri"/>
          <w:sz w:val="17"/>
          <w:szCs w:val="17"/>
          <w:color w:val="auto"/>
        </w:rPr>
        <w:t>We ofer other compensatory arrangements to our NEOs. The purpose for these benefts is to ensure security of executves, provide assistance with business-related expenses and be compettve with the other companies in our industry. Below is a summary of programs available to our NEOs. Further details are described in footnotes to the Summary Compensaton Table on page 58.</w:t>
      </w:r>
    </w:p>
    <w:p>
      <w:pPr>
        <w:spacing w:after="0" w:line="108" w:lineRule="exact"/>
        <w:rPr>
          <w:sz w:val="20"/>
          <w:szCs w:val="20"/>
          <w:color w:val="auto"/>
        </w:rPr>
      </w:pPr>
    </w:p>
    <w:p>
      <w:pPr>
        <w:ind w:right="120"/>
        <w:spacing w:after="0" w:line="256" w:lineRule="auto"/>
        <w:rPr>
          <w:sz w:val="20"/>
          <w:szCs w:val="20"/>
          <w:color w:val="auto"/>
        </w:rPr>
      </w:pPr>
      <w:r>
        <w:rPr>
          <w:rFonts w:ascii="Calibri" w:cs="Calibri" w:eastAsia="Calibri" w:hAnsi="Calibri"/>
          <w:sz w:val="17"/>
          <w:szCs w:val="17"/>
          <w:b w:val="1"/>
          <w:bCs w:val="1"/>
          <w:color w:val="002F6C"/>
        </w:rPr>
        <w:t xml:space="preserve">Health, Welfare and Retrement Benefts. </w:t>
      </w:r>
      <w:r>
        <w:rPr>
          <w:rFonts w:ascii="Calibri" w:cs="Calibri" w:eastAsia="Calibri" w:hAnsi="Calibri"/>
          <w:sz w:val="17"/>
          <w:szCs w:val="17"/>
          <w:color w:val="000000"/>
        </w:rPr>
        <w:t>Our NEOs are eligible for savings, pension, medical, disability and life insurance benefts under the plans available</w:t>
      </w:r>
      <w:r>
        <w:rPr>
          <w:rFonts w:ascii="Calibri" w:cs="Calibri" w:eastAsia="Calibri" w:hAnsi="Calibri"/>
          <w:sz w:val="17"/>
          <w:szCs w:val="17"/>
          <w:b w:val="1"/>
          <w:bCs w:val="1"/>
          <w:color w:val="002F6C"/>
        </w:rPr>
        <w:t xml:space="preserve"> </w:t>
      </w:r>
      <w:r>
        <w:rPr>
          <w:rFonts w:ascii="Calibri" w:cs="Calibri" w:eastAsia="Calibri" w:hAnsi="Calibri"/>
          <w:sz w:val="17"/>
          <w:szCs w:val="17"/>
          <w:color w:val="000000"/>
        </w:rPr>
        <w:t>to salaried, non-union employees. We ofer supplemental pension and savings plans to make up for benefts that otherwise would be unavailable due to Internal Revenue Service (IRS) limits on qualifed plans. These plans are restoratve and do not provide an enhanced beneft. We also ofer a plan for the deferral of short-term and long-term cash performance incentve compensaton. Pension and supplemental pension plans that the NEOs partcipate in were completely frozen efectve January 1, 2020. Mr. Taiclet and Mr. Malave do not partcipate in any Company pension or supplemental pension plan.</w:t>
      </w:r>
    </w:p>
    <w:p>
      <w:pPr>
        <w:spacing w:after="0" w:line="108" w:lineRule="exact"/>
        <w:rPr>
          <w:sz w:val="20"/>
          <w:szCs w:val="20"/>
          <w:color w:val="auto"/>
        </w:rPr>
      </w:pPr>
    </w:p>
    <w:p>
      <w:pPr>
        <w:ind w:right="80"/>
        <w:spacing w:after="0" w:line="257" w:lineRule="auto"/>
        <w:rPr>
          <w:sz w:val="20"/>
          <w:szCs w:val="20"/>
          <w:color w:val="auto"/>
        </w:rPr>
      </w:pPr>
      <w:r>
        <w:rPr>
          <w:rFonts w:ascii="Calibri" w:cs="Calibri" w:eastAsia="Calibri" w:hAnsi="Calibri"/>
          <w:sz w:val="17"/>
          <w:szCs w:val="17"/>
          <w:b w:val="1"/>
          <w:bCs w:val="1"/>
          <w:color w:val="002F6C"/>
        </w:rPr>
        <w:t xml:space="preserve">Perquisites and Security. </w:t>
      </w:r>
      <w:r>
        <w:rPr>
          <w:rFonts w:ascii="Calibri" w:cs="Calibri" w:eastAsia="Calibri" w:hAnsi="Calibri"/>
          <w:sz w:val="17"/>
          <w:szCs w:val="17"/>
          <w:color w:val="000000"/>
        </w:rPr>
        <w:t>Perquisites provided to the NEOs include executve physicals, relocaton assistance (when applicable), personal travel on the</w:t>
      </w:r>
      <w:r>
        <w:rPr>
          <w:rFonts w:ascii="Calibri" w:cs="Calibri" w:eastAsia="Calibri" w:hAnsi="Calibri"/>
          <w:sz w:val="17"/>
          <w:szCs w:val="17"/>
          <w:b w:val="1"/>
          <w:bCs w:val="1"/>
          <w:color w:val="002F6C"/>
        </w:rPr>
        <w:t xml:space="preserve"> </w:t>
      </w:r>
      <w:r>
        <w:rPr>
          <w:rFonts w:ascii="Calibri" w:cs="Calibri" w:eastAsia="Calibri" w:hAnsi="Calibri"/>
          <w:sz w:val="17"/>
          <w:szCs w:val="17"/>
          <w:color w:val="000000"/>
        </w:rPr>
        <w:t>corporate aircraf and gifs for retrement or years of service milestones (when applicable), as well as home and personal security as needed to address security concerns arising out of our business. We believe security is necessary and generally provided to executves within our industry given the nature of our business. In the event of a threat to an executve ofcer, the Classifed Business and Security Commitee reviews the security recommended by our Chief Security Ofcer, and approves accordingly. Furthermore, our Board has directed our CEO to use corporate aircraf for security reasons while on business and personal travel. Other NEOs may use the corporate aircraf for personal travel dependent upon circumstances and availability. During 2022, the Company responded to heightened security risks and direct threats involving our executve ofcers, requiring some of them to travel more frequently on the corporate aircraf as a mitgatng measure. For 2022, personal use of the corporate aircraf for Mr. Taiclet amounted to $1,285,698. Of this amount, $324,135 related to fights that were exclusively personal in nature. The remainder is the incremental cost of fights that had a personal beneft but were associated with a Lockheed Martn business purpose; which includes the incremental cost of travel to the Company’s headquarters for business purposes from an out-of-state residence of $320,714, the incremental cost of $404,833 for re-positoning, or “deadhead,” fights associated with these fights given the home base of the corporate aircraf and fight crew, and the incremental cost of $236,016 for fights related to Lockheed Martn business originatng or ending in a locaton other than the Company’s headquarters, including any deadheads.</w:t>
      </w:r>
    </w:p>
    <w:p>
      <w:pPr>
        <w:spacing w:after="0" w:line="108" w:lineRule="exact"/>
        <w:rPr>
          <w:sz w:val="20"/>
          <w:szCs w:val="20"/>
          <w:color w:val="auto"/>
        </w:rPr>
      </w:pPr>
    </w:p>
    <w:p>
      <w:pPr>
        <w:spacing w:after="0" w:line="258" w:lineRule="auto"/>
        <w:rPr>
          <w:sz w:val="20"/>
          <w:szCs w:val="20"/>
          <w:color w:val="auto"/>
        </w:rPr>
      </w:pPr>
      <w:r>
        <w:rPr>
          <w:rFonts w:ascii="Calibri" w:cs="Calibri" w:eastAsia="Calibri" w:hAnsi="Calibri"/>
          <w:sz w:val="17"/>
          <w:szCs w:val="17"/>
          <w:b w:val="1"/>
          <w:bCs w:val="1"/>
          <w:color w:val="002F6C"/>
        </w:rPr>
        <w:t xml:space="preserve">Tax Assistance. </w:t>
      </w:r>
      <w:r>
        <w:rPr>
          <w:rFonts w:ascii="Calibri" w:cs="Calibri" w:eastAsia="Calibri" w:hAnsi="Calibri"/>
          <w:sz w:val="17"/>
          <w:szCs w:val="17"/>
          <w:color w:val="000000"/>
        </w:rPr>
        <w:t>We do not have agreements or severance arrangements that provide tax gross-ups for excise taxes imposed as a result of a change in control.</w:t>
      </w:r>
      <w:r>
        <w:rPr>
          <w:rFonts w:ascii="Calibri" w:cs="Calibri" w:eastAsia="Calibri" w:hAnsi="Calibri"/>
          <w:sz w:val="17"/>
          <w:szCs w:val="17"/>
          <w:b w:val="1"/>
          <w:bCs w:val="1"/>
          <w:color w:val="002F6C"/>
        </w:rPr>
        <w:t xml:space="preserve"> </w:t>
      </w:r>
      <w:r>
        <w:rPr>
          <w:rFonts w:ascii="Calibri" w:cs="Calibri" w:eastAsia="Calibri" w:hAnsi="Calibri"/>
          <w:sz w:val="17"/>
          <w:szCs w:val="17"/>
          <w:color w:val="000000"/>
        </w:rPr>
        <w:t>In 2022, we provided tax assistance for taxable security expenses, relocaton-related expenses in accordance with our relocaton policies and travel expenses for a family member accompanying a NEO on travel determined to be business travel for tax purposes. In additon, we pay an amount estmated to cover the state income tax imposed on employees who became subject to income tax in a state other than their state of residence due to business travel. Tax assistance was provided for these items because the associated tax liability imposed on the executve would not have been incurred unless business reasons required the items to be provided or the executve to travel to the non-resident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324485</wp:posOffset>
            </wp:positionV>
            <wp:extent cx="1071880" cy="1803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1" w:right="359" w:bottom="1440" w:gutter="0" w:footer="0" w:header="0"/>
        </w:sectPr>
      </w:pPr>
    </w:p>
    <w:bookmarkStart w:id="62" w:name="page63"/>
    <w:bookmarkEnd w:id="62"/>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818EB4"/>
        </w:rPr>
        <w:t>Post-Employment, Change in Control, Divestiture and Severance Benefits</w:t>
      </w:r>
    </w:p>
    <w:p>
      <w:pPr>
        <w:spacing w:after="0" w:line="111" w:lineRule="exact"/>
        <w:rPr>
          <w:sz w:val="20"/>
          <w:szCs w:val="20"/>
          <w:color w:val="auto"/>
        </w:rPr>
      </w:pPr>
    </w:p>
    <w:p>
      <w:pPr>
        <w:ind w:right="20"/>
        <w:spacing w:after="0" w:line="256" w:lineRule="auto"/>
        <w:rPr>
          <w:sz w:val="20"/>
          <w:szCs w:val="20"/>
          <w:color w:val="auto"/>
        </w:rPr>
      </w:pPr>
      <w:r>
        <w:rPr>
          <w:rFonts w:ascii="Calibri" w:cs="Calibri" w:eastAsia="Calibri" w:hAnsi="Calibri"/>
          <w:sz w:val="17"/>
          <w:szCs w:val="17"/>
          <w:color w:val="auto"/>
        </w:rPr>
        <w:t>Our NEOs do not have employment agreements but partcipate in the Lockheed Martn Corporaton Executve Severance Plan. Benefts are payable under this plan in the event of a Company-initated terminaton of employment other than for cause. All of the NEOs are covered under the plan. The beneft payable in a lump sum under the plan is two weeks of basic severance plus a supplemental payment of one tmes the NEO’s base salary and the equivalent of one year’s target annual incentve. For the CEO, the multplier is 2.99 instead of one. NEOs partcipatng in the plan also receive a lump sum payment to cover the cost of medical, dental and vision benefts for one year in additon to outplacement and relocaton services. To receive the supplemental severance beneft, the NEO must execute a release of claims and an agreement containing post-employment, non-compete and non-solicitaton covenants identcal to those included in our NEOs’ LTI award agreements.</w:t>
      </w:r>
    </w:p>
    <w:p>
      <w:pPr>
        <w:spacing w:after="0" w:line="111" w:lineRule="exact"/>
        <w:rPr>
          <w:sz w:val="20"/>
          <w:szCs w:val="20"/>
          <w:color w:val="auto"/>
        </w:rPr>
      </w:pPr>
    </w:p>
    <w:p>
      <w:pPr>
        <w:ind w:right="60"/>
        <w:spacing w:after="0" w:line="258" w:lineRule="auto"/>
        <w:rPr>
          <w:sz w:val="20"/>
          <w:szCs w:val="20"/>
          <w:color w:val="auto"/>
        </w:rPr>
      </w:pPr>
      <w:r>
        <w:rPr>
          <w:rFonts w:ascii="Calibri" w:cs="Calibri" w:eastAsia="Calibri" w:hAnsi="Calibri"/>
          <w:sz w:val="17"/>
          <w:szCs w:val="17"/>
          <w:color w:val="auto"/>
        </w:rPr>
        <w:t>With respect to LTI, upon certain terminatons of employment, including death, disability, retrement, layof, divestture or a change in control, the NEOs may be eligible for contnued or pro rata vestng on the normal schedule, immediate payment of benefts previously earned or accelerated vestng of LTI awards in full or on a pro rata basis. The type of event and the nature of the beneft determine which of these approaches will apply. The purpose of these provisions is to protect previously earned or granted benefts by making them available following the specifed event. We view the vestng (or contnued vestng) to be an important retenton feature for senior-level employees. Because benefts paid at terminaton consist of previously granted or earned benefts, we do not consider terminaton benefts as a separate item in compensaton decisions. Our LTI awards do not provide for tax assistance.</w:t>
      </w:r>
    </w:p>
    <w:p>
      <w:pPr>
        <w:spacing w:after="0" w:line="106" w:lineRule="exact"/>
        <w:rPr>
          <w:sz w:val="20"/>
          <w:szCs w:val="20"/>
          <w:color w:val="auto"/>
        </w:rPr>
      </w:pPr>
    </w:p>
    <w:p>
      <w:pPr>
        <w:jc w:val="both"/>
        <w:ind w:right="180"/>
        <w:spacing w:after="0" w:line="255" w:lineRule="auto"/>
        <w:rPr>
          <w:sz w:val="20"/>
          <w:szCs w:val="20"/>
          <w:color w:val="auto"/>
        </w:rPr>
      </w:pPr>
      <w:r>
        <w:rPr>
          <w:rFonts w:ascii="Calibri" w:cs="Calibri" w:eastAsia="Calibri" w:hAnsi="Calibri"/>
          <w:sz w:val="17"/>
          <w:szCs w:val="17"/>
          <w:color w:val="auto"/>
        </w:rPr>
        <w:t>In the event of a change in control, our plans provide for the acceleraton of the payment of the non-qualifed porton of earned pension benefts and non-qualifed deferred compensaton. All LTI awards require a “double trigger” for vestng to accelerate (both a change in control and a qualifying terminaton of employment), unless the successor does not assume or contnue the awards or provide substtute awards.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3" w:name="page64"/>
    <w:bookmarkEnd w:id="63"/>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Summary Compensation Table</w:t>
      </w:r>
    </w:p>
    <w:p>
      <w:pPr>
        <w:spacing w:after="0" w:line="144" w:lineRule="exact"/>
        <w:rPr>
          <w:sz w:val="20"/>
          <w:szCs w:val="20"/>
          <w:color w:val="auto"/>
        </w:rPr>
      </w:pPr>
    </w:p>
    <w:p>
      <w:pPr>
        <w:ind w:right="360"/>
        <w:spacing w:after="0" w:line="245" w:lineRule="auto"/>
        <w:rPr>
          <w:sz w:val="20"/>
          <w:szCs w:val="20"/>
          <w:color w:val="auto"/>
        </w:rPr>
      </w:pPr>
      <w:r>
        <w:rPr>
          <w:rFonts w:ascii="Calibri" w:cs="Calibri" w:eastAsia="Calibri" w:hAnsi="Calibri"/>
          <w:sz w:val="17"/>
          <w:szCs w:val="17"/>
          <w:color w:val="auto"/>
        </w:rPr>
        <w:t>The following table shows annual and long-term compensaton awarded, earned or paid for services in all capacites to the NEOs for the fscal year ended December 31, 2022 and, where applicable, the prior fscal years. Numbers are rounded to the nearest dollar.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shd w:val="clear" w:color="auto" w:fill="E5E7EF"/>
          </w:tcPr>
          <w:p>
            <w:pPr>
              <w:spacing w:after="0"/>
              <w:rPr>
                <w:sz w:val="16"/>
                <w:szCs w:val="16"/>
                <w:color w:val="auto"/>
              </w:rPr>
            </w:pPr>
          </w:p>
        </w:tc>
        <w:tc>
          <w:tcPr>
            <w:tcW w:w="700" w:type="dxa"/>
            <w:vAlign w:val="bottom"/>
            <w:shd w:val="clear" w:color="auto" w:fill="E5E7EF"/>
          </w:tcPr>
          <w:p>
            <w:pPr>
              <w:spacing w:after="0"/>
              <w:rPr>
                <w:sz w:val="16"/>
                <w:szCs w:val="16"/>
                <w:color w:val="auto"/>
              </w:rPr>
            </w:pPr>
          </w:p>
        </w:tc>
        <w:tc>
          <w:tcPr>
            <w:tcW w:w="820" w:type="dxa"/>
            <w:vAlign w:val="bottom"/>
            <w:shd w:val="clear" w:color="auto" w:fill="E5E7EF"/>
          </w:tcPr>
          <w:p>
            <w:pPr>
              <w:spacing w:after="0"/>
              <w:rPr>
                <w:sz w:val="16"/>
                <w:szCs w:val="16"/>
                <w:color w:val="auto"/>
              </w:rPr>
            </w:pPr>
          </w:p>
        </w:tc>
        <w:tc>
          <w:tcPr>
            <w:tcW w:w="40" w:type="dxa"/>
            <w:vAlign w:val="bottom"/>
            <w:shd w:val="clear" w:color="auto" w:fill="E5E7EF"/>
          </w:tcPr>
          <w:p>
            <w:pPr>
              <w:spacing w:after="0"/>
              <w:rPr>
                <w:sz w:val="16"/>
                <w:szCs w:val="16"/>
                <w:color w:val="auto"/>
              </w:rPr>
            </w:pPr>
          </w:p>
        </w:tc>
        <w:tc>
          <w:tcPr>
            <w:tcW w:w="780" w:type="dxa"/>
            <w:vAlign w:val="bottom"/>
            <w:shd w:val="clear" w:color="auto" w:fill="E5E7EF"/>
          </w:tcPr>
          <w:p>
            <w:pPr>
              <w:spacing w:after="0"/>
              <w:rPr>
                <w:sz w:val="16"/>
                <w:szCs w:val="16"/>
                <w:color w:val="auto"/>
              </w:rPr>
            </w:pPr>
          </w:p>
        </w:tc>
        <w:tc>
          <w:tcPr>
            <w:tcW w:w="940" w:type="dxa"/>
            <w:vAlign w:val="bottom"/>
            <w:shd w:val="clear" w:color="auto" w:fill="E5E7EF"/>
          </w:tcPr>
          <w:p>
            <w:pPr>
              <w:spacing w:after="0"/>
              <w:rPr>
                <w:sz w:val="16"/>
                <w:szCs w:val="16"/>
                <w:color w:val="auto"/>
              </w:rPr>
            </w:pPr>
          </w:p>
        </w:tc>
        <w:tc>
          <w:tcPr>
            <w:tcW w:w="1220" w:type="dxa"/>
            <w:vAlign w:val="bottom"/>
            <w:shd w:val="clear" w:color="auto" w:fill="E5E7EF"/>
          </w:tcPr>
          <w:p>
            <w:pPr>
              <w:spacing w:after="0"/>
              <w:rPr>
                <w:sz w:val="16"/>
                <w:szCs w:val="16"/>
                <w:color w:val="auto"/>
              </w:rPr>
            </w:pPr>
          </w:p>
        </w:tc>
        <w:tc>
          <w:tcPr>
            <w:tcW w:w="114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Change in</w:t>
            </w:r>
          </w:p>
        </w:tc>
        <w:tc>
          <w:tcPr>
            <w:tcW w:w="1320" w:type="dxa"/>
            <w:vAlign w:val="bottom"/>
            <w:shd w:val="clear" w:color="auto" w:fill="E5E7EF"/>
          </w:tcPr>
          <w:p>
            <w:pPr>
              <w:spacing w:after="0"/>
              <w:rPr>
                <w:sz w:val="16"/>
                <w:szCs w:val="16"/>
                <w:color w:val="auto"/>
              </w:rPr>
            </w:pPr>
          </w:p>
        </w:tc>
        <w:tc>
          <w:tcPr>
            <w:tcW w:w="980" w:type="dxa"/>
            <w:vAlign w:val="bottom"/>
            <w:shd w:val="clear" w:color="auto" w:fill="E5E7E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E5E7EF"/>
          </w:tcPr>
          <w:p>
            <w:pPr>
              <w:spacing w:after="0"/>
              <w:rPr>
                <w:sz w:val="12"/>
                <w:szCs w:val="12"/>
                <w:color w:val="auto"/>
              </w:rPr>
            </w:pPr>
          </w:p>
        </w:tc>
        <w:tc>
          <w:tcPr>
            <w:tcW w:w="700" w:type="dxa"/>
            <w:vAlign w:val="bottom"/>
            <w:shd w:val="clear" w:color="auto" w:fill="E5E7EF"/>
          </w:tcPr>
          <w:p>
            <w:pPr>
              <w:spacing w:after="0"/>
              <w:rPr>
                <w:sz w:val="12"/>
                <w:szCs w:val="12"/>
                <w:color w:val="auto"/>
              </w:rPr>
            </w:pPr>
          </w:p>
        </w:tc>
        <w:tc>
          <w:tcPr>
            <w:tcW w:w="820" w:type="dxa"/>
            <w:vAlign w:val="bottom"/>
            <w:shd w:val="clear" w:color="auto" w:fill="E5E7EF"/>
          </w:tcPr>
          <w:p>
            <w:pPr>
              <w:spacing w:after="0"/>
              <w:rPr>
                <w:sz w:val="12"/>
                <w:szCs w:val="12"/>
                <w:color w:val="auto"/>
              </w:rPr>
            </w:pPr>
          </w:p>
        </w:tc>
        <w:tc>
          <w:tcPr>
            <w:tcW w:w="40" w:type="dxa"/>
            <w:vAlign w:val="bottom"/>
            <w:shd w:val="clear" w:color="auto" w:fill="E5E7EF"/>
          </w:tcPr>
          <w:p>
            <w:pPr>
              <w:spacing w:after="0"/>
              <w:rPr>
                <w:sz w:val="12"/>
                <w:szCs w:val="12"/>
                <w:color w:val="auto"/>
              </w:rPr>
            </w:pPr>
          </w:p>
        </w:tc>
        <w:tc>
          <w:tcPr>
            <w:tcW w:w="780" w:type="dxa"/>
            <w:vAlign w:val="bottom"/>
            <w:shd w:val="clear" w:color="auto" w:fill="E5E7EF"/>
          </w:tcPr>
          <w:p>
            <w:pPr>
              <w:spacing w:after="0"/>
              <w:rPr>
                <w:sz w:val="12"/>
                <w:szCs w:val="12"/>
                <w:color w:val="auto"/>
              </w:rPr>
            </w:pPr>
          </w:p>
        </w:tc>
        <w:tc>
          <w:tcPr>
            <w:tcW w:w="940" w:type="dxa"/>
            <w:vAlign w:val="bottom"/>
            <w:shd w:val="clear" w:color="auto" w:fill="E5E7EF"/>
          </w:tcPr>
          <w:p>
            <w:pPr>
              <w:spacing w:after="0"/>
              <w:rPr>
                <w:sz w:val="12"/>
                <w:szCs w:val="12"/>
                <w:color w:val="auto"/>
              </w:rPr>
            </w:pPr>
          </w:p>
        </w:tc>
        <w:tc>
          <w:tcPr>
            <w:tcW w:w="1220" w:type="dxa"/>
            <w:vAlign w:val="bottom"/>
            <w:shd w:val="clear" w:color="auto" w:fill="E5E7EF"/>
          </w:tcPr>
          <w:p>
            <w:pPr>
              <w:spacing w:after="0"/>
              <w:rPr>
                <w:sz w:val="12"/>
                <w:szCs w:val="12"/>
                <w:color w:val="auto"/>
              </w:rPr>
            </w:pPr>
          </w:p>
        </w:tc>
        <w:tc>
          <w:tcPr>
            <w:tcW w:w="114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Pension</w:t>
            </w:r>
          </w:p>
        </w:tc>
        <w:tc>
          <w:tcPr>
            <w:tcW w:w="1320" w:type="dxa"/>
            <w:vAlign w:val="bottom"/>
            <w:shd w:val="clear" w:color="auto" w:fill="E5E7EF"/>
          </w:tcPr>
          <w:p>
            <w:pPr>
              <w:spacing w:after="0"/>
              <w:rPr>
                <w:sz w:val="12"/>
                <w:szCs w:val="12"/>
                <w:color w:val="auto"/>
              </w:rPr>
            </w:pPr>
          </w:p>
        </w:tc>
        <w:tc>
          <w:tcPr>
            <w:tcW w:w="98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E7EF"/>
          </w:tcPr>
          <w:p>
            <w:pPr>
              <w:spacing w:after="0"/>
              <w:rPr>
                <w:sz w:val="12"/>
                <w:szCs w:val="12"/>
                <w:color w:val="auto"/>
              </w:rPr>
            </w:pPr>
          </w:p>
        </w:tc>
        <w:tc>
          <w:tcPr>
            <w:tcW w:w="700" w:type="dxa"/>
            <w:vAlign w:val="bottom"/>
            <w:shd w:val="clear" w:color="auto" w:fill="E5E7EF"/>
          </w:tcPr>
          <w:p>
            <w:pPr>
              <w:spacing w:after="0"/>
              <w:rPr>
                <w:sz w:val="12"/>
                <w:szCs w:val="12"/>
                <w:color w:val="auto"/>
              </w:rPr>
            </w:pPr>
          </w:p>
        </w:tc>
        <w:tc>
          <w:tcPr>
            <w:tcW w:w="820" w:type="dxa"/>
            <w:vAlign w:val="bottom"/>
            <w:shd w:val="clear" w:color="auto" w:fill="E5E7EF"/>
          </w:tcPr>
          <w:p>
            <w:pPr>
              <w:spacing w:after="0"/>
              <w:rPr>
                <w:sz w:val="12"/>
                <w:szCs w:val="12"/>
                <w:color w:val="auto"/>
              </w:rPr>
            </w:pPr>
          </w:p>
        </w:tc>
        <w:tc>
          <w:tcPr>
            <w:tcW w:w="40" w:type="dxa"/>
            <w:vAlign w:val="bottom"/>
            <w:shd w:val="clear" w:color="auto" w:fill="E5E7EF"/>
          </w:tcPr>
          <w:p>
            <w:pPr>
              <w:spacing w:after="0"/>
              <w:rPr>
                <w:sz w:val="12"/>
                <w:szCs w:val="12"/>
                <w:color w:val="auto"/>
              </w:rPr>
            </w:pPr>
          </w:p>
        </w:tc>
        <w:tc>
          <w:tcPr>
            <w:tcW w:w="780" w:type="dxa"/>
            <w:vAlign w:val="bottom"/>
            <w:shd w:val="clear" w:color="auto" w:fill="E5E7EF"/>
          </w:tcPr>
          <w:p>
            <w:pPr>
              <w:spacing w:after="0"/>
              <w:rPr>
                <w:sz w:val="12"/>
                <w:szCs w:val="12"/>
                <w:color w:val="auto"/>
              </w:rPr>
            </w:pPr>
          </w:p>
        </w:tc>
        <w:tc>
          <w:tcPr>
            <w:tcW w:w="940" w:type="dxa"/>
            <w:vAlign w:val="bottom"/>
            <w:shd w:val="clear" w:color="auto" w:fill="E5E7EF"/>
          </w:tcPr>
          <w:p>
            <w:pPr>
              <w:spacing w:after="0"/>
              <w:rPr>
                <w:sz w:val="12"/>
                <w:szCs w:val="12"/>
                <w:color w:val="auto"/>
              </w:rPr>
            </w:pPr>
          </w:p>
        </w:tc>
        <w:tc>
          <w:tcPr>
            <w:tcW w:w="1220" w:type="dxa"/>
            <w:vAlign w:val="bottom"/>
            <w:shd w:val="clear" w:color="auto" w:fill="E5E7EF"/>
          </w:tcPr>
          <w:p>
            <w:pPr>
              <w:spacing w:after="0"/>
              <w:rPr>
                <w:sz w:val="12"/>
                <w:szCs w:val="12"/>
                <w:color w:val="auto"/>
              </w:rPr>
            </w:pPr>
          </w:p>
        </w:tc>
        <w:tc>
          <w:tcPr>
            <w:tcW w:w="114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Value and</w:t>
            </w:r>
          </w:p>
        </w:tc>
        <w:tc>
          <w:tcPr>
            <w:tcW w:w="1320" w:type="dxa"/>
            <w:vAlign w:val="bottom"/>
            <w:shd w:val="clear" w:color="auto" w:fill="E5E7EF"/>
          </w:tcPr>
          <w:p>
            <w:pPr>
              <w:spacing w:after="0"/>
              <w:rPr>
                <w:sz w:val="12"/>
                <w:szCs w:val="12"/>
                <w:color w:val="auto"/>
              </w:rPr>
            </w:pPr>
          </w:p>
        </w:tc>
        <w:tc>
          <w:tcPr>
            <w:tcW w:w="98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E7EF"/>
          </w:tcPr>
          <w:p>
            <w:pPr>
              <w:spacing w:after="0"/>
              <w:rPr>
                <w:sz w:val="12"/>
                <w:szCs w:val="12"/>
                <w:color w:val="auto"/>
              </w:rPr>
            </w:pPr>
          </w:p>
        </w:tc>
        <w:tc>
          <w:tcPr>
            <w:tcW w:w="700" w:type="dxa"/>
            <w:vAlign w:val="bottom"/>
            <w:shd w:val="clear" w:color="auto" w:fill="E5E7EF"/>
          </w:tcPr>
          <w:p>
            <w:pPr>
              <w:spacing w:after="0"/>
              <w:rPr>
                <w:sz w:val="12"/>
                <w:szCs w:val="12"/>
                <w:color w:val="auto"/>
              </w:rPr>
            </w:pPr>
          </w:p>
        </w:tc>
        <w:tc>
          <w:tcPr>
            <w:tcW w:w="820" w:type="dxa"/>
            <w:vAlign w:val="bottom"/>
            <w:shd w:val="clear" w:color="auto" w:fill="E5E7EF"/>
          </w:tcPr>
          <w:p>
            <w:pPr>
              <w:spacing w:after="0"/>
              <w:rPr>
                <w:sz w:val="12"/>
                <w:szCs w:val="12"/>
                <w:color w:val="auto"/>
              </w:rPr>
            </w:pPr>
          </w:p>
        </w:tc>
        <w:tc>
          <w:tcPr>
            <w:tcW w:w="40" w:type="dxa"/>
            <w:vAlign w:val="bottom"/>
            <w:shd w:val="clear" w:color="auto" w:fill="E5E7EF"/>
          </w:tcPr>
          <w:p>
            <w:pPr>
              <w:spacing w:after="0"/>
              <w:rPr>
                <w:sz w:val="12"/>
                <w:szCs w:val="12"/>
                <w:color w:val="auto"/>
              </w:rPr>
            </w:pPr>
          </w:p>
        </w:tc>
        <w:tc>
          <w:tcPr>
            <w:tcW w:w="780" w:type="dxa"/>
            <w:vAlign w:val="bottom"/>
            <w:shd w:val="clear" w:color="auto" w:fill="E5E7EF"/>
          </w:tcPr>
          <w:p>
            <w:pPr>
              <w:spacing w:after="0"/>
              <w:rPr>
                <w:sz w:val="12"/>
                <w:szCs w:val="12"/>
                <w:color w:val="auto"/>
              </w:rPr>
            </w:pPr>
          </w:p>
        </w:tc>
        <w:tc>
          <w:tcPr>
            <w:tcW w:w="940" w:type="dxa"/>
            <w:vAlign w:val="bottom"/>
            <w:shd w:val="clear" w:color="auto" w:fill="E5E7EF"/>
          </w:tcPr>
          <w:p>
            <w:pPr>
              <w:spacing w:after="0"/>
              <w:rPr>
                <w:sz w:val="12"/>
                <w:szCs w:val="12"/>
                <w:color w:val="auto"/>
              </w:rPr>
            </w:pPr>
          </w:p>
        </w:tc>
        <w:tc>
          <w:tcPr>
            <w:tcW w:w="1220" w:type="dxa"/>
            <w:vAlign w:val="bottom"/>
            <w:shd w:val="clear" w:color="auto" w:fill="E5E7EF"/>
          </w:tcPr>
          <w:p>
            <w:pPr>
              <w:spacing w:after="0"/>
              <w:rPr>
                <w:sz w:val="12"/>
                <w:szCs w:val="12"/>
                <w:color w:val="auto"/>
              </w:rPr>
            </w:pPr>
          </w:p>
        </w:tc>
        <w:tc>
          <w:tcPr>
            <w:tcW w:w="114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Nonqualified</w:t>
            </w:r>
          </w:p>
        </w:tc>
        <w:tc>
          <w:tcPr>
            <w:tcW w:w="1320" w:type="dxa"/>
            <w:vAlign w:val="bottom"/>
            <w:shd w:val="clear" w:color="auto" w:fill="E5E7EF"/>
          </w:tcPr>
          <w:p>
            <w:pPr>
              <w:spacing w:after="0"/>
              <w:rPr>
                <w:sz w:val="12"/>
                <w:szCs w:val="12"/>
                <w:color w:val="auto"/>
              </w:rPr>
            </w:pPr>
          </w:p>
        </w:tc>
        <w:tc>
          <w:tcPr>
            <w:tcW w:w="98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E7EF"/>
          </w:tcPr>
          <w:p>
            <w:pPr>
              <w:spacing w:after="0"/>
              <w:rPr>
                <w:sz w:val="12"/>
                <w:szCs w:val="12"/>
                <w:color w:val="auto"/>
              </w:rPr>
            </w:pPr>
          </w:p>
        </w:tc>
        <w:tc>
          <w:tcPr>
            <w:tcW w:w="700" w:type="dxa"/>
            <w:vAlign w:val="bottom"/>
            <w:shd w:val="clear" w:color="auto" w:fill="E5E7EF"/>
          </w:tcPr>
          <w:p>
            <w:pPr>
              <w:spacing w:after="0"/>
              <w:rPr>
                <w:sz w:val="12"/>
                <w:szCs w:val="12"/>
                <w:color w:val="auto"/>
              </w:rPr>
            </w:pPr>
          </w:p>
        </w:tc>
        <w:tc>
          <w:tcPr>
            <w:tcW w:w="820" w:type="dxa"/>
            <w:vAlign w:val="bottom"/>
            <w:shd w:val="clear" w:color="auto" w:fill="E5E7EF"/>
          </w:tcPr>
          <w:p>
            <w:pPr>
              <w:spacing w:after="0"/>
              <w:rPr>
                <w:sz w:val="12"/>
                <w:szCs w:val="12"/>
                <w:color w:val="auto"/>
              </w:rPr>
            </w:pPr>
          </w:p>
        </w:tc>
        <w:tc>
          <w:tcPr>
            <w:tcW w:w="40" w:type="dxa"/>
            <w:vAlign w:val="bottom"/>
            <w:shd w:val="clear" w:color="auto" w:fill="E5E7EF"/>
          </w:tcPr>
          <w:p>
            <w:pPr>
              <w:spacing w:after="0"/>
              <w:rPr>
                <w:sz w:val="12"/>
                <w:szCs w:val="12"/>
                <w:color w:val="auto"/>
              </w:rPr>
            </w:pPr>
          </w:p>
        </w:tc>
        <w:tc>
          <w:tcPr>
            <w:tcW w:w="780" w:type="dxa"/>
            <w:vAlign w:val="bottom"/>
            <w:shd w:val="clear" w:color="auto" w:fill="E5E7EF"/>
          </w:tcPr>
          <w:p>
            <w:pPr>
              <w:spacing w:after="0"/>
              <w:rPr>
                <w:sz w:val="12"/>
                <w:szCs w:val="12"/>
                <w:color w:val="auto"/>
              </w:rPr>
            </w:pPr>
          </w:p>
        </w:tc>
        <w:tc>
          <w:tcPr>
            <w:tcW w:w="940" w:type="dxa"/>
            <w:vAlign w:val="bottom"/>
            <w:shd w:val="clear" w:color="auto" w:fill="E5E7EF"/>
          </w:tcPr>
          <w:p>
            <w:pPr>
              <w:spacing w:after="0"/>
              <w:rPr>
                <w:sz w:val="12"/>
                <w:szCs w:val="12"/>
                <w:color w:val="auto"/>
              </w:rPr>
            </w:pPr>
          </w:p>
        </w:tc>
        <w:tc>
          <w:tcPr>
            <w:tcW w:w="1220" w:type="dxa"/>
            <w:vAlign w:val="bottom"/>
            <w:shd w:val="clear" w:color="auto" w:fill="E5E7EF"/>
          </w:tcPr>
          <w:p>
            <w:pPr>
              <w:jc w:val="right"/>
              <w:ind w:right="91"/>
              <w:spacing w:after="0"/>
              <w:rPr>
                <w:sz w:val="20"/>
                <w:szCs w:val="20"/>
                <w:color w:val="auto"/>
              </w:rPr>
            </w:pPr>
            <w:r>
              <w:rPr>
                <w:rFonts w:ascii="Arial" w:cs="Arial" w:eastAsia="Arial" w:hAnsi="Arial"/>
                <w:sz w:val="13"/>
                <w:szCs w:val="13"/>
                <w:color w:val="auto"/>
              </w:rPr>
              <w:t>Non-Equity</w:t>
            </w:r>
          </w:p>
        </w:tc>
        <w:tc>
          <w:tcPr>
            <w:tcW w:w="114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Deferred</w:t>
            </w:r>
          </w:p>
        </w:tc>
        <w:tc>
          <w:tcPr>
            <w:tcW w:w="1320" w:type="dxa"/>
            <w:vAlign w:val="bottom"/>
            <w:shd w:val="clear" w:color="auto" w:fill="E5E7EF"/>
          </w:tcPr>
          <w:p>
            <w:pPr>
              <w:spacing w:after="0"/>
              <w:rPr>
                <w:sz w:val="12"/>
                <w:szCs w:val="12"/>
                <w:color w:val="auto"/>
              </w:rPr>
            </w:pPr>
          </w:p>
        </w:tc>
        <w:tc>
          <w:tcPr>
            <w:tcW w:w="98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E7EF"/>
          </w:tcPr>
          <w:p>
            <w:pPr>
              <w:spacing w:after="0"/>
              <w:rPr>
                <w:sz w:val="12"/>
                <w:szCs w:val="12"/>
                <w:color w:val="auto"/>
              </w:rPr>
            </w:pPr>
          </w:p>
        </w:tc>
        <w:tc>
          <w:tcPr>
            <w:tcW w:w="700" w:type="dxa"/>
            <w:vAlign w:val="bottom"/>
            <w:shd w:val="clear" w:color="auto" w:fill="E5E7EF"/>
          </w:tcPr>
          <w:p>
            <w:pPr>
              <w:spacing w:after="0"/>
              <w:rPr>
                <w:sz w:val="12"/>
                <w:szCs w:val="12"/>
                <w:color w:val="auto"/>
              </w:rPr>
            </w:pPr>
          </w:p>
        </w:tc>
        <w:tc>
          <w:tcPr>
            <w:tcW w:w="820" w:type="dxa"/>
            <w:vAlign w:val="bottom"/>
            <w:shd w:val="clear" w:color="auto" w:fill="E5E7EF"/>
          </w:tcPr>
          <w:p>
            <w:pPr>
              <w:spacing w:after="0"/>
              <w:rPr>
                <w:sz w:val="12"/>
                <w:szCs w:val="12"/>
                <w:color w:val="auto"/>
              </w:rPr>
            </w:pPr>
          </w:p>
        </w:tc>
        <w:tc>
          <w:tcPr>
            <w:tcW w:w="40" w:type="dxa"/>
            <w:vAlign w:val="bottom"/>
            <w:shd w:val="clear" w:color="auto" w:fill="E5E7EF"/>
          </w:tcPr>
          <w:p>
            <w:pPr>
              <w:spacing w:after="0"/>
              <w:rPr>
                <w:sz w:val="12"/>
                <w:szCs w:val="12"/>
                <w:color w:val="auto"/>
              </w:rPr>
            </w:pPr>
          </w:p>
        </w:tc>
        <w:tc>
          <w:tcPr>
            <w:tcW w:w="780" w:type="dxa"/>
            <w:vAlign w:val="bottom"/>
            <w:shd w:val="clear" w:color="auto" w:fill="E5E7EF"/>
          </w:tcPr>
          <w:p>
            <w:pPr>
              <w:spacing w:after="0"/>
              <w:rPr>
                <w:sz w:val="12"/>
                <w:szCs w:val="12"/>
                <w:color w:val="auto"/>
              </w:rPr>
            </w:pPr>
          </w:p>
        </w:tc>
        <w:tc>
          <w:tcPr>
            <w:tcW w:w="940" w:type="dxa"/>
            <w:vAlign w:val="bottom"/>
            <w:shd w:val="clear" w:color="auto" w:fill="E5E7EF"/>
          </w:tcPr>
          <w:p>
            <w:pPr>
              <w:jc w:val="right"/>
              <w:ind w:right="90"/>
              <w:spacing w:after="0"/>
              <w:rPr>
                <w:sz w:val="20"/>
                <w:szCs w:val="20"/>
                <w:color w:val="auto"/>
              </w:rPr>
            </w:pPr>
            <w:r>
              <w:rPr>
                <w:rFonts w:ascii="Arial" w:cs="Arial" w:eastAsia="Arial" w:hAnsi="Arial"/>
                <w:sz w:val="13"/>
                <w:szCs w:val="13"/>
                <w:color w:val="auto"/>
              </w:rPr>
              <w:t>Stock</w:t>
            </w:r>
          </w:p>
        </w:tc>
        <w:tc>
          <w:tcPr>
            <w:tcW w:w="1220" w:type="dxa"/>
            <w:vAlign w:val="bottom"/>
            <w:shd w:val="clear" w:color="auto" w:fill="E5E7EF"/>
          </w:tcPr>
          <w:p>
            <w:pPr>
              <w:jc w:val="right"/>
              <w:ind w:right="91"/>
              <w:spacing w:after="0"/>
              <w:rPr>
                <w:sz w:val="20"/>
                <w:szCs w:val="20"/>
                <w:color w:val="auto"/>
              </w:rPr>
            </w:pPr>
            <w:r>
              <w:rPr>
                <w:rFonts w:ascii="Arial" w:cs="Arial" w:eastAsia="Arial" w:hAnsi="Arial"/>
                <w:sz w:val="13"/>
                <w:szCs w:val="13"/>
                <w:color w:val="auto"/>
              </w:rPr>
              <w:t>Incentive Plan</w:t>
            </w:r>
          </w:p>
        </w:tc>
        <w:tc>
          <w:tcPr>
            <w:tcW w:w="114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Compensation</w:t>
            </w:r>
          </w:p>
        </w:tc>
        <w:tc>
          <w:tcPr>
            <w:tcW w:w="1320" w:type="dxa"/>
            <w:vAlign w:val="bottom"/>
            <w:shd w:val="clear" w:color="auto" w:fill="E5E7EF"/>
          </w:tcPr>
          <w:p>
            <w:pPr>
              <w:jc w:val="right"/>
              <w:ind w:right="190"/>
              <w:spacing w:after="0"/>
              <w:rPr>
                <w:sz w:val="20"/>
                <w:szCs w:val="20"/>
                <w:color w:val="auto"/>
              </w:rPr>
            </w:pPr>
            <w:r>
              <w:rPr>
                <w:rFonts w:ascii="Arial" w:cs="Arial" w:eastAsia="Arial" w:hAnsi="Arial"/>
                <w:sz w:val="13"/>
                <w:szCs w:val="13"/>
                <w:color w:val="auto"/>
              </w:rPr>
              <w:t>All Other</w:t>
            </w:r>
          </w:p>
        </w:tc>
        <w:tc>
          <w:tcPr>
            <w:tcW w:w="98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E5E7EF"/>
          </w:tcPr>
          <w:p>
            <w:pPr>
              <w:spacing w:after="0"/>
              <w:rPr>
                <w:sz w:val="18"/>
                <w:szCs w:val="18"/>
                <w:color w:val="auto"/>
              </w:rPr>
            </w:pPr>
          </w:p>
        </w:tc>
        <w:tc>
          <w:tcPr>
            <w:tcW w:w="700" w:type="dxa"/>
            <w:vAlign w:val="bottom"/>
            <w:shd w:val="clear" w:color="auto" w:fill="E5E7EF"/>
          </w:tcPr>
          <w:p>
            <w:pPr>
              <w:spacing w:after="0"/>
              <w:rPr>
                <w:sz w:val="18"/>
                <w:szCs w:val="18"/>
                <w:color w:val="auto"/>
              </w:rPr>
            </w:pPr>
          </w:p>
        </w:tc>
        <w:tc>
          <w:tcPr>
            <w:tcW w:w="860" w:type="dxa"/>
            <w:vAlign w:val="bottom"/>
            <w:gridSpan w:val="2"/>
            <w:shd w:val="clear" w:color="auto" w:fill="E5E7EF"/>
          </w:tcPr>
          <w:p>
            <w:pPr>
              <w:jc w:val="right"/>
              <w:ind w:right="20"/>
              <w:spacing w:after="0"/>
              <w:rPr>
                <w:sz w:val="20"/>
                <w:szCs w:val="20"/>
                <w:color w:val="auto"/>
              </w:rPr>
            </w:pPr>
            <w:r>
              <w:rPr>
                <w:rFonts w:ascii="Arial" w:cs="Arial" w:eastAsia="Arial" w:hAnsi="Arial"/>
                <w:sz w:val="13"/>
                <w:szCs w:val="13"/>
                <w:color w:val="auto"/>
              </w:rPr>
              <w:t>Salary</w:t>
            </w:r>
            <w:r>
              <w:rPr>
                <w:rFonts w:ascii="Arial" w:cs="Arial" w:eastAsia="Arial" w:hAnsi="Arial"/>
                <w:sz w:val="16"/>
                <w:szCs w:val="16"/>
                <w:color w:val="auto"/>
                <w:vertAlign w:val="superscript"/>
              </w:rPr>
              <w:t>(2)</w:t>
            </w:r>
          </w:p>
        </w:tc>
        <w:tc>
          <w:tcPr>
            <w:tcW w:w="780" w:type="dxa"/>
            <w:vAlign w:val="bottom"/>
            <w:shd w:val="clear" w:color="auto" w:fill="E5E7EF"/>
          </w:tcPr>
          <w:p>
            <w:pPr>
              <w:jc w:val="right"/>
              <w:ind w:right="30"/>
              <w:spacing w:after="0"/>
              <w:rPr>
                <w:sz w:val="20"/>
                <w:szCs w:val="20"/>
                <w:color w:val="auto"/>
              </w:rPr>
            </w:pPr>
            <w:r>
              <w:rPr>
                <w:rFonts w:ascii="Arial" w:cs="Arial" w:eastAsia="Arial" w:hAnsi="Arial"/>
                <w:sz w:val="13"/>
                <w:szCs w:val="13"/>
                <w:color w:val="auto"/>
              </w:rPr>
              <w:t>Bonus</w:t>
            </w:r>
            <w:r>
              <w:rPr>
                <w:rFonts w:ascii="Arial" w:cs="Arial" w:eastAsia="Arial" w:hAnsi="Arial"/>
                <w:sz w:val="16"/>
                <w:szCs w:val="16"/>
                <w:color w:val="auto"/>
                <w:vertAlign w:val="superscript"/>
              </w:rPr>
              <w:t>(3)</w:t>
            </w:r>
          </w:p>
        </w:tc>
        <w:tc>
          <w:tcPr>
            <w:tcW w:w="940" w:type="dxa"/>
            <w:vAlign w:val="bottom"/>
            <w:shd w:val="clear" w:color="auto" w:fill="E5E7EF"/>
          </w:tcPr>
          <w:p>
            <w:pPr>
              <w:jc w:val="right"/>
              <w:ind w:right="90"/>
              <w:spacing w:after="0"/>
              <w:rPr>
                <w:sz w:val="20"/>
                <w:szCs w:val="20"/>
                <w:color w:val="auto"/>
              </w:rPr>
            </w:pPr>
            <w:r>
              <w:rPr>
                <w:rFonts w:ascii="Arial" w:cs="Arial" w:eastAsia="Arial" w:hAnsi="Arial"/>
                <w:sz w:val="13"/>
                <w:szCs w:val="13"/>
                <w:color w:val="auto"/>
              </w:rPr>
              <w:t>Awards</w:t>
            </w:r>
            <w:r>
              <w:rPr>
                <w:rFonts w:ascii="Arial" w:cs="Arial" w:eastAsia="Arial" w:hAnsi="Arial"/>
                <w:sz w:val="16"/>
                <w:szCs w:val="16"/>
                <w:color w:val="auto"/>
                <w:vertAlign w:val="superscript"/>
              </w:rPr>
              <w:t>(4)</w:t>
            </w:r>
          </w:p>
        </w:tc>
        <w:tc>
          <w:tcPr>
            <w:tcW w:w="1220" w:type="dxa"/>
            <w:vAlign w:val="bottom"/>
            <w:shd w:val="clear" w:color="auto" w:fill="E5E7EF"/>
          </w:tcPr>
          <w:p>
            <w:pPr>
              <w:jc w:val="right"/>
              <w:ind w:right="91"/>
              <w:spacing w:after="0"/>
              <w:rPr>
                <w:sz w:val="20"/>
                <w:szCs w:val="20"/>
                <w:color w:val="auto"/>
              </w:rPr>
            </w:pPr>
            <w:r>
              <w:rPr>
                <w:rFonts w:ascii="Arial" w:cs="Arial" w:eastAsia="Arial" w:hAnsi="Arial"/>
                <w:sz w:val="13"/>
                <w:szCs w:val="13"/>
                <w:color w:val="auto"/>
              </w:rPr>
              <w:t>Compensation</w:t>
            </w:r>
            <w:r>
              <w:rPr>
                <w:rFonts w:ascii="Arial" w:cs="Arial" w:eastAsia="Arial" w:hAnsi="Arial"/>
                <w:sz w:val="16"/>
                <w:szCs w:val="16"/>
                <w:color w:val="auto"/>
                <w:vertAlign w:val="superscript"/>
              </w:rPr>
              <w:t>(5)</w:t>
            </w:r>
          </w:p>
        </w:tc>
        <w:tc>
          <w:tcPr>
            <w:tcW w:w="114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Earnings</w:t>
            </w:r>
            <w:r>
              <w:rPr>
                <w:rFonts w:ascii="Arial" w:cs="Arial" w:eastAsia="Arial" w:hAnsi="Arial"/>
                <w:sz w:val="16"/>
                <w:szCs w:val="16"/>
                <w:color w:val="auto"/>
                <w:vertAlign w:val="superscript"/>
              </w:rPr>
              <w:t>(6)</w:t>
            </w:r>
          </w:p>
        </w:tc>
        <w:tc>
          <w:tcPr>
            <w:tcW w:w="1320" w:type="dxa"/>
            <w:vAlign w:val="bottom"/>
            <w:shd w:val="clear" w:color="auto" w:fill="E5E7EF"/>
          </w:tcPr>
          <w:p>
            <w:pPr>
              <w:jc w:val="right"/>
              <w:ind w:right="190"/>
              <w:spacing w:after="0"/>
              <w:rPr>
                <w:sz w:val="20"/>
                <w:szCs w:val="20"/>
                <w:color w:val="auto"/>
              </w:rPr>
            </w:pPr>
            <w:r>
              <w:rPr>
                <w:rFonts w:ascii="Arial" w:cs="Arial" w:eastAsia="Arial" w:hAnsi="Arial"/>
                <w:sz w:val="13"/>
                <w:szCs w:val="13"/>
                <w:color w:val="auto"/>
              </w:rPr>
              <w:t>Compensation</w:t>
            </w:r>
            <w:r>
              <w:rPr>
                <w:rFonts w:ascii="Arial" w:cs="Arial" w:eastAsia="Arial" w:hAnsi="Arial"/>
                <w:sz w:val="16"/>
                <w:szCs w:val="16"/>
                <w:color w:val="auto"/>
                <w:vertAlign w:val="superscript"/>
              </w:rPr>
              <w:t>(7)</w:t>
            </w:r>
          </w:p>
        </w:tc>
        <w:tc>
          <w:tcPr>
            <w:tcW w:w="9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002E6D"/>
            </w:tcBorders>
            <w:shd w:val="clear" w:color="auto" w:fill="E5E7EF"/>
          </w:tcPr>
          <w:p>
            <w:pPr>
              <w:ind w:left="20"/>
              <w:spacing w:after="0"/>
              <w:rPr>
                <w:sz w:val="20"/>
                <w:szCs w:val="20"/>
                <w:color w:val="auto"/>
              </w:rPr>
            </w:pPr>
            <w:r>
              <w:rPr>
                <w:rFonts w:ascii="Arial" w:cs="Arial" w:eastAsia="Arial" w:hAnsi="Arial"/>
                <w:sz w:val="13"/>
                <w:szCs w:val="13"/>
                <w:color w:val="auto"/>
              </w:rPr>
              <w:t>Name and Principal Position</w:t>
            </w:r>
            <w:r>
              <w:rPr>
                <w:rFonts w:ascii="Arial" w:cs="Arial" w:eastAsia="Arial" w:hAnsi="Arial"/>
                <w:sz w:val="16"/>
                <w:szCs w:val="16"/>
                <w:color w:val="auto"/>
                <w:vertAlign w:val="superscript"/>
              </w:rPr>
              <w:t>(1)</w:t>
            </w:r>
          </w:p>
        </w:tc>
        <w:tc>
          <w:tcPr>
            <w:tcW w:w="700" w:type="dxa"/>
            <w:vAlign w:val="bottom"/>
            <w:tcBorders>
              <w:bottom w:val="single" w:sz="8" w:color="002E6D"/>
            </w:tcBorders>
            <w:shd w:val="clear" w:color="auto" w:fill="E5E7EF"/>
          </w:tcPr>
          <w:p>
            <w:pPr>
              <w:jc w:val="right"/>
              <w:spacing w:after="0"/>
              <w:rPr>
                <w:sz w:val="20"/>
                <w:szCs w:val="20"/>
                <w:color w:val="auto"/>
              </w:rPr>
            </w:pPr>
            <w:r>
              <w:rPr>
                <w:rFonts w:ascii="Arial" w:cs="Arial" w:eastAsia="Arial" w:hAnsi="Arial"/>
                <w:sz w:val="13"/>
                <w:szCs w:val="13"/>
                <w:color w:val="auto"/>
              </w:rPr>
              <w:t>Year</w:t>
            </w:r>
          </w:p>
        </w:tc>
        <w:tc>
          <w:tcPr>
            <w:tcW w:w="860" w:type="dxa"/>
            <w:vAlign w:val="bottom"/>
            <w:tcBorders>
              <w:bottom w:val="single" w:sz="8" w:color="002E6D"/>
            </w:tcBorders>
            <w:gridSpan w:val="2"/>
            <w:shd w:val="clear" w:color="auto" w:fill="E5E7E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002E6D"/>
            </w:tcBorders>
            <w:shd w:val="clear" w:color="auto" w:fill="E5E7EF"/>
          </w:tcPr>
          <w:p>
            <w:pPr>
              <w:jc w:val="right"/>
              <w:ind w:right="3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002E6D"/>
            </w:tcBorders>
            <w:shd w:val="clear" w:color="auto" w:fill="E5E7EF"/>
          </w:tcPr>
          <w:p>
            <w:pPr>
              <w:jc w:val="right"/>
              <w:ind w:right="9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002E6D"/>
            </w:tcBorders>
            <w:shd w:val="clear" w:color="auto" w:fill="E5E7EF"/>
          </w:tcPr>
          <w:p>
            <w:pPr>
              <w:jc w:val="right"/>
              <w:ind w:right="91"/>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002E6D"/>
            </w:tcBorders>
            <w:shd w:val="clear" w:color="auto" w:fill="E5E7EF"/>
          </w:tcPr>
          <w:p>
            <w:pPr>
              <w:jc w:val="right"/>
              <w:ind w:right="112"/>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002E6D"/>
            </w:tcBorders>
            <w:shd w:val="clear" w:color="auto" w:fill="E5E7EF"/>
          </w:tcPr>
          <w:p>
            <w:pPr>
              <w:jc w:val="right"/>
              <w:ind w:right="19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002E6D"/>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330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7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860" w:type="dxa"/>
            <w:vAlign w:val="bottom"/>
            <w:tcBorders>
              <w:bottom w:val="single" w:sz="8" w:color="E5E7EF"/>
            </w:tcBorders>
            <w:gridSpan w:val="2"/>
            <w:shd w:val="clear" w:color="auto" w:fill="E5E7EF"/>
          </w:tcPr>
          <w:p>
            <w:pPr>
              <w:jc w:val="right"/>
              <w:ind w:right="20"/>
              <w:spacing w:after="0"/>
              <w:rPr>
                <w:sz w:val="20"/>
                <w:szCs w:val="20"/>
                <w:color w:val="auto"/>
              </w:rPr>
            </w:pPr>
            <w:r>
              <w:rPr>
                <w:rFonts w:ascii="Arial" w:cs="Arial" w:eastAsia="Arial" w:hAnsi="Arial"/>
                <w:sz w:val="13"/>
                <w:szCs w:val="13"/>
                <w:color w:val="auto"/>
              </w:rPr>
              <w:t>(c)</w:t>
            </w:r>
          </w:p>
        </w:tc>
        <w:tc>
          <w:tcPr>
            <w:tcW w:w="780" w:type="dxa"/>
            <w:vAlign w:val="bottom"/>
            <w:tcBorders>
              <w:bottom w:val="single" w:sz="8" w:color="E5E7EF"/>
            </w:tcBorders>
            <w:shd w:val="clear" w:color="auto" w:fill="E5E7EF"/>
          </w:tcPr>
          <w:p>
            <w:pPr>
              <w:jc w:val="right"/>
              <w:ind w:right="30"/>
              <w:spacing w:after="0"/>
              <w:rPr>
                <w:sz w:val="20"/>
                <w:szCs w:val="20"/>
                <w:color w:val="auto"/>
              </w:rPr>
            </w:pPr>
            <w:r>
              <w:rPr>
                <w:rFonts w:ascii="Arial" w:cs="Arial" w:eastAsia="Arial" w:hAnsi="Arial"/>
                <w:sz w:val="13"/>
                <w:szCs w:val="13"/>
                <w:color w:val="auto"/>
              </w:rPr>
              <w:t>(d)</w:t>
            </w:r>
          </w:p>
        </w:tc>
        <w:tc>
          <w:tcPr>
            <w:tcW w:w="940" w:type="dxa"/>
            <w:vAlign w:val="bottom"/>
            <w:tcBorders>
              <w:bottom w:val="single" w:sz="8" w:color="E5E7EF"/>
            </w:tcBorders>
            <w:shd w:val="clear" w:color="auto" w:fill="E5E7EF"/>
          </w:tcPr>
          <w:p>
            <w:pPr>
              <w:jc w:val="right"/>
              <w:ind w:right="90"/>
              <w:spacing w:after="0"/>
              <w:rPr>
                <w:sz w:val="20"/>
                <w:szCs w:val="20"/>
                <w:color w:val="auto"/>
              </w:rPr>
            </w:pPr>
            <w:r>
              <w:rPr>
                <w:rFonts w:ascii="Arial" w:cs="Arial" w:eastAsia="Arial" w:hAnsi="Arial"/>
                <w:sz w:val="13"/>
                <w:szCs w:val="13"/>
                <w:color w:val="auto"/>
              </w:rPr>
              <w:t>(e)</w:t>
            </w:r>
          </w:p>
        </w:tc>
        <w:tc>
          <w:tcPr>
            <w:tcW w:w="1220" w:type="dxa"/>
            <w:vAlign w:val="bottom"/>
            <w:tcBorders>
              <w:bottom w:val="single" w:sz="8" w:color="E5E7EF"/>
            </w:tcBorders>
            <w:shd w:val="clear" w:color="auto" w:fill="E5E7EF"/>
          </w:tcPr>
          <w:p>
            <w:pPr>
              <w:jc w:val="right"/>
              <w:ind w:right="91"/>
              <w:spacing w:after="0"/>
              <w:rPr>
                <w:sz w:val="20"/>
                <w:szCs w:val="20"/>
                <w:color w:val="auto"/>
              </w:rPr>
            </w:pPr>
            <w:r>
              <w:rPr>
                <w:rFonts w:ascii="Arial" w:cs="Arial" w:eastAsia="Arial" w:hAnsi="Arial"/>
                <w:sz w:val="13"/>
                <w:szCs w:val="13"/>
                <w:color w:val="auto"/>
              </w:rPr>
              <w:t>(g)</w:t>
            </w:r>
          </w:p>
        </w:tc>
        <w:tc>
          <w:tcPr>
            <w:tcW w:w="1140" w:type="dxa"/>
            <w:vAlign w:val="bottom"/>
            <w:tcBorders>
              <w:bottom w:val="single" w:sz="8" w:color="E5E7EF"/>
            </w:tcBorders>
            <w:shd w:val="clear" w:color="auto" w:fill="E5E7EF"/>
          </w:tcPr>
          <w:p>
            <w:pPr>
              <w:jc w:val="right"/>
              <w:ind w:right="112"/>
              <w:spacing w:after="0"/>
              <w:rPr>
                <w:sz w:val="20"/>
                <w:szCs w:val="20"/>
                <w:color w:val="auto"/>
              </w:rPr>
            </w:pPr>
            <w:r>
              <w:rPr>
                <w:rFonts w:ascii="Arial" w:cs="Arial" w:eastAsia="Arial" w:hAnsi="Arial"/>
                <w:sz w:val="13"/>
                <w:szCs w:val="13"/>
                <w:color w:val="auto"/>
              </w:rPr>
              <w:t>(h)</w:t>
            </w:r>
          </w:p>
        </w:tc>
        <w:tc>
          <w:tcPr>
            <w:tcW w:w="1320" w:type="dxa"/>
            <w:vAlign w:val="bottom"/>
            <w:tcBorders>
              <w:bottom w:val="single" w:sz="8" w:color="E5E7EF"/>
            </w:tcBorders>
            <w:shd w:val="clear" w:color="auto" w:fill="E5E7EF"/>
          </w:tcPr>
          <w:p>
            <w:pPr>
              <w:jc w:val="right"/>
              <w:ind w:right="190"/>
              <w:spacing w:after="0"/>
              <w:rPr>
                <w:sz w:val="20"/>
                <w:szCs w:val="20"/>
                <w:color w:val="auto"/>
              </w:rPr>
            </w:pPr>
            <w:r>
              <w:rPr>
                <w:rFonts w:ascii="Arial" w:cs="Arial" w:eastAsia="Arial" w:hAnsi="Arial"/>
                <w:sz w:val="13"/>
                <w:szCs w:val="13"/>
                <w:color w:val="auto"/>
              </w:rPr>
              <w:t>(i)</w:t>
            </w:r>
          </w:p>
        </w:tc>
        <w:tc>
          <w:tcPr>
            <w:tcW w:w="9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(j)</w:t>
            </w:r>
          </w:p>
        </w:tc>
        <w:tc>
          <w:tcPr>
            <w:tcW w:w="0" w:type="dxa"/>
            <w:vAlign w:val="bottom"/>
          </w:tcPr>
          <w:p>
            <w:pPr>
              <w:spacing w:after="0"/>
              <w:rPr>
                <w:sz w:val="1"/>
                <w:szCs w:val="1"/>
                <w:color w:val="auto"/>
              </w:rPr>
            </w:pPr>
          </w:p>
        </w:tc>
      </w:tr>
      <w:tr>
        <w:trPr>
          <w:trHeight w:val="155"/>
        </w:trPr>
        <w:tc>
          <w:tcPr>
            <w:tcW w:w="3300" w:type="dxa"/>
            <w:vAlign w:val="bottom"/>
            <w:tcBorders>
              <w:top w:val="single" w:sz="8" w:color="002E6D"/>
            </w:tcBorders>
          </w:tcPr>
          <w:p>
            <w:pPr>
              <w:ind w:left="20"/>
              <w:spacing w:after="0" w:line="156" w:lineRule="exact"/>
              <w:rPr>
                <w:sz w:val="20"/>
                <w:szCs w:val="20"/>
                <w:color w:val="auto"/>
              </w:rPr>
            </w:pPr>
            <w:r>
              <w:rPr>
                <w:rFonts w:ascii="Calibri" w:cs="Calibri" w:eastAsia="Calibri" w:hAnsi="Calibri"/>
                <w:sz w:val="14"/>
                <w:szCs w:val="14"/>
                <w:b w:val="1"/>
                <w:bCs w:val="1"/>
                <w:color w:val="002E6D"/>
              </w:rPr>
              <w:t>James D. Taiclet</w:t>
            </w:r>
          </w:p>
        </w:tc>
        <w:tc>
          <w:tcPr>
            <w:tcW w:w="700" w:type="dxa"/>
            <w:vAlign w:val="bottom"/>
            <w:tcBorders>
              <w:top w:val="single" w:sz="8" w:color="002E6D"/>
            </w:tcBorders>
            <w:shd w:val="clear" w:color="auto" w:fill="E5E7EF"/>
          </w:tcPr>
          <w:p>
            <w:pPr>
              <w:jc w:val="right"/>
              <w:spacing w:after="0" w:line="156" w:lineRule="exact"/>
              <w:rPr>
                <w:sz w:val="20"/>
                <w:szCs w:val="20"/>
                <w:color w:val="auto"/>
              </w:rPr>
            </w:pPr>
            <w:r>
              <w:rPr>
                <w:rFonts w:ascii="Calibri" w:cs="Calibri" w:eastAsia="Calibri" w:hAnsi="Calibri"/>
                <w:sz w:val="14"/>
                <w:szCs w:val="14"/>
                <w:color w:val="auto"/>
              </w:rPr>
              <w:t>2022</w:t>
            </w:r>
          </w:p>
        </w:tc>
        <w:tc>
          <w:tcPr>
            <w:tcW w:w="820" w:type="dxa"/>
            <w:vAlign w:val="bottom"/>
            <w:tcBorders>
              <w:top w:val="single" w:sz="8" w:color="002E6D"/>
            </w:tcBorders>
            <w:shd w:val="clear" w:color="auto" w:fill="E5E7EF"/>
          </w:tcPr>
          <w:p>
            <w:pPr>
              <w:jc w:val="right"/>
              <w:spacing w:after="0" w:line="156" w:lineRule="exact"/>
              <w:rPr>
                <w:sz w:val="20"/>
                <w:szCs w:val="20"/>
                <w:color w:val="auto"/>
              </w:rPr>
            </w:pPr>
            <w:r>
              <w:rPr>
                <w:rFonts w:ascii="Calibri" w:cs="Calibri" w:eastAsia="Calibri" w:hAnsi="Calibri"/>
                <w:sz w:val="14"/>
                <w:szCs w:val="14"/>
                <w:color w:val="auto"/>
              </w:rPr>
              <w:t>1,751,000</w:t>
            </w:r>
          </w:p>
        </w:tc>
        <w:tc>
          <w:tcPr>
            <w:tcW w:w="40" w:type="dxa"/>
            <w:vAlign w:val="bottom"/>
            <w:tcBorders>
              <w:top w:val="single" w:sz="8" w:color="002E6D"/>
            </w:tcBorders>
            <w:shd w:val="clear" w:color="auto" w:fill="E5E7EF"/>
          </w:tcPr>
          <w:p>
            <w:pPr>
              <w:spacing w:after="0"/>
              <w:rPr>
                <w:sz w:val="13"/>
                <w:szCs w:val="13"/>
                <w:color w:val="auto"/>
              </w:rPr>
            </w:pPr>
          </w:p>
        </w:tc>
        <w:tc>
          <w:tcPr>
            <w:tcW w:w="780" w:type="dxa"/>
            <w:vAlign w:val="bottom"/>
            <w:tcBorders>
              <w:top w:val="single" w:sz="8" w:color="002E6D"/>
            </w:tcBorders>
            <w:shd w:val="clear" w:color="auto" w:fill="E5E7EF"/>
          </w:tcPr>
          <w:p>
            <w:pPr>
              <w:jc w:val="right"/>
              <w:ind w:right="70"/>
              <w:spacing w:after="0" w:line="156" w:lineRule="exact"/>
              <w:rPr>
                <w:sz w:val="20"/>
                <w:szCs w:val="20"/>
                <w:color w:val="auto"/>
              </w:rPr>
            </w:pPr>
            <w:r>
              <w:rPr>
                <w:rFonts w:ascii="Calibri" w:cs="Calibri" w:eastAsia="Calibri" w:hAnsi="Calibri"/>
                <w:sz w:val="14"/>
                <w:szCs w:val="14"/>
                <w:color w:val="auto"/>
              </w:rPr>
              <w:t>—</w:t>
            </w:r>
          </w:p>
        </w:tc>
        <w:tc>
          <w:tcPr>
            <w:tcW w:w="940" w:type="dxa"/>
            <w:vAlign w:val="bottom"/>
            <w:tcBorders>
              <w:top w:val="single" w:sz="8" w:color="002E6D"/>
            </w:tcBorders>
            <w:shd w:val="clear" w:color="auto" w:fill="E5E7EF"/>
          </w:tcPr>
          <w:p>
            <w:pPr>
              <w:jc w:val="right"/>
              <w:ind w:right="130"/>
              <w:spacing w:after="0" w:line="156" w:lineRule="exact"/>
              <w:rPr>
                <w:sz w:val="20"/>
                <w:szCs w:val="20"/>
                <w:color w:val="auto"/>
              </w:rPr>
            </w:pPr>
            <w:r>
              <w:rPr>
                <w:rFonts w:ascii="Calibri" w:cs="Calibri" w:eastAsia="Calibri" w:hAnsi="Calibri"/>
                <w:sz w:val="14"/>
                <w:szCs w:val="14"/>
                <w:color w:val="auto"/>
              </w:rPr>
              <w:t>13,413,894</w:t>
            </w:r>
          </w:p>
        </w:tc>
        <w:tc>
          <w:tcPr>
            <w:tcW w:w="1220" w:type="dxa"/>
            <w:vAlign w:val="bottom"/>
            <w:tcBorders>
              <w:top w:val="single" w:sz="8" w:color="002E6D"/>
            </w:tcBorders>
            <w:shd w:val="clear" w:color="auto" w:fill="E5E7EF"/>
          </w:tcPr>
          <w:p>
            <w:pPr>
              <w:jc w:val="right"/>
              <w:ind w:right="131"/>
              <w:spacing w:after="0" w:line="156" w:lineRule="exact"/>
              <w:rPr>
                <w:sz w:val="20"/>
                <w:szCs w:val="20"/>
                <w:color w:val="auto"/>
              </w:rPr>
            </w:pPr>
            <w:r>
              <w:rPr>
                <w:rFonts w:ascii="Calibri" w:cs="Calibri" w:eastAsia="Calibri" w:hAnsi="Calibri"/>
                <w:sz w:val="14"/>
                <w:szCs w:val="14"/>
                <w:color w:val="auto"/>
              </w:rPr>
              <w:t>7,989,200</w:t>
            </w:r>
          </w:p>
        </w:tc>
        <w:tc>
          <w:tcPr>
            <w:tcW w:w="1140" w:type="dxa"/>
            <w:vAlign w:val="bottom"/>
            <w:tcBorders>
              <w:top w:val="single" w:sz="8" w:color="002E6D"/>
            </w:tcBorders>
            <w:shd w:val="clear" w:color="auto" w:fill="E5E7EF"/>
          </w:tcPr>
          <w:p>
            <w:pPr>
              <w:jc w:val="right"/>
              <w:ind w:right="152"/>
              <w:spacing w:after="0" w:line="156" w:lineRule="exact"/>
              <w:rPr>
                <w:sz w:val="20"/>
                <w:szCs w:val="20"/>
                <w:color w:val="auto"/>
              </w:rPr>
            </w:pPr>
            <w:r>
              <w:rPr>
                <w:rFonts w:ascii="Calibri" w:cs="Calibri" w:eastAsia="Calibri" w:hAnsi="Calibri"/>
                <w:sz w:val="14"/>
                <w:szCs w:val="14"/>
                <w:color w:val="auto"/>
              </w:rPr>
              <w:t>—</w:t>
            </w:r>
          </w:p>
        </w:tc>
        <w:tc>
          <w:tcPr>
            <w:tcW w:w="1320" w:type="dxa"/>
            <w:vAlign w:val="bottom"/>
            <w:tcBorders>
              <w:top w:val="single" w:sz="8" w:color="002E6D"/>
            </w:tcBorders>
            <w:shd w:val="clear" w:color="auto" w:fill="E5E7EF"/>
          </w:tcPr>
          <w:p>
            <w:pPr>
              <w:jc w:val="right"/>
              <w:ind w:right="230"/>
              <w:spacing w:after="0" w:line="156" w:lineRule="exact"/>
              <w:rPr>
                <w:sz w:val="20"/>
                <w:szCs w:val="20"/>
                <w:color w:val="auto"/>
              </w:rPr>
            </w:pPr>
            <w:r>
              <w:rPr>
                <w:rFonts w:ascii="Calibri" w:cs="Calibri" w:eastAsia="Calibri" w:hAnsi="Calibri"/>
                <w:sz w:val="14"/>
                <w:szCs w:val="14"/>
                <w:color w:val="auto"/>
              </w:rPr>
              <w:t>1,656,451</w:t>
            </w:r>
          </w:p>
        </w:tc>
        <w:tc>
          <w:tcPr>
            <w:tcW w:w="980" w:type="dxa"/>
            <w:vAlign w:val="bottom"/>
            <w:tcBorders>
              <w:top w:val="single" w:sz="8" w:color="002E6D"/>
            </w:tcBorders>
            <w:shd w:val="clear" w:color="auto" w:fill="E5E7EF"/>
          </w:tcPr>
          <w:p>
            <w:pPr>
              <w:jc w:val="right"/>
              <w:spacing w:after="0" w:line="156" w:lineRule="exact"/>
              <w:rPr>
                <w:sz w:val="20"/>
                <w:szCs w:val="20"/>
                <w:color w:val="auto"/>
              </w:rPr>
            </w:pPr>
            <w:r>
              <w:rPr>
                <w:rFonts w:ascii="Calibri" w:cs="Calibri" w:eastAsia="Calibri" w:hAnsi="Calibri"/>
                <w:sz w:val="14"/>
                <w:szCs w:val="14"/>
                <w:color w:val="auto"/>
              </w:rPr>
              <w:t>24,810,545</w:t>
            </w:r>
          </w:p>
        </w:tc>
        <w:tc>
          <w:tcPr>
            <w:tcW w:w="0" w:type="dxa"/>
            <w:vAlign w:val="bottom"/>
          </w:tcPr>
          <w:p>
            <w:pPr>
              <w:spacing w:after="0"/>
              <w:rPr>
                <w:sz w:val="1"/>
                <w:szCs w:val="1"/>
                <w:color w:val="auto"/>
              </w:rPr>
            </w:pPr>
          </w:p>
        </w:tc>
      </w:tr>
      <w:tr>
        <w:trPr>
          <w:trHeight w:val="170"/>
        </w:trPr>
        <w:tc>
          <w:tcPr>
            <w:tcW w:w="3300" w:type="dxa"/>
            <w:vAlign w:val="bottom"/>
          </w:tcPr>
          <w:p>
            <w:pPr>
              <w:ind w:left="20"/>
              <w:spacing w:after="0"/>
              <w:rPr>
                <w:sz w:val="20"/>
                <w:szCs w:val="20"/>
                <w:color w:val="auto"/>
              </w:rPr>
            </w:pPr>
            <w:r>
              <w:rPr>
                <w:rFonts w:ascii="Calibri" w:cs="Calibri" w:eastAsia="Calibri" w:hAnsi="Calibri"/>
                <w:sz w:val="14"/>
                <w:szCs w:val="14"/>
                <w:color w:val="auto"/>
              </w:rPr>
              <w:t>Chairman, President and Chief Executve Ofcer</w:t>
            </w:r>
          </w:p>
        </w:tc>
        <w:tc>
          <w:tcPr>
            <w:tcW w:w="700" w:type="dxa"/>
            <w:vAlign w:val="bottom"/>
            <w:vMerge w:val="restart"/>
            <w:shd w:val="clear" w:color="auto" w:fill="E5E7EF"/>
          </w:tcPr>
          <w:p>
            <w:pPr>
              <w:jc w:val="right"/>
              <w:spacing w:after="0"/>
              <w:rPr>
                <w:sz w:val="20"/>
                <w:szCs w:val="20"/>
                <w:color w:val="auto"/>
              </w:rPr>
            </w:pPr>
            <w:r>
              <w:rPr>
                <w:rFonts w:ascii="Calibri" w:cs="Calibri" w:eastAsia="Calibri" w:hAnsi="Calibri"/>
                <w:sz w:val="14"/>
                <w:szCs w:val="14"/>
                <w:color w:val="auto"/>
              </w:rPr>
              <w:t>2021</w:t>
            </w:r>
          </w:p>
        </w:tc>
        <w:tc>
          <w:tcPr>
            <w:tcW w:w="820" w:type="dxa"/>
            <w:vAlign w:val="bottom"/>
            <w:vMerge w:val="restart"/>
            <w:shd w:val="clear" w:color="auto" w:fill="E5E7EF"/>
          </w:tcPr>
          <w:p>
            <w:pPr>
              <w:jc w:val="right"/>
              <w:spacing w:after="0"/>
              <w:rPr>
                <w:sz w:val="20"/>
                <w:szCs w:val="20"/>
                <w:color w:val="auto"/>
              </w:rPr>
            </w:pPr>
            <w:r>
              <w:rPr>
                <w:rFonts w:ascii="Calibri" w:cs="Calibri" w:eastAsia="Calibri" w:hAnsi="Calibri"/>
                <w:sz w:val="14"/>
                <w:szCs w:val="14"/>
                <w:color w:val="auto"/>
              </w:rPr>
              <w:t>1,742,173</w:t>
            </w:r>
          </w:p>
        </w:tc>
        <w:tc>
          <w:tcPr>
            <w:tcW w:w="40" w:type="dxa"/>
            <w:vAlign w:val="bottom"/>
            <w:shd w:val="clear" w:color="auto" w:fill="E5E7EF"/>
          </w:tcPr>
          <w:p>
            <w:pPr>
              <w:spacing w:after="0"/>
              <w:rPr>
                <w:sz w:val="14"/>
                <w:szCs w:val="14"/>
                <w:color w:val="auto"/>
              </w:rPr>
            </w:pPr>
          </w:p>
        </w:tc>
        <w:tc>
          <w:tcPr>
            <w:tcW w:w="780" w:type="dxa"/>
            <w:vAlign w:val="bottom"/>
            <w:vMerge w:val="restart"/>
            <w:shd w:val="clear" w:color="auto" w:fill="E5E7EF"/>
          </w:tcPr>
          <w:p>
            <w:pPr>
              <w:jc w:val="right"/>
              <w:ind w:right="70"/>
              <w:spacing w:after="0"/>
              <w:rPr>
                <w:sz w:val="20"/>
                <w:szCs w:val="20"/>
                <w:color w:val="auto"/>
              </w:rPr>
            </w:pPr>
            <w:r>
              <w:rPr>
                <w:rFonts w:ascii="Calibri" w:cs="Calibri" w:eastAsia="Calibri" w:hAnsi="Calibri"/>
                <w:sz w:val="14"/>
                <w:szCs w:val="14"/>
                <w:color w:val="auto"/>
              </w:rPr>
              <w:t>—</w:t>
            </w:r>
          </w:p>
        </w:tc>
        <w:tc>
          <w:tcPr>
            <w:tcW w:w="940" w:type="dxa"/>
            <w:vAlign w:val="bottom"/>
            <w:vMerge w:val="restart"/>
            <w:shd w:val="clear" w:color="auto" w:fill="E5E7EF"/>
          </w:tcPr>
          <w:p>
            <w:pPr>
              <w:jc w:val="right"/>
              <w:ind w:right="130"/>
              <w:spacing w:after="0"/>
              <w:rPr>
                <w:sz w:val="20"/>
                <w:szCs w:val="20"/>
                <w:color w:val="auto"/>
              </w:rPr>
            </w:pPr>
            <w:r>
              <w:rPr>
                <w:rFonts w:ascii="Calibri" w:cs="Calibri" w:eastAsia="Calibri" w:hAnsi="Calibri"/>
                <w:sz w:val="14"/>
                <w:szCs w:val="14"/>
                <w:color w:val="auto"/>
              </w:rPr>
              <w:t>10,783,715</w:t>
            </w:r>
          </w:p>
        </w:tc>
        <w:tc>
          <w:tcPr>
            <w:tcW w:w="1220" w:type="dxa"/>
            <w:vAlign w:val="bottom"/>
            <w:vMerge w:val="restart"/>
            <w:shd w:val="clear" w:color="auto" w:fill="E5E7EF"/>
          </w:tcPr>
          <w:p>
            <w:pPr>
              <w:jc w:val="right"/>
              <w:ind w:right="131"/>
              <w:spacing w:after="0"/>
              <w:rPr>
                <w:sz w:val="20"/>
                <w:szCs w:val="20"/>
                <w:color w:val="auto"/>
              </w:rPr>
            </w:pPr>
            <w:r>
              <w:rPr>
                <w:rFonts w:ascii="Calibri" w:cs="Calibri" w:eastAsia="Calibri" w:hAnsi="Calibri"/>
                <w:sz w:val="14"/>
                <w:szCs w:val="14"/>
                <w:color w:val="auto"/>
              </w:rPr>
              <w:t>4,049,200</w:t>
            </w:r>
          </w:p>
        </w:tc>
        <w:tc>
          <w:tcPr>
            <w:tcW w:w="1140" w:type="dxa"/>
            <w:vAlign w:val="bottom"/>
            <w:vMerge w:val="restart"/>
            <w:shd w:val="clear" w:color="auto" w:fill="E5E7EF"/>
          </w:tcPr>
          <w:p>
            <w:pPr>
              <w:jc w:val="right"/>
              <w:ind w:right="152"/>
              <w:spacing w:after="0"/>
              <w:rPr>
                <w:sz w:val="20"/>
                <w:szCs w:val="20"/>
                <w:color w:val="auto"/>
              </w:rPr>
            </w:pPr>
            <w:r>
              <w:rPr>
                <w:rFonts w:ascii="Calibri" w:cs="Calibri" w:eastAsia="Calibri" w:hAnsi="Calibri"/>
                <w:sz w:val="14"/>
                <w:szCs w:val="14"/>
                <w:color w:val="auto"/>
              </w:rPr>
              <w:t>—</w:t>
            </w:r>
          </w:p>
        </w:tc>
        <w:tc>
          <w:tcPr>
            <w:tcW w:w="1320" w:type="dxa"/>
            <w:vAlign w:val="bottom"/>
            <w:vMerge w:val="restart"/>
            <w:shd w:val="clear" w:color="auto" w:fill="E5E7EF"/>
          </w:tcPr>
          <w:p>
            <w:pPr>
              <w:jc w:val="right"/>
              <w:ind w:right="230"/>
              <w:spacing w:after="0"/>
              <w:rPr>
                <w:sz w:val="20"/>
                <w:szCs w:val="20"/>
                <w:color w:val="auto"/>
              </w:rPr>
            </w:pPr>
            <w:r>
              <w:rPr>
                <w:rFonts w:ascii="Calibri" w:cs="Calibri" w:eastAsia="Calibri" w:hAnsi="Calibri"/>
                <w:sz w:val="14"/>
                <w:szCs w:val="14"/>
                <w:color w:val="auto"/>
              </w:rPr>
              <w:t>1,536,123</w:t>
            </w:r>
          </w:p>
        </w:tc>
        <w:tc>
          <w:tcPr>
            <w:tcW w:w="980" w:type="dxa"/>
            <w:vAlign w:val="bottom"/>
            <w:vMerge w:val="restart"/>
            <w:shd w:val="clear" w:color="auto" w:fill="E5E7EF"/>
          </w:tcPr>
          <w:p>
            <w:pPr>
              <w:jc w:val="right"/>
              <w:spacing w:after="0"/>
              <w:rPr>
                <w:sz w:val="20"/>
                <w:szCs w:val="20"/>
                <w:color w:val="auto"/>
              </w:rPr>
            </w:pPr>
            <w:r>
              <w:rPr>
                <w:rFonts w:ascii="Calibri" w:cs="Calibri" w:eastAsia="Calibri" w:hAnsi="Calibri"/>
                <w:sz w:val="14"/>
                <w:szCs w:val="14"/>
                <w:color w:val="auto"/>
              </w:rPr>
              <w:t>18,111,211</w:t>
            </w:r>
          </w:p>
        </w:tc>
        <w:tc>
          <w:tcPr>
            <w:tcW w:w="0" w:type="dxa"/>
            <w:vAlign w:val="bottom"/>
          </w:tcPr>
          <w:p>
            <w:pPr>
              <w:spacing w:after="0"/>
              <w:rPr>
                <w:sz w:val="1"/>
                <w:szCs w:val="1"/>
                <w:color w:val="auto"/>
              </w:rPr>
            </w:pPr>
          </w:p>
        </w:tc>
      </w:tr>
      <w:tr>
        <w:trPr>
          <w:trHeight w:val="121"/>
        </w:trPr>
        <w:tc>
          <w:tcPr>
            <w:tcW w:w="3300" w:type="dxa"/>
            <w:vAlign w:val="bottom"/>
          </w:tcPr>
          <w:p>
            <w:pPr>
              <w:spacing w:after="0"/>
              <w:rPr>
                <w:sz w:val="10"/>
                <w:szCs w:val="10"/>
                <w:color w:val="auto"/>
              </w:rPr>
            </w:pPr>
          </w:p>
        </w:tc>
        <w:tc>
          <w:tcPr>
            <w:tcW w:w="700" w:type="dxa"/>
            <w:vAlign w:val="bottom"/>
            <w:vMerge w:val="continue"/>
            <w:shd w:val="clear" w:color="auto" w:fill="E5E7EF"/>
          </w:tcPr>
          <w:p>
            <w:pPr>
              <w:spacing w:after="0"/>
              <w:rPr>
                <w:sz w:val="10"/>
                <w:szCs w:val="10"/>
                <w:color w:val="auto"/>
              </w:rPr>
            </w:pPr>
          </w:p>
        </w:tc>
        <w:tc>
          <w:tcPr>
            <w:tcW w:w="820" w:type="dxa"/>
            <w:vAlign w:val="bottom"/>
            <w:vMerge w:val="continue"/>
            <w:shd w:val="clear" w:color="auto" w:fill="E5E7EF"/>
          </w:tcPr>
          <w:p>
            <w:pPr>
              <w:spacing w:after="0"/>
              <w:rPr>
                <w:sz w:val="10"/>
                <w:szCs w:val="10"/>
                <w:color w:val="auto"/>
              </w:rPr>
            </w:pPr>
          </w:p>
        </w:tc>
        <w:tc>
          <w:tcPr>
            <w:tcW w:w="40" w:type="dxa"/>
            <w:vAlign w:val="bottom"/>
            <w:shd w:val="clear" w:color="auto" w:fill="E5E7EF"/>
          </w:tcPr>
          <w:p>
            <w:pPr>
              <w:spacing w:after="0"/>
              <w:rPr>
                <w:sz w:val="10"/>
                <w:szCs w:val="10"/>
                <w:color w:val="auto"/>
              </w:rPr>
            </w:pPr>
          </w:p>
        </w:tc>
        <w:tc>
          <w:tcPr>
            <w:tcW w:w="780" w:type="dxa"/>
            <w:vAlign w:val="bottom"/>
            <w:vMerge w:val="continue"/>
            <w:shd w:val="clear" w:color="auto" w:fill="E5E7EF"/>
          </w:tcPr>
          <w:p>
            <w:pPr>
              <w:spacing w:after="0"/>
              <w:rPr>
                <w:sz w:val="10"/>
                <w:szCs w:val="10"/>
                <w:color w:val="auto"/>
              </w:rPr>
            </w:pPr>
          </w:p>
        </w:tc>
        <w:tc>
          <w:tcPr>
            <w:tcW w:w="940" w:type="dxa"/>
            <w:vAlign w:val="bottom"/>
            <w:vMerge w:val="continue"/>
            <w:shd w:val="clear" w:color="auto" w:fill="E5E7EF"/>
          </w:tcPr>
          <w:p>
            <w:pPr>
              <w:spacing w:after="0"/>
              <w:rPr>
                <w:sz w:val="10"/>
                <w:szCs w:val="10"/>
                <w:color w:val="auto"/>
              </w:rPr>
            </w:pPr>
          </w:p>
        </w:tc>
        <w:tc>
          <w:tcPr>
            <w:tcW w:w="1220" w:type="dxa"/>
            <w:vAlign w:val="bottom"/>
            <w:vMerge w:val="continue"/>
            <w:shd w:val="clear" w:color="auto" w:fill="E5E7EF"/>
          </w:tcPr>
          <w:p>
            <w:pPr>
              <w:spacing w:after="0"/>
              <w:rPr>
                <w:sz w:val="10"/>
                <w:szCs w:val="10"/>
                <w:color w:val="auto"/>
              </w:rPr>
            </w:pPr>
          </w:p>
        </w:tc>
        <w:tc>
          <w:tcPr>
            <w:tcW w:w="1140" w:type="dxa"/>
            <w:vAlign w:val="bottom"/>
            <w:vMerge w:val="continue"/>
            <w:shd w:val="clear" w:color="auto" w:fill="E5E7EF"/>
          </w:tcPr>
          <w:p>
            <w:pPr>
              <w:spacing w:after="0"/>
              <w:rPr>
                <w:sz w:val="10"/>
                <w:szCs w:val="10"/>
                <w:color w:val="auto"/>
              </w:rPr>
            </w:pPr>
          </w:p>
        </w:tc>
        <w:tc>
          <w:tcPr>
            <w:tcW w:w="1320" w:type="dxa"/>
            <w:vAlign w:val="bottom"/>
            <w:vMerge w:val="continue"/>
            <w:shd w:val="clear" w:color="auto" w:fill="E5E7EF"/>
          </w:tcPr>
          <w:p>
            <w:pPr>
              <w:spacing w:after="0"/>
              <w:rPr>
                <w:sz w:val="10"/>
                <w:szCs w:val="10"/>
                <w:color w:val="auto"/>
              </w:rPr>
            </w:pPr>
          </w:p>
        </w:tc>
        <w:tc>
          <w:tcPr>
            <w:tcW w:w="980" w:type="dxa"/>
            <w:vAlign w:val="bottom"/>
            <w:vMerge w:val="continue"/>
            <w:shd w:val="clear" w:color="auto" w:fill="E5E7EF"/>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3300" w:type="dxa"/>
            <w:vAlign w:val="bottom"/>
          </w:tcPr>
          <w:p>
            <w:pPr>
              <w:spacing w:after="0"/>
              <w:rPr>
                <w:sz w:val="24"/>
                <w:szCs w:val="24"/>
                <w:color w:val="auto"/>
              </w:rPr>
            </w:pPr>
          </w:p>
        </w:tc>
        <w:tc>
          <w:tcPr>
            <w:tcW w:w="70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2020</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915,385</w:t>
            </w:r>
          </w:p>
        </w:tc>
        <w:tc>
          <w:tcPr>
            <w:tcW w:w="40" w:type="dxa"/>
            <w:vAlign w:val="bottom"/>
            <w:tcBorders>
              <w:bottom w:val="single" w:sz="8" w:color="E5E7EF"/>
            </w:tcBorders>
            <w:shd w:val="clear" w:color="auto" w:fill="E5E7EF"/>
          </w:tcPr>
          <w:p>
            <w:pPr>
              <w:spacing w:after="0"/>
              <w:rPr>
                <w:sz w:val="24"/>
                <w:szCs w:val="24"/>
                <w:color w:val="auto"/>
              </w:rPr>
            </w:pPr>
          </w:p>
        </w:tc>
        <w:tc>
          <w:tcPr>
            <w:tcW w:w="780" w:type="dxa"/>
            <w:vAlign w:val="bottom"/>
            <w:tcBorders>
              <w:bottom w:val="single" w:sz="8" w:color="E5E7EF"/>
            </w:tcBorders>
            <w:shd w:val="clear" w:color="auto" w:fill="E5E7EF"/>
          </w:tcPr>
          <w:p>
            <w:pPr>
              <w:jc w:val="right"/>
              <w:ind w:right="70"/>
              <w:spacing w:after="0"/>
              <w:rPr>
                <w:sz w:val="20"/>
                <w:szCs w:val="20"/>
                <w:color w:val="auto"/>
              </w:rPr>
            </w:pPr>
            <w:r>
              <w:rPr>
                <w:rFonts w:ascii="Calibri" w:cs="Calibri" w:eastAsia="Calibri" w:hAnsi="Calibri"/>
                <w:sz w:val="14"/>
                <w:szCs w:val="14"/>
                <w:color w:val="auto"/>
              </w:rPr>
              <w:t>—</w:t>
            </w:r>
          </w:p>
        </w:tc>
        <w:tc>
          <w:tcPr>
            <w:tcW w:w="940" w:type="dxa"/>
            <w:vAlign w:val="bottom"/>
            <w:tcBorders>
              <w:bottom w:val="single" w:sz="8" w:color="E5E7EF"/>
            </w:tcBorders>
            <w:shd w:val="clear" w:color="auto" w:fill="E5E7EF"/>
          </w:tcPr>
          <w:p>
            <w:pPr>
              <w:jc w:val="right"/>
              <w:ind w:right="130"/>
              <w:spacing w:after="0"/>
              <w:rPr>
                <w:sz w:val="20"/>
                <w:szCs w:val="20"/>
                <w:color w:val="auto"/>
              </w:rPr>
            </w:pPr>
            <w:r>
              <w:rPr>
                <w:rFonts w:ascii="Calibri" w:cs="Calibri" w:eastAsia="Calibri" w:hAnsi="Calibri"/>
                <w:sz w:val="14"/>
                <w:szCs w:val="14"/>
                <w:color w:val="auto"/>
              </w:rPr>
              <w:t>18,611,850</w:t>
            </w:r>
          </w:p>
        </w:tc>
        <w:tc>
          <w:tcPr>
            <w:tcW w:w="1220" w:type="dxa"/>
            <w:vAlign w:val="bottom"/>
            <w:tcBorders>
              <w:bottom w:val="single" w:sz="8" w:color="E5E7EF"/>
            </w:tcBorders>
            <w:shd w:val="clear" w:color="auto" w:fill="E5E7EF"/>
          </w:tcPr>
          <w:p>
            <w:pPr>
              <w:jc w:val="right"/>
              <w:ind w:right="131"/>
              <w:spacing w:after="0"/>
              <w:rPr>
                <w:sz w:val="20"/>
                <w:szCs w:val="20"/>
                <w:color w:val="auto"/>
              </w:rPr>
            </w:pPr>
            <w:r>
              <w:rPr>
                <w:rFonts w:ascii="Calibri" w:cs="Calibri" w:eastAsia="Calibri" w:hAnsi="Calibri"/>
                <w:sz w:val="14"/>
                <w:szCs w:val="14"/>
                <w:color w:val="auto"/>
              </w:rPr>
              <w:t>2,896,200</w:t>
            </w:r>
          </w:p>
        </w:tc>
        <w:tc>
          <w:tcPr>
            <w:tcW w:w="1140" w:type="dxa"/>
            <w:vAlign w:val="bottom"/>
            <w:tcBorders>
              <w:bottom w:val="single" w:sz="8" w:color="E5E7EF"/>
            </w:tcBorders>
            <w:shd w:val="clear" w:color="auto" w:fill="E5E7EF"/>
          </w:tcPr>
          <w:p>
            <w:pPr>
              <w:jc w:val="right"/>
              <w:ind w:right="152"/>
              <w:spacing w:after="0"/>
              <w:rPr>
                <w:sz w:val="20"/>
                <w:szCs w:val="20"/>
                <w:color w:val="auto"/>
              </w:rPr>
            </w:pPr>
            <w:r>
              <w:rPr>
                <w:rFonts w:ascii="Calibri" w:cs="Calibri" w:eastAsia="Calibri" w:hAnsi="Calibri"/>
                <w:sz w:val="14"/>
                <w:szCs w:val="14"/>
                <w:color w:val="auto"/>
              </w:rPr>
              <w:t>—</w:t>
            </w:r>
          </w:p>
        </w:tc>
        <w:tc>
          <w:tcPr>
            <w:tcW w:w="1320" w:type="dxa"/>
            <w:vAlign w:val="bottom"/>
            <w:tcBorders>
              <w:bottom w:val="single" w:sz="8" w:color="E5E7EF"/>
            </w:tcBorders>
            <w:shd w:val="clear" w:color="auto" w:fill="E5E7EF"/>
          </w:tcPr>
          <w:p>
            <w:pPr>
              <w:jc w:val="right"/>
              <w:ind w:right="230"/>
              <w:spacing w:after="0"/>
              <w:rPr>
                <w:sz w:val="20"/>
                <w:szCs w:val="20"/>
                <w:color w:val="auto"/>
              </w:rPr>
            </w:pPr>
            <w:r>
              <w:rPr>
                <w:rFonts w:ascii="Calibri" w:cs="Calibri" w:eastAsia="Calibri" w:hAnsi="Calibri"/>
                <w:sz w:val="14"/>
                <w:szCs w:val="14"/>
                <w:color w:val="auto"/>
              </w:rPr>
              <w:t>936,934</w:t>
            </w:r>
          </w:p>
        </w:tc>
        <w:tc>
          <w:tcPr>
            <w:tcW w:w="98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23,360,369</w:t>
            </w:r>
          </w:p>
        </w:tc>
        <w:tc>
          <w:tcPr>
            <w:tcW w:w="0" w:type="dxa"/>
            <w:vAlign w:val="bottom"/>
          </w:tcPr>
          <w:p>
            <w:pPr>
              <w:spacing w:after="0"/>
              <w:rPr>
                <w:sz w:val="1"/>
                <w:szCs w:val="1"/>
                <w:color w:val="auto"/>
              </w:rPr>
            </w:pPr>
          </w:p>
        </w:tc>
      </w:tr>
      <w:tr>
        <w:trPr>
          <w:trHeight w:val="156"/>
        </w:trPr>
        <w:tc>
          <w:tcPr>
            <w:tcW w:w="3300" w:type="dxa"/>
            <w:vAlign w:val="bottom"/>
            <w:tcBorders>
              <w:top w:val="single" w:sz="8" w:color="929292"/>
            </w:tcBorders>
          </w:tcPr>
          <w:p>
            <w:pPr>
              <w:ind w:left="20"/>
              <w:spacing w:after="0" w:line="156" w:lineRule="exact"/>
              <w:rPr>
                <w:sz w:val="20"/>
                <w:szCs w:val="20"/>
                <w:color w:val="auto"/>
              </w:rPr>
            </w:pPr>
            <w:r>
              <w:rPr>
                <w:rFonts w:ascii="Calibri" w:cs="Calibri" w:eastAsia="Calibri" w:hAnsi="Calibri"/>
                <w:sz w:val="14"/>
                <w:szCs w:val="14"/>
                <w:b w:val="1"/>
                <w:bCs w:val="1"/>
                <w:color w:val="002E6D"/>
              </w:rPr>
              <w:t>Jesus Malave</w:t>
            </w:r>
          </w:p>
        </w:tc>
        <w:tc>
          <w:tcPr>
            <w:tcW w:w="700" w:type="dxa"/>
            <w:vAlign w:val="bottom"/>
            <w:tcBorders>
              <w:top w:val="single" w:sz="8" w:color="9D9D9C"/>
            </w:tcBorders>
          </w:tcPr>
          <w:p>
            <w:pPr>
              <w:jc w:val="right"/>
              <w:spacing w:after="0" w:line="156" w:lineRule="exact"/>
              <w:rPr>
                <w:sz w:val="20"/>
                <w:szCs w:val="20"/>
                <w:color w:val="auto"/>
              </w:rPr>
            </w:pPr>
            <w:r>
              <w:rPr>
                <w:rFonts w:ascii="Calibri" w:cs="Calibri" w:eastAsia="Calibri" w:hAnsi="Calibri"/>
                <w:sz w:val="14"/>
                <w:szCs w:val="14"/>
                <w:color w:val="auto"/>
              </w:rPr>
              <w:t>2022</w:t>
            </w:r>
          </w:p>
        </w:tc>
        <w:tc>
          <w:tcPr>
            <w:tcW w:w="820" w:type="dxa"/>
            <w:vAlign w:val="bottom"/>
            <w:tcBorders>
              <w:top w:val="single" w:sz="8" w:color="9D9D9C"/>
            </w:tcBorders>
          </w:tcPr>
          <w:p>
            <w:pPr>
              <w:jc w:val="right"/>
              <w:spacing w:after="0" w:line="156" w:lineRule="exact"/>
              <w:rPr>
                <w:sz w:val="20"/>
                <w:szCs w:val="20"/>
                <w:color w:val="auto"/>
              </w:rPr>
            </w:pPr>
            <w:r>
              <w:rPr>
                <w:rFonts w:ascii="Calibri" w:cs="Calibri" w:eastAsia="Calibri" w:hAnsi="Calibri"/>
                <w:sz w:val="14"/>
                <w:szCs w:val="14"/>
                <w:color w:val="auto"/>
              </w:rPr>
              <w:t>867,692</w:t>
            </w:r>
          </w:p>
        </w:tc>
        <w:tc>
          <w:tcPr>
            <w:tcW w:w="40" w:type="dxa"/>
            <w:vAlign w:val="bottom"/>
            <w:tcBorders>
              <w:top w:val="single" w:sz="8" w:color="9D9D9C"/>
            </w:tcBorders>
          </w:tcPr>
          <w:p>
            <w:pPr>
              <w:spacing w:after="0"/>
              <w:rPr>
                <w:sz w:val="13"/>
                <w:szCs w:val="13"/>
                <w:color w:val="auto"/>
              </w:rPr>
            </w:pPr>
          </w:p>
        </w:tc>
        <w:tc>
          <w:tcPr>
            <w:tcW w:w="780" w:type="dxa"/>
            <w:vAlign w:val="bottom"/>
            <w:tcBorders>
              <w:top w:val="single" w:sz="8" w:color="9D9D9C"/>
            </w:tcBorders>
          </w:tcPr>
          <w:p>
            <w:pPr>
              <w:jc w:val="right"/>
              <w:ind w:right="70"/>
              <w:spacing w:after="0" w:line="156" w:lineRule="exact"/>
              <w:rPr>
                <w:sz w:val="20"/>
                <w:szCs w:val="20"/>
                <w:color w:val="auto"/>
              </w:rPr>
            </w:pPr>
            <w:r>
              <w:rPr>
                <w:rFonts w:ascii="Calibri" w:cs="Calibri" w:eastAsia="Calibri" w:hAnsi="Calibri"/>
                <w:sz w:val="14"/>
                <w:szCs w:val="14"/>
                <w:color w:val="auto"/>
              </w:rPr>
              <w:t>750,000</w:t>
            </w:r>
          </w:p>
        </w:tc>
        <w:tc>
          <w:tcPr>
            <w:tcW w:w="940" w:type="dxa"/>
            <w:vAlign w:val="bottom"/>
            <w:tcBorders>
              <w:top w:val="single" w:sz="8" w:color="9D9D9C"/>
            </w:tcBorders>
          </w:tcPr>
          <w:p>
            <w:pPr>
              <w:jc w:val="right"/>
              <w:ind w:right="130"/>
              <w:spacing w:after="0" w:line="156" w:lineRule="exact"/>
              <w:rPr>
                <w:sz w:val="20"/>
                <w:szCs w:val="20"/>
                <w:color w:val="auto"/>
              </w:rPr>
            </w:pPr>
            <w:r>
              <w:rPr>
                <w:rFonts w:ascii="Calibri" w:cs="Calibri" w:eastAsia="Calibri" w:hAnsi="Calibri"/>
                <w:sz w:val="14"/>
                <w:szCs w:val="14"/>
                <w:color w:val="auto"/>
              </w:rPr>
              <w:t>11,153,772</w:t>
            </w:r>
          </w:p>
        </w:tc>
        <w:tc>
          <w:tcPr>
            <w:tcW w:w="1220" w:type="dxa"/>
            <w:vAlign w:val="bottom"/>
            <w:tcBorders>
              <w:top w:val="single" w:sz="8" w:color="9D9D9C"/>
            </w:tcBorders>
          </w:tcPr>
          <w:p>
            <w:pPr>
              <w:jc w:val="right"/>
              <w:ind w:right="131"/>
              <w:spacing w:after="0" w:line="156" w:lineRule="exact"/>
              <w:rPr>
                <w:sz w:val="20"/>
                <w:szCs w:val="20"/>
                <w:color w:val="auto"/>
              </w:rPr>
            </w:pPr>
            <w:r>
              <w:rPr>
                <w:rFonts w:ascii="Calibri" w:cs="Calibri" w:eastAsia="Calibri" w:hAnsi="Calibri"/>
                <w:sz w:val="14"/>
                <w:szCs w:val="14"/>
                <w:color w:val="auto"/>
              </w:rPr>
              <w:t>1,175,400</w:t>
            </w:r>
          </w:p>
        </w:tc>
        <w:tc>
          <w:tcPr>
            <w:tcW w:w="1140" w:type="dxa"/>
            <w:vAlign w:val="bottom"/>
            <w:tcBorders>
              <w:top w:val="single" w:sz="8" w:color="9D9D9C"/>
            </w:tcBorders>
          </w:tcPr>
          <w:p>
            <w:pPr>
              <w:jc w:val="right"/>
              <w:ind w:right="152"/>
              <w:spacing w:after="0" w:line="156" w:lineRule="exact"/>
              <w:rPr>
                <w:sz w:val="20"/>
                <w:szCs w:val="20"/>
                <w:color w:val="auto"/>
              </w:rPr>
            </w:pPr>
            <w:r>
              <w:rPr>
                <w:rFonts w:ascii="Calibri" w:cs="Calibri" w:eastAsia="Calibri" w:hAnsi="Calibri"/>
                <w:sz w:val="14"/>
                <w:szCs w:val="14"/>
                <w:color w:val="auto"/>
              </w:rPr>
              <w:t>—</w:t>
            </w:r>
          </w:p>
        </w:tc>
        <w:tc>
          <w:tcPr>
            <w:tcW w:w="1320" w:type="dxa"/>
            <w:vAlign w:val="bottom"/>
            <w:tcBorders>
              <w:top w:val="single" w:sz="8" w:color="9D9D9C"/>
            </w:tcBorders>
          </w:tcPr>
          <w:p>
            <w:pPr>
              <w:jc w:val="right"/>
              <w:ind w:right="230"/>
              <w:spacing w:after="0" w:line="156" w:lineRule="exact"/>
              <w:rPr>
                <w:sz w:val="20"/>
                <w:szCs w:val="20"/>
                <w:color w:val="auto"/>
              </w:rPr>
            </w:pPr>
            <w:r>
              <w:rPr>
                <w:rFonts w:ascii="Calibri" w:cs="Calibri" w:eastAsia="Calibri" w:hAnsi="Calibri"/>
                <w:sz w:val="14"/>
                <w:szCs w:val="14"/>
                <w:color w:val="auto"/>
              </w:rPr>
              <w:t>617,387</w:t>
            </w:r>
          </w:p>
        </w:tc>
        <w:tc>
          <w:tcPr>
            <w:tcW w:w="980" w:type="dxa"/>
            <w:vAlign w:val="bottom"/>
            <w:tcBorders>
              <w:top w:val="single" w:sz="8" w:color="9D9D9C"/>
            </w:tcBorders>
          </w:tcPr>
          <w:p>
            <w:pPr>
              <w:jc w:val="right"/>
              <w:spacing w:after="0" w:line="156" w:lineRule="exact"/>
              <w:rPr>
                <w:sz w:val="20"/>
                <w:szCs w:val="20"/>
                <w:color w:val="auto"/>
              </w:rPr>
            </w:pPr>
            <w:r>
              <w:rPr>
                <w:rFonts w:ascii="Calibri" w:cs="Calibri" w:eastAsia="Calibri" w:hAnsi="Calibri"/>
                <w:sz w:val="14"/>
                <w:szCs w:val="14"/>
                <w:color w:val="auto"/>
              </w:rPr>
              <w:t>14,564,251</w:t>
            </w:r>
          </w:p>
        </w:tc>
        <w:tc>
          <w:tcPr>
            <w:tcW w:w="0" w:type="dxa"/>
            <w:vAlign w:val="bottom"/>
          </w:tcPr>
          <w:p>
            <w:pPr>
              <w:spacing w:after="0"/>
              <w:rPr>
                <w:sz w:val="1"/>
                <w:szCs w:val="1"/>
                <w:color w:val="auto"/>
              </w:rPr>
            </w:pPr>
          </w:p>
        </w:tc>
      </w:tr>
      <w:tr>
        <w:trPr>
          <w:trHeight w:val="170"/>
        </w:trPr>
        <w:tc>
          <w:tcPr>
            <w:tcW w:w="3300" w:type="dxa"/>
            <w:vAlign w:val="bottom"/>
          </w:tcPr>
          <w:p>
            <w:pPr>
              <w:ind w:left="20"/>
              <w:spacing w:after="0"/>
              <w:rPr>
                <w:sz w:val="20"/>
                <w:szCs w:val="20"/>
                <w:color w:val="auto"/>
              </w:rPr>
            </w:pPr>
            <w:r>
              <w:rPr>
                <w:rFonts w:ascii="Calibri" w:cs="Calibri" w:eastAsia="Calibri" w:hAnsi="Calibri"/>
                <w:sz w:val="14"/>
                <w:szCs w:val="14"/>
                <w:color w:val="auto"/>
              </w:rPr>
              <w:t>Chief Financial Ofcer</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Borders>
              <w:bottom w:val="single" w:sz="8" w:color="939598"/>
            </w:tcBorders>
          </w:tcPr>
          <w:p>
            <w:pPr>
              <w:spacing w:after="0"/>
              <w:rPr>
                <w:sz w:val="14"/>
                <w:szCs w:val="14"/>
                <w:color w:val="auto"/>
              </w:rPr>
            </w:pPr>
          </w:p>
        </w:tc>
        <w:tc>
          <w:tcPr>
            <w:tcW w:w="700" w:type="dxa"/>
            <w:vAlign w:val="bottom"/>
            <w:tcBorders>
              <w:bottom w:val="single" w:sz="8" w:color="9D9D9C"/>
            </w:tcBorders>
          </w:tcPr>
          <w:p>
            <w:pPr>
              <w:spacing w:after="0"/>
              <w:rPr>
                <w:sz w:val="14"/>
                <w:szCs w:val="14"/>
                <w:color w:val="auto"/>
              </w:rPr>
            </w:pPr>
          </w:p>
        </w:tc>
        <w:tc>
          <w:tcPr>
            <w:tcW w:w="820" w:type="dxa"/>
            <w:vAlign w:val="bottom"/>
            <w:tcBorders>
              <w:bottom w:val="single" w:sz="8" w:color="9D9D9C"/>
            </w:tcBorders>
          </w:tcPr>
          <w:p>
            <w:pPr>
              <w:spacing w:after="0"/>
              <w:rPr>
                <w:sz w:val="14"/>
                <w:szCs w:val="14"/>
                <w:color w:val="auto"/>
              </w:rPr>
            </w:pPr>
          </w:p>
        </w:tc>
        <w:tc>
          <w:tcPr>
            <w:tcW w:w="40" w:type="dxa"/>
            <w:vAlign w:val="bottom"/>
            <w:tcBorders>
              <w:bottom w:val="single" w:sz="8" w:color="9D9D9C"/>
            </w:tcBorders>
          </w:tcPr>
          <w:p>
            <w:pPr>
              <w:spacing w:after="0"/>
              <w:rPr>
                <w:sz w:val="14"/>
                <w:szCs w:val="14"/>
                <w:color w:val="auto"/>
              </w:rPr>
            </w:pPr>
          </w:p>
        </w:tc>
        <w:tc>
          <w:tcPr>
            <w:tcW w:w="780" w:type="dxa"/>
            <w:vAlign w:val="bottom"/>
            <w:tcBorders>
              <w:bottom w:val="single" w:sz="8" w:color="9D9D9C"/>
            </w:tcBorders>
          </w:tcPr>
          <w:p>
            <w:pPr>
              <w:spacing w:after="0"/>
              <w:rPr>
                <w:sz w:val="14"/>
                <w:szCs w:val="14"/>
                <w:color w:val="auto"/>
              </w:rPr>
            </w:pPr>
          </w:p>
        </w:tc>
        <w:tc>
          <w:tcPr>
            <w:tcW w:w="940" w:type="dxa"/>
            <w:vAlign w:val="bottom"/>
            <w:tcBorders>
              <w:bottom w:val="single" w:sz="8" w:color="9D9D9C"/>
            </w:tcBorders>
          </w:tcPr>
          <w:p>
            <w:pPr>
              <w:spacing w:after="0"/>
              <w:rPr>
                <w:sz w:val="14"/>
                <w:szCs w:val="14"/>
                <w:color w:val="auto"/>
              </w:rPr>
            </w:pPr>
          </w:p>
        </w:tc>
        <w:tc>
          <w:tcPr>
            <w:tcW w:w="1220" w:type="dxa"/>
            <w:vAlign w:val="bottom"/>
            <w:tcBorders>
              <w:bottom w:val="single" w:sz="8" w:color="9D9D9C"/>
            </w:tcBorders>
          </w:tcPr>
          <w:p>
            <w:pPr>
              <w:spacing w:after="0"/>
              <w:rPr>
                <w:sz w:val="14"/>
                <w:szCs w:val="14"/>
                <w:color w:val="auto"/>
              </w:rPr>
            </w:pPr>
          </w:p>
        </w:tc>
        <w:tc>
          <w:tcPr>
            <w:tcW w:w="1140" w:type="dxa"/>
            <w:vAlign w:val="bottom"/>
            <w:tcBorders>
              <w:bottom w:val="single" w:sz="8" w:color="9D9D9C"/>
            </w:tcBorders>
          </w:tcPr>
          <w:p>
            <w:pPr>
              <w:spacing w:after="0"/>
              <w:rPr>
                <w:sz w:val="14"/>
                <w:szCs w:val="14"/>
                <w:color w:val="auto"/>
              </w:rPr>
            </w:pPr>
          </w:p>
        </w:tc>
        <w:tc>
          <w:tcPr>
            <w:tcW w:w="1320" w:type="dxa"/>
            <w:vAlign w:val="bottom"/>
            <w:tcBorders>
              <w:bottom w:val="single" w:sz="8" w:color="9D9D9C"/>
            </w:tcBorders>
          </w:tcPr>
          <w:p>
            <w:pPr>
              <w:spacing w:after="0"/>
              <w:rPr>
                <w:sz w:val="14"/>
                <w:szCs w:val="14"/>
                <w:color w:val="auto"/>
              </w:rPr>
            </w:pPr>
          </w:p>
        </w:tc>
        <w:tc>
          <w:tcPr>
            <w:tcW w:w="980" w:type="dxa"/>
            <w:vAlign w:val="bottom"/>
            <w:tcBorders>
              <w:bottom w:val="single" w:sz="8" w:color="9D9D9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00" w:type="dxa"/>
            <w:vAlign w:val="bottom"/>
          </w:tcPr>
          <w:p>
            <w:pPr>
              <w:ind w:left="20"/>
              <w:spacing w:after="0" w:line="156" w:lineRule="exact"/>
              <w:rPr>
                <w:sz w:val="20"/>
                <w:szCs w:val="20"/>
                <w:color w:val="auto"/>
              </w:rPr>
            </w:pPr>
            <w:r>
              <w:rPr>
                <w:rFonts w:ascii="Calibri" w:cs="Calibri" w:eastAsia="Calibri" w:hAnsi="Calibri"/>
                <w:sz w:val="14"/>
                <w:szCs w:val="14"/>
                <w:b w:val="1"/>
                <w:bCs w:val="1"/>
                <w:color w:val="002E6D"/>
              </w:rPr>
              <w:t>John W. Mollard</w:t>
            </w:r>
          </w:p>
        </w:tc>
        <w:tc>
          <w:tcPr>
            <w:tcW w:w="700" w:type="dxa"/>
            <w:vAlign w:val="bottom"/>
            <w:shd w:val="clear" w:color="auto" w:fill="E5E7EF"/>
          </w:tcPr>
          <w:p>
            <w:pPr>
              <w:jc w:val="right"/>
              <w:spacing w:after="0" w:line="156" w:lineRule="exact"/>
              <w:rPr>
                <w:sz w:val="20"/>
                <w:szCs w:val="20"/>
                <w:color w:val="auto"/>
              </w:rPr>
            </w:pPr>
            <w:r>
              <w:rPr>
                <w:rFonts w:ascii="Calibri" w:cs="Calibri" w:eastAsia="Calibri" w:hAnsi="Calibri"/>
                <w:sz w:val="14"/>
                <w:szCs w:val="14"/>
                <w:color w:val="auto"/>
              </w:rPr>
              <w:t>2022</w:t>
            </w:r>
          </w:p>
        </w:tc>
        <w:tc>
          <w:tcPr>
            <w:tcW w:w="820" w:type="dxa"/>
            <w:vAlign w:val="bottom"/>
            <w:shd w:val="clear" w:color="auto" w:fill="E5E7EF"/>
          </w:tcPr>
          <w:p>
            <w:pPr>
              <w:jc w:val="right"/>
              <w:spacing w:after="0" w:line="156" w:lineRule="exact"/>
              <w:rPr>
                <w:sz w:val="20"/>
                <w:szCs w:val="20"/>
                <w:color w:val="auto"/>
              </w:rPr>
            </w:pPr>
            <w:r>
              <w:rPr>
                <w:rFonts w:ascii="Calibri" w:cs="Calibri" w:eastAsia="Calibri" w:hAnsi="Calibri"/>
                <w:sz w:val="14"/>
                <w:szCs w:val="14"/>
                <w:color w:val="auto"/>
              </w:rPr>
              <w:t>507,404</w:t>
            </w:r>
          </w:p>
        </w:tc>
        <w:tc>
          <w:tcPr>
            <w:tcW w:w="40" w:type="dxa"/>
            <w:vAlign w:val="bottom"/>
            <w:shd w:val="clear" w:color="auto" w:fill="E5E7EF"/>
          </w:tcPr>
          <w:p>
            <w:pPr>
              <w:spacing w:after="0"/>
              <w:rPr>
                <w:sz w:val="13"/>
                <w:szCs w:val="13"/>
                <w:color w:val="auto"/>
              </w:rPr>
            </w:pPr>
          </w:p>
        </w:tc>
        <w:tc>
          <w:tcPr>
            <w:tcW w:w="780" w:type="dxa"/>
            <w:vAlign w:val="bottom"/>
            <w:shd w:val="clear" w:color="auto" w:fill="E5E7EF"/>
          </w:tcPr>
          <w:p>
            <w:pPr>
              <w:jc w:val="right"/>
              <w:ind w:right="70"/>
              <w:spacing w:after="0" w:line="156" w:lineRule="exact"/>
              <w:rPr>
                <w:sz w:val="20"/>
                <w:szCs w:val="20"/>
                <w:color w:val="auto"/>
              </w:rPr>
            </w:pPr>
            <w:r>
              <w:rPr>
                <w:rFonts w:ascii="Calibri" w:cs="Calibri" w:eastAsia="Calibri" w:hAnsi="Calibri"/>
                <w:sz w:val="14"/>
                <w:szCs w:val="14"/>
                <w:color w:val="auto"/>
              </w:rPr>
              <w:t>—</w:t>
            </w:r>
          </w:p>
        </w:tc>
        <w:tc>
          <w:tcPr>
            <w:tcW w:w="940" w:type="dxa"/>
            <w:vAlign w:val="bottom"/>
            <w:shd w:val="clear" w:color="auto" w:fill="E5E7EF"/>
          </w:tcPr>
          <w:p>
            <w:pPr>
              <w:jc w:val="right"/>
              <w:ind w:right="130"/>
              <w:spacing w:after="0" w:line="156" w:lineRule="exact"/>
              <w:rPr>
                <w:sz w:val="20"/>
                <w:szCs w:val="20"/>
                <w:color w:val="auto"/>
              </w:rPr>
            </w:pPr>
            <w:r>
              <w:rPr>
                <w:rFonts w:ascii="Calibri" w:cs="Calibri" w:eastAsia="Calibri" w:hAnsi="Calibri"/>
                <w:sz w:val="14"/>
                <w:szCs w:val="14"/>
                <w:color w:val="auto"/>
              </w:rPr>
              <w:t>994,850</w:t>
            </w:r>
          </w:p>
        </w:tc>
        <w:tc>
          <w:tcPr>
            <w:tcW w:w="1220" w:type="dxa"/>
            <w:vAlign w:val="bottom"/>
            <w:shd w:val="clear" w:color="auto" w:fill="E5E7EF"/>
          </w:tcPr>
          <w:p>
            <w:pPr>
              <w:jc w:val="right"/>
              <w:ind w:right="131"/>
              <w:spacing w:after="0" w:line="156" w:lineRule="exact"/>
              <w:rPr>
                <w:sz w:val="20"/>
                <w:szCs w:val="20"/>
                <w:color w:val="auto"/>
              </w:rPr>
            </w:pPr>
            <w:r>
              <w:rPr>
                <w:rFonts w:ascii="Calibri" w:cs="Calibri" w:eastAsia="Calibri" w:hAnsi="Calibri"/>
                <w:sz w:val="14"/>
                <w:szCs w:val="14"/>
                <w:color w:val="auto"/>
              </w:rPr>
              <w:t>856,600</w:t>
            </w:r>
          </w:p>
        </w:tc>
        <w:tc>
          <w:tcPr>
            <w:tcW w:w="1140" w:type="dxa"/>
            <w:vAlign w:val="bottom"/>
            <w:shd w:val="clear" w:color="auto" w:fill="E5E7EF"/>
          </w:tcPr>
          <w:p>
            <w:pPr>
              <w:jc w:val="right"/>
              <w:ind w:right="152"/>
              <w:spacing w:after="0" w:line="156" w:lineRule="exact"/>
              <w:rPr>
                <w:sz w:val="20"/>
                <w:szCs w:val="20"/>
                <w:color w:val="auto"/>
              </w:rPr>
            </w:pPr>
            <w:r>
              <w:rPr>
                <w:rFonts w:ascii="Calibri" w:cs="Calibri" w:eastAsia="Calibri" w:hAnsi="Calibri"/>
                <w:sz w:val="14"/>
                <w:szCs w:val="14"/>
                <w:color w:val="auto"/>
              </w:rPr>
              <w:t>—</w:t>
            </w:r>
          </w:p>
        </w:tc>
        <w:tc>
          <w:tcPr>
            <w:tcW w:w="1320" w:type="dxa"/>
            <w:vAlign w:val="bottom"/>
            <w:shd w:val="clear" w:color="auto" w:fill="E5E7EF"/>
          </w:tcPr>
          <w:p>
            <w:pPr>
              <w:jc w:val="right"/>
              <w:ind w:right="230"/>
              <w:spacing w:after="0" w:line="156" w:lineRule="exact"/>
              <w:rPr>
                <w:sz w:val="20"/>
                <w:szCs w:val="20"/>
                <w:color w:val="auto"/>
              </w:rPr>
            </w:pPr>
            <w:r>
              <w:rPr>
                <w:rFonts w:ascii="Calibri" w:cs="Calibri" w:eastAsia="Calibri" w:hAnsi="Calibri"/>
                <w:sz w:val="14"/>
                <w:szCs w:val="14"/>
                <w:color w:val="auto"/>
              </w:rPr>
              <w:t>98,575</w:t>
            </w:r>
          </w:p>
        </w:tc>
        <w:tc>
          <w:tcPr>
            <w:tcW w:w="980" w:type="dxa"/>
            <w:vAlign w:val="bottom"/>
            <w:shd w:val="clear" w:color="auto" w:fill="E5E7EF"/>
          </w:tcPr>
          <w:p>
            <w:pPr>
              <w:jc w:val="right"/>
              <w:spacing w:after="0" w:line="156" w:lineRule="exact"/>
              <w:rPr>
                <w:sz w:val="20"/>
                <w:szCs w:val="20"/>
                <w:color w:val="auto"/>
              </w:rPr>
            </w:pPr>
            <w:r>
              <w:rPr>
                <w:rFonts w:ascii="Calibri" w:cs="Calibri" w:eastAsia="Calibri" w:hAnsi="Calibri"/>
                <w:sz w:val="14"/>
                <w:szCs w:val="14"/>
                <w:color w:val="auto"/>
              </w:rPr>
              <w:t>2,457,429</w:t>
            </w:r>
          </w:p>
        </w:tc>
        <w:tc>
          <w:tcPr>
            <w:tcW w:w="0" w:type="dxa"/>
            <w:vAlign w:val="bottom"/>
          </w:tcPr>
          <w:p>
            <w:pPr>
              <w:spacing w:after="0"/>
              <w:rPr>
                <w:sz w:val="1"/>
                <w:szCs w:val="1"/>
                <w:color w:val="auto"/>
              </w:rPr>
            </w:pPr>
          </w:p>
        </w:tc>
      </w:tr>
      <w:tr>
        <w:trPr>
          <w:trHeight w:val="107"/>
        </w:trPr>
        <w:tc>
          <w:tcPr>
            <w:tcW w:w="3300" w:type="dxa"/>
            <w:vAlign w:val="bottom"/>
          </w:tcPr>
          <w:p>
            <w:pPr>
              <w:ind w:left="20"/>
              <w:spacing w:after="0" w:line="107" w:lineRule="exact"/>
              <w:rPr>
                <w:sz w:val="20"/>
                <w:szCs w:val="20"/>
                <w:color w:val="auto"/>
              </w:rPr>
            </w:pPr>
            <w:r>
              <w:rPr>
                <w:rFonts w:ascii="Calibri" w:cs="Calibri" w:eastAsia="Calibri" w:hAnsi="Calibri"/>
                <w:sz w:val="11"/>
                <w:szCs w:val="11"/>
                <w:color w:val="auto"/>
              </w:rPr>
              <w:t>Retred Vice President and Treasurer;</w:t>
            </w:r>
          </w:p>
        </w:tc>
        <w:tc>
          <w:tcPr>
            <w:tcW w:w="700" w:type="dxa"/>
            <w:vAlign w:val="bottom"/>
            <w:shd w:val="clear" w:color="auto" w:fill="E5E7EF"/>
          </w:tcPr>
          <w:p>
            <w:pPr>
              <w:spacing w:after="0"/>
              <w:rPr>
                <w:sz w:val="9"/>
                <w:szCs w:val="9"/>
                <w:color w:val="auto"/>
              </w:rPr>
            </w:pPr>
          </w:p>
        </w:tc>
        <w:tc>
          <w:tcPr>
            <w:tcW w:w="820" w:type="dxa"/>
            <w:vAlign w:val="bottom"/>
            <w:shd w:val="clear" w:color="auto" w:fill="E5E7EF"/>
          </w:tcPr>
          <w:p>
            <w:pPr>
              <w:spacing w:after="0"/>
              <w:rPr>
                <w:sz w:val="9"/>
                <w:szCs w:val="9"/>
                <w:color w:val="auto"/>
              </w:rPr>
            </w:pPr>
          </w:p>
        </w:tc>
        <w:tc>
          <w:tcPr>
            <w:tcW w:w="40" w:type="dxa"/>
            <w:vAlign w:val="bottom"/>
            <w:shd w:val="clear" w:color="auto" w:fill="E5E7EF"/>
          </w:tcPr>
          <w:p>
            <w:pPr>
              <w:spacing w:after="0"/>
              <w:rPr>
                <w:sz w:val="9"/>
                <w:szCs w:val="9"/>
                <w:color w:val="auto"/>
              </w:rPr>
            </w:pPr>
          </w:p>
        </w:tc>
        <w:tc>
          <w:tcPr>
            <w:tcW w:w="780" w:type="dxa"/>
            <w:vAlign w:val="bottom"/>
            <w:shd w:val="clear" w:color="auto" w:fill="E5E7EF"/>
          </w:tcPr>
          <w:p>
            <w:pPr>
              <w:spacing w:after="0"/>
              <w:rPr>
                <w:sz w:val="9"/>
                <w:szCs w:val="9"/>
                <w:color w:val="auto"/>
              </w:rPr>
            </w:pPr>
          </w:p>
        </w:tc>
        <w:tc>
          <w:tcPr>
            <w:tcW w:w="940" w:type="dxa"/>
            <w:vAlign w:val="bottom"/>
            <w:shd w:val="clear" w:color="auto" w:fill="E5E7EF"/>
          </w:tcPr>
          <w:p>
            <w:pPr>
              <w:spacing w:after="0"/>
              <w:rPr>
                <w:sz w:val="9"/>
                <w:szCs w:val="9"/>
                <w:color w:val="auto"/>
              </w:rPr>
            </w:pPr>
          </w:p>
        </w:tc>
        <w:tc>
          <w:tcPr>
            <w:tcW w:w="1220" w:type="dxa"/>
            <w:vAlign w:val="bottom"/>
            <w:shd w:val="clear" w:color="auto" w:fill="E5E7EF"/>
          </w:tcPr>
          <w:p>
            <w:pPr>
              <w:spacing w:after="0"/>
              <w:rPr>
                <w:sz w:val="9"/>
                <w:szCs w:val="9"/>
                <w:color w:val="auto"/>
              </w:rPr>
            </w:pPr>
          </w:p>
        </w:tc>
        <w:tc>
          <w:tcPr>
            <w:tcW w:w="1140" w:type="dxa"/>
            <w:vAlign w:val="bottom"/>
            <w:shd w:val="clear" w:color="auto" w:fill="E5E7EF"/>
          </w:tcPr>
          <w:p>
            <w:pPr>
              <w:spacing w:after="0"/>
              <w:rPr>
                <w:sz w:val="9"/>
                <w:szCs w:val="9"/>
                <w:color w:val="auto"/>
              </w:rPr>
            </w:pPr>
          </w:p>
        </w:tc>
        <w:tc>
          <w:tcPr>
            <w:tcW w:w="1320" w:type="dxa"/>
            <w:vAlign w:val="bottom"/>
            <w:shd w:val="clear" w:color="auto" w:fill="E5E7EF"/>
          </w:tcPr>
          <w:p>
            <w:pPr>
              <w:spacing w:after="0"/>
              <w:rPr>
                <w:sz w:val="9"/>
                <w:szCs w:val="9"/>
                <w:color w:val="auto"/>
              </w:rPr>
            </w:pPr>
          </w:p>
        </w:tc>
        <w:tc>
          <w:tcPr>
            <w:tcW w:w="980" w:type="dxa"/>
            <w:vAlign w:val="bottom"/>
            <w:shd w:val="clear" w:color="auto" w:fill="E5E7E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Calibri" w:cs="Calibri" w:eastAsia="Calibri" w:hAnsi="Calibri"/>
                <w:sz w:val="14"/>
                <w:szCs w:val="14"/>
                <w:color w:val="auto"/>
              </w:rPr>
              <w:t>Former Actng Chief Financial Ofcer</w:t>
            </w:r>
          </w:p>
        </w:tc>
        <w:tc>
          <w:tcPr>
            <w:tcW w:w="70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2021</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500,854</w:t>
            </w:r>
          </w:p>
        </w:tc>
        <w:tc>
          <w:tcPr>
            <w:tcW w:w="40" w:type="dxa"/>
            <w:vAlign w:val="bottom"/>
            <w:tcBorders>
              <w:bottom w:val="single" w:sz="8" w:color="E5E7EF"/>
            </w:tcBorders>
            <w:shd w:val="clear" w:color="auto" w:fill="E5E7EF"/>
          </w:tcPr>
          <w:p>
            <w:pPr>
              <w:spacing w:after="0"/>
              <w:rPr>
                <w:sz w:val="20"/>
                <w:szCs w:val="20"/>
                <w:color w:val="auto"/>
              </w:rPr>
            </w:pPr>
          </w:p>
        </w:tc>
        <w:tc>
          <w:tcPr>
            <w:tcW w:w="780" w:type="dxa"/>
            <w:vAlign w:val="bottom"/>
            <w:tcBorders>
              <w:bottom w:val="single" w:sz="8" w:color="E5E7EF"/>
            </w:tcBorders>
            <w:shd w:val="clear" w:color="auto" w:fill="E5E7EF"/>
          </w:tcPr>
          <w:p>
            <w:pPr>
              <w:jc w:val="right"/>
              <w:ind w:right="70"/>
              <w:spacing w:after="0"/>
              <w:rPr>
                <w:sz w:val="20"/>
                <w:szCs w:val="20"/>
                <w:color w:val="auto"/>
              </w:rPr>
            </w:pPr>
            <w:r>
              <w:rPr>
                <w:rFonts w:ascii="Calibri" w:cs="Calibri" w:eastAsia="Calibri" w:hAnsi="Calibri"/>
                <w:sz w:val="14"/>
                <w:szCs w:val="14"/>
                <w:color w:val="auto"/>
              </w:rPr>
              <w:t>400,000</w:t>
            </w:r>
          </w:p>
        </w:tc>
        <w:tc>
          <w:tcPr>
            <w:tcW w:w="940" w:type="dxa"/>
            <w:vAlign w:val="bottom"/>
            <w:tcBorders>
              <w:bottom w:val="single" w:sz="8" w:color="E5E7EF"/>
            </w:tcBorders>
            <w:shd w:val="clear" w:color="auto" w:fill="E5E7EF"/>
          </w:tcPr>
          <w:p>
            <w:pPr>
              <w:jc w:val="right"/>
              <w:ind w:right="130"/>
              <w:spacing w:after="0"/>
              <w:rPr>
                <w:sz w:val="20"/>
                <w:szCs w:val="20"/>
                <w:color w:val="auto"/>
              </w:rPr>
            </w:pPr>
            <w:r>
              <w:rPr>
                <w:rFonts w:ascii="Calibri" w:cs="Calibri" w:eastAsia="Calibri" w:hAnsi="Calibri"/>
                <w:sz w:val="14"/>
                <w:szCs w:val="14"/>
                <w:color w:val="auto"/>
              </w:rPr>
              <w:t>475,112</w:t>
            </w:r>
          </w:p>
        </w:tc>
        <w:tc>
          <w:tcPr>
            <w:tcW w:w="1220" w:type="dxa"/>
            <w:vAlign w:val="bottom"/>
            <w:tcBorders>
              <w:bottom w:val="single" w:sz="8" w:color="E5E7EF"/>
            </w:tcBorders>
            <w:shd w:val="clear" w:color="auto" w:fill="E5E7EF"/>
          </w:tcPr>
          <w:p>
            <w:pPr>
              <w:jc w:val="right"/>
              <w:ind w:right="131"/>
              <w:spacing w:after="0"/>
              <w:rPr>
                <w:sz w:val="20"/>
                <w:szCs w:val="20"/>
                <w:color w:val="auto"/>
              </w:rPr>
            </w:pPr>
            <w:r>
              <w:rPr>
                <w:rFonts w:ascii="Calibri" w:cs="Calibri" w:eastAsia="Calibri" w:hAnsi="Calibri"/>
                <w:sz w:val="14"/>
                <w:szCs w:val="14"/>
                <w:color w:val="auto"/>
              </w:rPr>
              <w:t>936,800</w:t>
            </w:r>
          </w:p>
        </w:tc>
        <w:tc>
          <w:tcPr>
            <w:tcW w:w="1140" w:type="dxa"/>
            <w:vAlign w:val="bottom"/>
            <w:tcBorders>
              <w:bottom w:val="single" w:sz="8" w:color="E5E7EF"/>
            </w:tcBorders>
            <w:shd w:val="clear" w:color="auto" w:fill="E5E7EF"/>
          </w:tcPr>
          <w:p>
            <w:pPr>
              <w:jc w:val="right"/>
              <w:ind w:right="152"/>
              <w:spacing w:after="0"/>
              <w:rPr>
                <w:sz w:val="20"/>
                <w:szCs w:val="20"/>
                <w:color w:val="auto"/>
              </w:rPr>
            </w:pPr>
            <w:r>
              <w:rPr>
                <w:rFonts w:ascii="Calibri" w:cs="Calibri" w:eastAsia="Calibri" w:hAnsi="Calibri"/>
                <w:sz w:val="14"/>
                <w:szCs w:val="14"/>
                <w:color w:val="auto"/>
              </w:rPr>
              <w:t>—</w:t>
            </w:r>
          </w:p>
        </w:tc>
        <w:tc>
          <w:tcPr>
            <w:tcW w:w="1320" w:type="dxa"/>
            <w:vAlign w:val="bottom"/>
            <w:tcBorders>
              <w:bottom w:val="single" w:sz="8" w:color="E5E7EF"/>
            </w:tcBorders>
            <w:shd w:val="clear" w:color="auto" w:fill="E5E7EF"/>
          </w:tcPr>
          <w:p>
            <w:pPr>
              <w:jc w:val="right"/>
              <w:ind w:right="230"/>
              <w:spacing w:after="0"/>
              <w:rPr>
                <w:sz w:val="20"/>
                <w:szCs w:val="20"/>
                <w:color w:val="auto"/>
              </w:rPr>
            </w:pPr>
            <w:r>
              <w:rPr>
                <w:rFonts w:ascii="Calibri" w:cs="Calibri" w:eastAsia="Calibri" w:hAnsi="Calibri"/>
                <w:sz w:val="14"/>
                <w:szCs w:val="14"/>
                <w:color w:val="auto"/>
              </w:rPr>
              <w:t>116,117</w:t>
            </w:r>
          </w:p>
        </w:tc>
        <w:tc>
          <w:tcPr>
            <w:tcW w:w="98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2,428,883</w:t>
            </w:r>
          </w:p>
        </w:tc>
        <w:tc>
          <w:tcPr>
            <w:tcW w:w="0" w:type="dxa"/>
            <w:vAlign w:val="bottom"/>
          </w:tcPr>
          <w:p>
            <w:pPr>
              <w:spacing w:after="0"/>
              <w:rPr>
                <w:sz w:val="1"/>
                <w:szCs w:val="1"/>
                <w:color w:val="auto"/>
              </w:rPr>
            </w:pPr>
          </w:p>
        </w:tc>
      </w:tr>
      <w:tr>
        <w:trPr>
          <w:trHeight w:val="156"/>
        </w:trPr>
        <w:tc>
          <w:tcPr>
            <w:tcW w:w="3300" w:type="dxa"/>
            <w:vAlign w:val="bottom"/>
            <w:tcBorders>
              <w:top w:val="single" w:sz="8" w:color="939598"/>
            </w:tcBorders>
          </w:tcPr>
          <w:p>
            <w:pPr>
              <w:ind w:left="20"/>
              <w:spacing w:after="0" w:line="156" w:lineRule="exact"/>
              <w:rPr>
                <w:sz w:val="20"/>
                <w:szCs w:val="20"/>
                <w:color w:val="auto"/>
              </w:rPr>
            </w:pPr>
            <w:r>
              <w:rPr>
                <w:rFonts w:ascii="Calibri" w:cs="Calibri" w:eastAsia="Calibri" w:hAnsi="Calibri"/>
                <w:sz w:val="14"/>
                <w:szCs w:val="14"/>
                <w:b w:val="1"/>
                <w:bCs w:val="1"/>
                <w:color w:val="002E6D"/>
              </w:rPr>
              <w:t>Frank A. St. John</w:t>
            </w:r>
          </w:p>
        </w:tc>
        <w:tc>
          <w:tcPr>
            <w:tcW w:w="700" w:type="dxa"/>
            <w:vAlign w:val="bottom"/>
            <w:tcBorders>
              <w:top w:val="single" w:sz="8" w:color="9D9D9C"/>
            </w:tcBorders>
          </w:tcPr>
          <w:p>
            <w:pPr>
              <w:jc w:val="right"/>
              <w:spacing w:after="0" w:line="156" w:lineRule="exact"/>
              <w:rPr>
                <w:sz w:val="20"/>
                <w:szCs w:val="20"/>
                <w:color w:val="auto"/>
              </w:rPr>
            </w:pPr>
            <w:r>
              <w:rPr>
                <w:rFonts w:ascii="Calibri" w:cs="Calibri" w:eastAsia="Calibri" w:hAnsi="Calibri"/>
                <w:sz w:val="14"/>
                <w:szCs w:val="14"/>
                <w:color w:val="auto"/>
              </w:rPr>
              <w:t>2022</w:t>
            </w:r>
          </w:p>
        </w:tc>
        <w:tc>
          <w:tcPr>
            <w:tcW w:w="820" w:type="dxa"/>
            <w:vAlign w:val="bottom"/>
            <w:tcBorders>
              <w:top w:val="single" w:sz="8" w:color="9D9D9C"/>
            </w:tcBorders>
          </w:tcPr>
          <w:p>
            <w:pPr>
              <w:jc w:val="right"/>
              <w:spacing w:after="0" w:line="156" w:lineRule="exact"/>
              <w:rPr>
                <w:sz w:val="20"/>
                <w:szCs w:val="20"/>
                <w:color w:val="auto"/>
              </w:rPr>
            </w:pPr>
            <w:r>
              <w:rPr>
                <w:rFonts w:ascii="Calibri" w:cs="Calibri" w:eastAsia="Calibri" w:hAnsi="Calibri"/>
                <w:sz w:val="14"/>
                <w:szCs w:val="14"/>
                <w:color w:val="auto"/>
              </w:rPr>
              <w:t>1,038,462</w:t>
            </w:r>
          </w:p>
        </w:tc>
        <w:tc>
          <w:tcPr>
            <w:tcW w:w="40" w:type="dxa"/>
            <w:vAlign w:val="bottom"/>
            <w:tcBorders>
              <w:top w:val="single" w:sz="8" w:color="9D9D9C"/>
            </w:tcBorders>
          </w:tcPr>
          <w:p>
            <w:pPr>
              <w:spacing w:after="0"/>
              <w:rPr>
                <w:sz w:val="13"/>
                <w:szCs w:val="13"/>
                <w:color w:val="auto"/>
              </w:rPr>
            </w:pPr>
          </w:p>
        </w:tc>
        <w:tc>
          <w:tcPr>
            <w:tcW w:w="780" w:type="dxa"/>
            <w:vAlign w:val="bottom"/>
            <w:tcBorders>
              <w:top w:val="single" w:sz="8" w:color="9D9D9C"/>
            </w:tcBorders>
          </w:tcPr>
          <w:p>
            <w:pPr>
              <w:jc w:val="right"/>
              <w:ind w:right="70"/>
              <w:spacing w:after="0" w:line="156" w:lineRule="exact"/>
              <w:rPr>
                <w:sz w:val="20"/>
                <w:szCs w:val="20"/>
                <w:color w:val="auto"/>
              </w:rPr>
            </w:pPr>
            <w:r>
              <w:rPr>
                <w:rFonts w:ascii="Calibri" w:cs="Calibri" w:eastAsia="Calibri" w:hAnsi="Calibri"/>
                <w:sz w:val="14"/>
                <w:szCs w:val="14"/>
                <w:color w:val="auto"/>
              </w:rPr>
              <w:t>—</w:t>
            </w:r>
          </w:p>
        </w:tc>
        <w:tc>
          <w:tcPr>
            <w:tcW w:w="940" w:type="dxa"/>
            <w:vAlign w:val="bottom"/>
            <w:tcBorders>
              <w:top w:val="single" w:sz="8" w:color="9D9D9C"/>
            </w:tcBorders>
          </w:tcPr>
          <w:p>
            <w:pPr>
              <w:jc w:val="right"/>
              <w:ind w:right="130"/>
              <w:spacing w:after="0" w:line="156" w:lineRule="exact"/>
              <w:rPr>
                <w:sz w:val="20"/>
                <w:szCs w:val="20"/>
                <w:color w:val="auto"/>
              </w:rPr>
            </w:pPr>
            <w:r>
              <w:rPr>
                <w:rFonts w:ascii="Calibri" w:cs="Calibri" w:eastAsia="Calibri" w:hAnsi="Calibri"/>
                <w:sz w:val="14"/>
                <w:szCs w:val="14"/>
                <w:color w:val="auto"/>
              </w:rPr>
              <w:t>5,365,755</w:t>
            </w:r>
          </w:p>
        </w:tc>
        <w:tc>
          <w:tcPr>
            <w:tcW w:w="1220" w:type="dxa"/>
            <w:vAlign w:val="bottom"/>
            <w:tcBorders>
              <w:top w:val="single" w:sz="8" w:color="9D9D9C"/>
            </w:tcBorders>
          </w:tcPr>
          <w:p>
            <w:pPr>
              <w:jc w:val="right"/>
              <w:ind w:right="131"/>
              <w:spacing w:after="0" w:line="156" w:lineRule="exact"/>
              <w:rPr>
                <w:sz w:val="20"/>
                <w:szCs w:val="20"/>
                <w:color w:val="auto"/>
              </w:rPr>
            </w:pPr>
            <w:r>
              <w:rPr>
                <w:rFonts w:ascii="Calibri" w:cs="Calibri" w:eastAsia="Calibri" w:hAnsi="Calibri"/>
                <w:sz w:val="14"/>
                <w:szCs w:val="14"/>
                <w:color w:val="auto"/>
              </w:rPr>
              <w:t>3,111,750</w:t>
            </w:r>
          </w:p>
        </w:tc>
        <w:tc>
          <w:tcPr>
            <w:tcW w:w="1140" w:type="dxa"/>
            <w:vAlign w:val="bottom"/>
            <w:tcBorders>
              <w:top w:val="single" w:sz="8" w:color="9D9D9C"/>
            </w:tcBorders>
          </w:tcPr>
          <w:p>
            <w:pPr>
              <w:jc w:val="right"/>
              <w:ind w:right="152"/>
              <w:spacing w:after="0" w:line="156" w:lineRule="exact"/>
              <w:rPr>
                <w:sz w:val="20"/>
                <w:szCs w:val="20"/>
                <w:color w:val="auto"/>
              </w:rPr>
            </w:pPr>
            <w:r>
              <w:rPr>
                <w:rFonts w:ascii="Calibri" w:cs="Calibri" w:eastAsia="Calibri" w:hAnsi="Calibri"/>
                <w:sz w:val="14"/>
                <w:szCs w:val="14"/>
                <w:color w:val="auto"/>
              </w:rPr>
              <w:t>—</w:t>
            </w:r>
          </w:p>
        </w:tc>
        <w:tc>
          <w:tcPr>
            <w:tcW w:w="1320" w:type="dxa"/>
            <w:vAlign w:val="bottom"/>
            <w:tcBorders>
              <w:top w:val="single" w:sz="8" w:color="9D9D9C"/>
            </w:tcBorders>
          </w:tcPr>
          <w:p>
            <w:pPr>
              <w:jc w:val="right"/>
              <w:ind w:right="230"/>
              <w:spacing w:after="0" w:line="156" w:lineRule="exact"/>
              <w:rPr>
                <w:sz w:val="20"/>
                <w:szCs w:val="20"/>
                <w:color w:val="auto"/>
              </w:rPr>
            </w:pPr>
            <w:r>
              <w:rPr>
                <w:rFonts w:ascii="Calibri" w:cs="Calibri" w:eastAsia="Calibri" w:hAnsi="Calibri"/>
                <w:sz w:val="14"/>
                <w:szCs w:val="14"/>
                <w:color w:val="auto"/>
              </w:rPr>
              <w:t>556,376</w:t>
            </w:r>
          </w:p>
        </w:tc>
        <w:tc>
          <w:tcPr>
            <w:tcW w:w="980" w:type="dxa"/>
            <w:vAlign w:val="bottom"/>
            <w:tcBorders>
              <w:top w:val="single" w:sz="8" w:color="9D9D9C"/>
            </w:tcBorders>
          </w:tcPr>
          <w:p>
            <w:pPr>
              <w:jc w:val="right"/>
              <w:spacing w:after="0" w:line="156" w:lineRule="exact"/>
              <w:rPr>
                <w:sz w:val="20"/>
                <w:szCs w:val="20"/>
                <w:color w:val="auto"/>
              </w:rPr>
            </w:pPr>
            <w:r>
              <w:rPr>
                <w:rFonts w:ascii="Calibri" w:cs="Calibri" w:eastAsia="Calibri" w:hAnsi="Calibri"/>
                <w:sz w:val="14"/>
                <w:szCs w:val="14"/>
                <w:color w:val="auto"/>
              </w:rPr>
              <w:t>10,072,343</w:t>
            </w:r>
          </w:p>
        </w:tc>
        <w:tc>
          <w:tcPr>
            <w:tcW w:w="0" w:type="dxa"/>
            <w:vAlign w:val="bottom"/>
          </w:tcPr>
          <w:p>
            <w:pPr>
              <w:spacing w:after="0"/>
              <w:rPr>
                <w:sz w:val="1"/>
                <w:szCs w:val="1"/>
                <w:color w:val="auto"/>
              </w:rPr>
            </w:pPr>
          </w:p>
        </w:tc>
      </w:tr>
      <w:tr>
        <w:trPr>
          <w:trHeight w:val="170"/>
        </w:trPr>
        <w:tc>
          <w:tcPr>
            <w:tcW w:w="3300" w:type="dxa"/>
            <w:vAlign w:val="bottom"/>
          </w:tcPr>
          <w:p>
            <w:pPr>
              <w:ind w:left="20"/>
              <w:spacing w:after="0"/>
              <w:rPr>
                <w:sz w:val="20"/>
                <w:szCs w:val="20"/>
                <w:color w:val="auto"/>
              </w:rPr>
            </w:pPr>
            <w:r>
              <w:rPr>
                <w:rFonts w:ascii="Calibri" w:cs="Calibri" w:eastAsia="Calibri" w:hAnsi="Calibri"/>
                <w:sz w:val="14"/>
                <w:szCs w:val="14"/>
                <w:color w:val="auto"/>
              </w:rPr>
              <w:t>Chief Operatng Ofcer</w:t>
            </w:r>
          </w:p>
        </w:tc>
        <w:tc>
          <w:tcPr>
            <w:tcW w:w="700" w:type="dxa"/>
            <w:vAlign w:val="bottom"/>
            <w:vMerge w:val="restart"/>
          </w:tcPr>
          <w:p>
            <w:pPr>
              <w:jc w:val="right"/>
              <w:spacing w:after="0"/>
              <w:rPr>
                <w:sz w:val="20"/>
                <w:szCs w:val="20"/>
                <w:color w:val="auto"/>
              </w:rPr>
            </w:pPr>
            <w:r>
              <w:rPr>
                <w:rFonts w:ascii="Calibri" w:cs="Calibri" w:eastAsia="Calibri" w:hAnsi="Calibri"/>
                <w:sz w:val="14"/>
                <w:szCs w:val="14"/>
                <w:color w:val="auto"/>
              </w:rPr>
              <w:t>2021</w:t>
            </w:r>
          </w:p>
        </w:tc>
        <w:tc>
          <w:tcPr>
            <w:tcW w:w="820" w:type="dxa"/>
            <w:vAlign w:val="bottom"/>
            <w:vMerge w:val="restart"/>
          </w:tcPr>
          <w:p>
            <w:pPr>
              <w:jc w:val="right"/>
              <w:spacing w:after="0"/>
              <w:rPr>
                <w:sz w:val="20"/>
                <w:szCs w:val="20"/>
                <w:color w:val="auto"/>
              </w:rPr>
            </w:pPr>
            <w:r>
              <w:rPr>
                <w:rFonts w:ascii="Calibri" w:cs="Calibri" w:eastAsia="Calibri" w:hAnsi="Calibri"/>
                <w:sz w:val="14"/>
                <w:szCs w:val="14"/>
                <w:color w:val="auto"/>
              </w:rPr>
              <w:t>1,018,957</w:t>
            </w:r>
          </w:p>
        </w:tc>
        <w:tc>
          <w:tcPr>
            <w:tcW w:w="40" w:type="dxa"/>
            <w:vAlign w:val="bottom"/>
          </w:tcPr>
          <w:p>
            <w:pPr>
              <w:spacing w:after="0"/>
              <w:rPr>
                <w:sz w:val="14"/>
                <w:szCs w:val="14"/>
                <w:color w:val="auto"/>
              </w:rPr>
            </w:pPr>
          </w:p>
        </w:tc>
        <w:tc>
          <w:tcPr>
            <w:tcW w:w="780" w:type="dxa"/>
            <w:vAlign w:val="bottom"/>
            <w:vMerge w:val="restart"/>
          </w:tcPr>
          <w:p>
            <w:pPr>
              <w:jc w:val="right"/>
              <w:ind w:right="70"/>
              <w:spacing w:after="0"/>
              <w:rPr>
                <w:sz w:val="20"/>
                <w:szCs w:val="20"/>
                <w:color w:val="auto"/>
              </w:rPr>
            </w:pPr>
            <w:r>
              <w:rPr>
                <w:rFonts w:ascii="Calibri" w:cs="Calibri" w:eastAsia="Calibri" w:hAnsi="Calibri"/>
                <w:sz w:val="14"/>
                <w:szCs w:val="14"/>
                <w:color w:val="auto"/>
              </w:rPr>
              <w:t>—</w:t>
            </w:r>
          </w:p>
        </w:tc>
        <w:tc>
          <w:tcPr>
            <w:tcW w:w="940" w:type="dxa"/>
            <w:vAlign w:val="bottom"/>
            <w:vMerge w:val="restart"/>
          </w:tcPr>
          <w:p>
            <w:pPr>
              <w:jc w:val="right"/>
              <w:ind w:right="130"/>
              <w:spacing w:after="0"/>
              <w:rPr>
                <w:sz w:val="20"/>
                <w:szCs w:val="20"/>
                <w:color w:val="auto"/>
              </w:rPr>
            </w:pPr>
            <w:r>
              <w:rPr>
                <w:rFonts w:ascii="Calibri" w:cs="Calibri" w:eastAsia="Calibri" w:hAnsi="Calibri"/>
                <w:sz w:val="14"/>
                <w:szCs w:val="14"/>
                <w:color w:val="auto"/>
              </w:rPr>
              <w:t>4,236,620</w:t>
            </w:r>
          </w:p>
        </w:tc>
        <w:tc>
          <w:tcPr>
            <w:tcW w:w="1220" w:type="dxa"/>
            <w:vAlign w:val="bottom"/>
            <w:vMerge w:val="restart"/>
          </w:tcPr>
          <w:p>
            <w:pPr>
              <w:jc w:val="right"/>
              <w:ind w:right="131"/>
              <w:spacing w:after="0"/>
              <w:rPr>
                <w:sz w:val="20"/>
                <w:szCs w:val="20"/>
                <w:color w:val="auto"/>
              </w:rPr>
            </w:pPr>
            <w:r>
              <w:rPr>
                <w:rFonts w:ascii="Calibri" w:cs="Calibri" w:eastAsia="Calibri" w:hAnsi="Calibri"/>
                <w:sz w:val="14"/>
                <w:szCs w:val="14"/>
                <w:color w:val="auto"/>
              </w:rPr>
              <w:t>2,880,515</w:t>
            </w:r>
          </w:p>
        </w:tc>
        <w:tc>
          <w:tcPr>
            <w:tcW w:w="1140" w:type="dxa"/>
            <w:vAlign w:val="bottom"/>
            <w:vMerge w:val="restart"/>
          </w:tcPr>
          <w:p>
            <w:pPr>
              <w:jc w:val="right"/>
              <w:ind w:right="152"/>
              <w:spacing w:after="0"/>
              <w:rPr>
                <w:sz w:val="20"/>
                <w:szCs w:val="20"/>
                <w:color w:val="auto"/>
              </w:rPr>
            </w:pPr>
            <w:r>
              <w:rPr>
                <w:rFonts w:ascii="Calibri" w:cs="Calibri" w:eastAsia="Calibri" w:hAnsi="Calibri"/>
                <w:sz w:val="14"/>
                <w:szCs w:val="14"/>
                <w:color w:val="auto"/>
              </w:rPr>
              <w:t>—</w:t>
            </w:r>
          </w:p>
        </w:tc>
        <w:tc>
          <w:tcPr>
            <w:tcW w:w="1320" w:type="dxa"/>
            <w:vAlign w:val="bottom"/>
            <w:vMerge w:val="restart"/>
          </w:tcPr>
          <w:p>
            <w:pPr>
              <w:jc w:val="right"/>
              <w:ind w:right="230"/>
              <w:spacing w:after="0"/>
              <w:rPr>
                <w:sz w:val="20"/>
                <w:szCs w:val="20"/>
                <w:color w:val="auto"/>
              </w:rPr>
            </w:pPr>
            <w:r>
              <w:rPr>
                <w:rFonts w:ascii="Calibri" w:cs="Calibri" w:eastAsia="Calibri" w:hAnsi="Calibri"/>
                <w:sz w:val="14"/>
                <w:szCs w:val="14"/>
                <w:color w:val="auto"/>
              </w:rPr>
              <w:t>498,872</w:t>
            </w:r>
          </w:p>
        </w:tc>
        <w:tc>
          <w:tcPr>
            <w:tcW w:w="980" w:type="dxa"/>
            <w:vAlign w:val="bottom"/>
            <w:vMerge w:val="restart"/>
          </w:tcPr>
          <w:p>
            <w:pPr>
              <w:jc w:val="right"/>
              <w:spacing w:after="0"/>
              <w:rPr>
                <w:sz w:val="20"/>
                <w:szCs w:val="20"/>
                <w:color w:val="auto"/>
              </w:rPr>
            </w:pPr>
            <w:r>
              <w:rPr>
                <w:rFonts w:ascii="Calibri" w:cs="Calibri" w:eastAsia="Calibri" w:hAnsi="Calibri"/>
                <w:sz w:val="14"/>
                <w:szCs w:val="14"/>
                <w:color w:val="auto"/>
              </w:rPr>
              <w:t>8,634,964</w:t>
            </w:r>
          </w:p>
        </w:tc>
        <w:tc>
          <w:tcPr>
            <w:tcW w:w="0" w:type="dxa"/>
            <w:vAlign w:val="bottom"/>
          </w:tcPr>
          <w:p>
            <w:pPr>
              <w:spacing w:after="0"/>
              <w:rPr>
                <w:sz w:val="1"/>
                <w:szCs w:val="1"/>
                <w:color w:val="auto"/>
              </w:rPr>
            </w:pPr>
          </w:p>
        </w:tc>
      </w:tr>
      <w:tr>
        <w:trPr>
          <w:trHeight w:val="121"/>
        </w:trPr>
        <w:tc>
          <w:tcPr>
            <w:tcW w:w="3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2020</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981,202</w:t>
            </w:r>
          </w:p>
        </w:tc>
        <w:tc>
          <w:tcPr>
            <w:tcW w:w="4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Calibri" w:cs="Calibri" w:eastAsia="Calibri" w:hAnsi="Calibri"/>
                <w:sz w:val="14"/>
                <w:szCs w:val="14"/>
                <w:color w:val="auto"/>
              </w:rPr>
              <w:t>—</w:t>
            </w:r>
          </w:p>
        </w:tc>
        <w:tc>
          <w:tcPr>
            <w:tcW w:w="940" w:type="dxa"/>
            <w:vAlign w:val="bottom"/>
          </w:tcPr>
          <w:p>
            <w:pPr>
              <w:jc w:val="right"/>
              <w:ind w:right="130"/>
              <w:spacing w:after="0"/>
              <w:rPr>
                <w:sz w:val="20"/>
                <w:szCs w:val="20"/>
                <w:color w:val="auto"/>
              </w:rPr>
            </w:pPr>
            <w:r>
              <w:rPr>
                <w:rFonts w:ascii="Calibri" w:cs="Calibri" w:eastAsia="Calibri" w:hAnsi="Calibri"/>
                <w:sz w:val="14"/>
                <w:szCs w:val="14"/>
                <w:color w:val="auto"/>
              </w:rPr>
              <w:t>3,984,777</w:t>
            </w:r>
          </w:p>
        </w:tc>
        <w:tc>
          <w:tcPr>
            <w:tcW w:w="1220" w:type="dxa"/>
            <w:vAlign w:val="bottom"/>
          </w:tcPr>
          <w:p>
            <w:pPr>
              <w:jc w:val="right"/>
              <w:ind w:right="131"/>
              <w:spacing w:after="0"/>
              <w:rPr>
                <w:sz w:val="20"/>
                <w:szCs w:val="20"/>
                <w:color w:val="auto"/>
              </w:rPr>
            </w:pPr>
            <w:r>
              <w:rPr>
                <w:rFonts w:ascii="Calibri" w:cs="Calibri" w:eastAsia="Calibri" w:hAnsi="Calibri"/>
                <w:sz w:val="14"/>
                <w:szCs w:val="14"/>
                <w:color w:val="auto"/>
              </w:rPr>
              <w:t>3,177,700</w:t>
            </w:r>
          </w:p>
        </w:tc>
        <w:tc>
          <w:tcPr>
            <w:tcW w:w="1140" w:type="dxa"/>
            <w:vAlign w:val="bottom"/>
          </w:tcPr>
          <w:p>
            <w:pPr>
              <w:jc w:val="right"/>
              <w:ind w:right="152"/>
              <w:spacing w:after="0"/>
              <w:rPr>
                <w:sz w:val="20"/>
                <w:szCs w:val="20"/>
                <w:color w:val="auto"/>
              </w:rPr>
            </w:pPr>
            <w:r>
              <w:rPr>
                <w:rFonts w:ascii="Calibri" w:cs="Calibri" w:eastAsia="Calibri" w:hAnsi="Calibri"/>
                <w:sz w:val="14"/>
                <w:szCs w:val="14"/>
                <w:color w:val="auto"/>
              </w:rPr>
              <w:t>968,931</w:t>
            </w:r>
          </w:p>
        </w:tc>
        <w:tc>
          <w:tcPr>
            <w:tcW w:w="1320" w:type="dxa"/>
            <w:vAlign w:val="bottom"/>
          </w:tcPr>
          <w:p>
            <w:pPr>
              <w:jc w:val="right"/>
              <w:ind w:right="230"/>
              <w:spacing w:after="0"/>
              <w:rPr>
                <w:sz w:val="20"/>
                <w:szCs w:val="20"/>
                <w:color w:val="auto"/>
              </w:rPr>
            </w:pPr>
            <w:r>
              <w:rPr>
                <w:rFonts w:ascii="Calibri" w:cs="Calibri" w:eastAsia="Calibri" w:hAnsi="Calibri"/>
                <w:sz w:val="14"/>
                <w:szCs w:val="14"/>
                <w:color w:val="auto"/>
              </w:rPr>
              <w:t>406,495</w:t>
            </w:r>
          </w:p>
        </w:tc>
        <w:tc>
          <w:tcPr>
            <w:tcW w:w="980" w:type="dxa"/>
            <w:vAlign w:val="bottom"/>
          </w:tcPr>
          <w:p>
            <w:pPr>
              <w:jc w:val="right"/>
              <w:spacing w:after="0"/>
              <w:rPr>
                <w:sz w:val="20"/>
                <w:szCs w:val="20"/>
                <w:color w:val="auto"/>
              </w:rPr>
            </w:pPr>
            <w:r>
              <w:rPr>
                <w:rFonts w:ascii="Calibri" w:cs="Calibri" w:eastAsia="Calibri" w:hAnsi="Calibri"/>
                <w:sz w:val="14"/>
                <w:szCs w:val="14"/>
                <w:color w:val="auto"/>
              </w:rPr>
              <w:t>9,519,105</w:t>
            </w:r>
          </w:p>
        </w:tc>
        <w:tc>
          <w:tcPr>
            <w:tcW w:w="0" w:type="dxa"/>
            <w:vAlign w:val="bottom"/>
          </w:tcPr>
          <w:p>
            <w:pPr>
              <w:spacing w:after="0"/>
              <w:rPr>
                <w:sz w:val="1"/>
                <w:szCs w:val="1"/>
                <w:color w:val="auto"/>
              </w:rPr>
            </w:pPr>
          </w:p>
        </w:tc>
      </w:tr>
      <w:tr>
        <w:trPr>
          <w:trHeight w:val="47"/>
        </w:trPr>
        <w:tc>
          <w:tcPr>
            <w:tcW w:w="3300" w:type="dxa"/>
            <w:vAlign w:val="bottom"/>
            <w:tcBorders>
              <w:bottom w:val="single" w:sz="8" w:color="939598"/>
            </w:tcBorders>
          </w:tcPr>
          <w:p>
            <w:pPr>
              <w:spacing w:after="0"/>
              <w:rPr>
                <w:sz w:val="4"/>
                <w:szCs w:val="4"/>
                <w:color w:val="auto"/>
              </w:rPr>
            </w:pPr>
          </w:p>
        </w:tc>
        <w:tc>
          <w:tcPr>
            <w:tcW w:w="700" w:type="dxa"/>
            <w:vAlign w:val="bottom"/>
            <w:tcBorders>
              <w:bottom w:val="single" w:sz="8" w:color="9D9D9C"/>
            </w:tcBorders>
          </w:tcPr>
          <w:p>
            <w:pPr>
              <w:spacing w:after="0"/>
              <w:rPr>
                <w:sz w:val="4"/>
                <w:szCs w:val="4"/>
                <w:color w:val="auto"/>
              </w:rPr>
            </w:pPr>
          </w:p>
        </w:tc>
        <w:tc>
          <w:tcPr>
            <w:tcW w:w="820" w:type="dxa"/>
            <w:vAlign w:val="bottom"/>
            <w:tcBorders>
              <w:bottom w:val="single" w:sz="8" w:color="9D9D9C"/>
            </w:tcBorders>
          </w:tcPr>
          <w:p>
            <w:pPr>
              <w:spacing w:after="0"/>
              <w:rPr>
                <w:sz w:val="4"/>
                <w:szCs w:val="4"/>
                <w:color w:val="auto"/>
              </w:rPr>
            </w:pPr>
          </w:p>
        </w:tc>
        <w:tc>
          <w:tcPr>
            <w:tcW w:w="40" w:type="dxa"/>
            <w:vAlign w:val="bottom"/>
            <w:tcBorders>
              <w:bottom w:val="single" w:sz="8" w:color="9D9D9C"/>
            </w:tcBorders>
          </w:tcPr>
          <w:p>
            <w:pPr>
              <w:spacing w:after="0"/>
              <w:rPr>
                <w:sz w:val="4"/>
                <w:szCs w:val="4"/>
                <w:color w:val="auto"/>
              </w:rPr>
            </w:pPr>
          </w:p>
        </w:tc>
        <w:tc>
          <w:tcPr>
            <w:tcW w:w="780" w:type="dxa"/>
            <w:vAlign w:val="bottom"/>
            <w:tcBorders>
              <w:bottom w:val="single" w:sz="8" w:color="9D9D9C"/>
            </w:tcBorders>
          </w:tcPr>
          <w:p>
            <w:pPr>
              <w:spacing w:after="0"/>
              <w:rPr>
                <w:sz w:val="4"/>
                <w:szCs w:val="4"/>
                <w:color w:val="auto"/>
              </w:rPr>
            </w:pPr>
          </w:p>
        </w:tc>
        <w:tc>
          <w:tcPr>
            <w:tcW w:w="940" w:type="dxa"/>
            <w:vAlign w:val="bottom"/>
            <w:tcBorders>
              <w:bottom w:val="single" w:sz="8" w:color="9D9D9C"/>
            </w:tcBorders>
          </w:tcPr>
          <w:p>
            <w:pPr>
              <w:spacing w:after="0"/>
              <w:rPr>
                <w:sz w:val="4"/>
                <w:szCs w:val="4"/>
                <w:color w:val="auto"/>
              </w:rPr>
            </w:pPr>
          </w:p>
        </w:tc>
        <w:tc>
          <w:tcPr>
            <w:tcW w:w="1220" w:type="dxa"/>
            <w:vAlign w:val="bottom"/>
            <w:tcBorders>
              <w:bottom w:val="single" w:sz="8" w:color="9D9D9C"/>
            </w:tcBorders>
          </w:tcPr>
          <w:p>
            <w:pPr>
              <w:spacing w:after="0"/>
              <w:rPr>
                <w:sz w:val="4"/>
                <w:szCs w:val="4"/>
                <w:color w:val="auto"/>
              </w:rPr>
            </w:pPr>
          </w:p>
        </w:tc>
        <w:tc>
          <w:tcPr>
            <w:tcW w:w="1140" w:type="dxa"/>
            <w:vAlign w:val="bottom"/>
            <w:tcBorders>
              <w:bottom w:val="single" w:sz="8" w:color="9D9D9C"/>
            </w:tcBorders>
          </w:tcPr>
          <w:p>
            <w:pPr>
              <w:spacing w:after="0"/>
              <w:rPr>
                <w:sz w:val="4"/>
                <w:szCs w:val="4"/>
                <w:color w:val="auto"/>
              </w:rPr>
            </w:pPr>
          </w:p>
        </w:tc>
        <w:tc>
          <w:tcPr>
            <w:tcW w:w="1320" w:type="dxa"/>
            <w:vAlign w:val="bottom"/>
            <w:tcBorders>
              <w:bottom w:val="single" w:sz="8" w:color="9D9D9C"/>
            </w:tcBorders>
          </w:tcPr>
          <w:p>
            <w:pPr>
              <w:spacing w:after="0"/>
              <w:rPr>
                <w:sz w:val="4"/>
                <w:szCs w:val="4"/>
                <w:color w:val="auto"/>
              </w:rPr>
            </w:pPr>
          </w:p>
        </w:tc>
        <w:tc>
          <w:tcPr>
            <w:tcW w:w="980" w:type="dxa"/>
            <w:vAlign w:val="bottom"/>
            <w:tcBorders>
              <w:bottom w:val="single" w:sz="8" w:color="9D9D9C"/>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300" w:type="dxa"/>
            <w:vAlign w:val="bottom"/>
          </w:tcPr>
          <w:p>
            <w:pPr>
              <w:ind w:left="20"/>
              <w:spacing w:after="0" w:line="156" w:lineRule="exact"/>
              <w:rPr>
                <w:sz w:val="20"/>
                <w:szCs w:val="20"/>
                <w:color w:val="auto"/>
              </w:rPr>
            </w:pPr>
            <w:r>
              <w:rPr>
                <w:rFonts w:ascii="Calibri" w:cs="Calibri" w:eastAsia="Calibri" w:hAnsi="Calibri"/>
                <w:sz w:val="14"/>
                <w:szCs w:val="14"/>
                <w:b w:val="1"/>
                <w:bCs w:val="1"/>
                <w:color w:val="23255E"/>
              </w:rPr>
              <w:t>Scot T. Greene</w:t>
            </w:r>
          </w:p>
        </w:tc>
        <w:tc>
          <w:tcPr>
            <w:tcW w:w="700" w:type="dxa"/>
            <w:vAlign w:val="bottom"/>
            <w:shd w:val="clear" w:color="auto" w:fill="E5E7EF"/>
          </w:tcPr>
          <w:p>
            <w:pPr>
              <w:jc w:val="right"/>
              <w:spacing w:after="0" w:line="156" w:lineRule="exact"/>
              <w:rPr>
                <w:sz w:val="20"/>
                <w:szCs w:val="20"/>
                <w:color w:val="auto"/>
              </w:rPr>
            </w:pPr>
            <w:r>
              <w:rPr>
                <w:rFonts w:ascii="Calibri" w:cs="Calibri" w:eastAsia="Calibri" w:hAnsi="Calibri"/>
                <w:sz w:val="14"/>
                <w:szCs w:val="14"/>
                <w:color w:val="auto"/>
              </w:rPr>
              <w:t>2022</w:t>
            </w:r>
          </w:p>
        </w:tc>
        <w:tc>
          <w:tcPr>
            <w:tcW w:w="820" w:type="dxa"/>
            <w:vAlign w:val="bottom"/>
            <w:shd w:val="clear" w:color="auto" w:fill="E5E7EF"/>
          </w:tcPr>
          <w:p>
            <w:pPr>
              <w:jc w:val="right"/>
              <w:spacing w:after="0" w:line="156" w:lineRule="exact"/>
              <w:rPr>
                <w:sz w:val="20"/>
                <w:szCs w:val="20"/>
                <w:color w:val="auto"/>
              </w:rPr>
            </w:pPr>
            <w:r>
              <w:rPr>
                <w:rFonts w:ascii="Calibri" w:cs="Calibri" w:eastAsia="Calibri" w:hAnsi="Calibri"/>
                <w:sz w:val="14"/>
                <w:szCs w:val="14"/>
                <w:color w:val="auto"/>
              </w:rPr>
              <w:t>965,000</w:t>
            </w:r>
          </w:p>
        </w:tc>
        <w:tc>
          <w:tcPr>
            <w:tcW w:w="40" w:type="dxa"/>
            <w:vAlign w:val="bottom"/>
            <w:shd w:val="clear" w:color="auto" w:fill="E5E7EF"/>
          </w:tcPr>
          <w:p>
            <w:pPr>
              <w:spacing w:after="0"/>
              <w:rPr>
                <w:sz w:val="13"/>
                <w:szCs w:val="13"/>
                <w:color w:val="auto"/>
              </w:rPr>
            </w:pPr>
          </w:p>
        </w:tc>
        <w:tc>
          <w:tcPr>
            <w:tcW w:w="780" w:type="dxa"/>
            <w:vAlign w:val="bottom"/>
            <w:shd w:val="clear" w:color="auto" w:fill="E5E7EF"/>
          </w:tcPr>
          <w:p>
            <w:pPr>
              <w:jc w:val="right"/>
              <w:ind w:right="70"/>
              <w:spacing w:after="0" w:line="156" w:lineRule="exact"/>
              <w:rPr>
                <w:sz w:val="20"/>
                <w:szCs w:val="20"/>
                <w:color w:val="auto"/>
              </w:rPr>
            </w:pPr>
            <w:r>
              <w:rPr>
                <w:rFonts w:ascii="Calibri" w:cs="Calibri" w:eastAsia="Calibri" w:hAnsi="Calibri"/>
                <w:sz w:val="14"/>
                <w:szCs w:val="14"/>
                <w:color w:val="auto"/>
              </w:rPr>
              <w:t>—</w:t>
            </w:r>
          </w:p>
        </w:tc>
        <w:tc>
          <w:tcPr>
            <w:tcW w:w="940" w:type="dxa"/>
            <w:vAlign w:val="bottom"/>
            <w:shd w:val="clear" w:color="auto" w:fill="E5E7EF"/>
          </w:tcPr>
          <w:p>
            <w:pPr>
              <w:jc w:val="right"/>
              <w:ind w:right="130"/>
              <w:spacing w:after="0" w:line="156" w:lineRule="exact"/>
              <w:rPr>
                <w:sz w:val="20"/>
                <w:szCs w:val="20"/>
                <w:color w:val="auto"/>
              </w:rPr>
            </w:pPr>
            <w:r>
              <w:rPr>
                <w:rFonts w:ascii="Calibri" w:cs="Calibri" w:eastAsia="Calibri" w:hAnsi="Calibri"/>
                <w:sz w:val="14"/>
                <w:szCs w:val="14"/>
                <w:color w:val="auto"/>
              </w:rPr>
              <w:t>3,577,299</w:t>
            </w:r>
          </w:p>
        </w:tc>
        <w:tc>
          <w:tcPr>
            <w:tcW w:w="1220" w:type="dxa"/>
            <w:vAlign w:val="bottom"/>
            <w:shd w:val="clear" w:color="auto" w:fill="E5E7EF"/>
          </w:tcPr>
          <w:p>
            <w:pPr>
              <w:jc w:val="right"/>
              <w:ind w:right="131"/>
              <w:spacing w:after="0" w:line="156" w:lineRule="exact"/>
              <w:rPr>
                <w:sz w:val="20"/>
                <w:szCs w:val="20"/>
                <w:color w:val="auto"/>
              </w:rPr>
            </w:pPr>
            <w:r>
              <w:rPr>
                <w:rFonts w:ascii="Calibri" w:cs="Calibri" w:eastAsia="Calibri" w:hAnsi="Calibri"/>
                <w:sz w:val="14"/>
                <w:szCs w:val="14"/>
                <w:color w:val="auto"/>
              </w:rPr>
              <w:t>2,467,300</w:t>
            </w:r>
          </w:p>
        </w:tc>
        <w:tc>
          <w:tcPr>
            <w:tcW w:w="1140" w:type="dxa"/>
            <w:vAlign w:val="bottom"/>
            <w:shd w:val="clear" w:color="auto" w:fill="E5E7EF"/>
          </w:tcPr>
          <w:p>
            <w:pPr>
              <w:jc w:val="right"/>
              <w:ind w:right="152"/>
              <w:spacing w:after="0" w:line="156" w:lineRule="exact"/>
              <w:rPr>
                <w:sz w:val="20"/>
                <w:szCs w:val="20"/>
                <w:color w:val="auto"/>
              </w:rPr>
            </w:pPr>
            <w:r>
              <w:rPr>
                <w:rFonts w:ascii="Calibri" w:cs="Calibri" w:eastAsia="Calibri" w:hAnsi="Calibri"/>
                <w:sz w:val="14"/>
                <w:szCs w:val="14"/>
                <w:color w:val="auto"/>
              </w:rPr>
              <w:t>—</w:t>
            </w:r>
          </w:p>
        </w:tc>
        <w:tc>
          <w:tcPr>
            <w:tcW w:w="1320" w:type="dxa"/>
            <w:vAlign w:val="bottom"/>
            <w:shd w:val="clear" w:color="auto" w:fill="E5E7EF"/>
          </w:tcPr>
          <w:p>
            <w:pPr>
              <w:jc w:val="right"/>
              <w:ind w:right="230"/>
              <w:spacing w:after="0" w:line="156" w:lineRule="exact"/>
              <w:rPr>
                <w:sz w:val="20"/>
                <w:szCs w:val="20"/>
                <w:color w:val="auto"/>
              </w:rPr>
            </w:pPr>
            <w:r>
              <w:rPr>
                <w:rFonts w:ascii="Calibri" w:cs="Calibri" w:eastAsia="Calibri" w:hAnsi="Calibri"/>
                <w:sz w:val="14"/>
                <w:szCs w:val="14"/>
                <w:color w:val="auto"/>
              </w:rPr>
              <w:t>260,506</w:t>
            </w:r>
          </w:p>
        </w:tc>
        <w:tc>
          <w:tcPr>
            <w:tcW w:w="980" w:type="dxa"/>
            <w:vAlign w:val="bottom"/>
            <w:shd w:val="clear" w:color="auto" w:fill="E5E7EF"/>
          </w:tcPr>
          <w:p>
            <w:pPr>
              <w:jc w:val="right"/>
              <w:spacing w:after="0" w:line="156" w:lineRule="exact"/>
              <w:rPr>
                <w:sz w:val="20"/>
                <w:szCs w:val="20"/>
                <w:color w:val="auto"/>
              </w:rPr>
            </w:pPr>
            <w:r>
              <w:rPr>
                <w:rFonts w:ascii="Calibri" w:cs="Calibri" w:eastAsia="Calibri" w:hAnsi="Calibri"/>
                <w:sz w:val="14"/>
                <w:szCs w:val="14"/>
                <w:color w:val="auto"/>
              </w:rPr>
              <w:t>7,270,105</w:t>
            </w:r>
          </w:p>
        </w:tc>
        <w:tc>
          <w:tcPr>
            <w:tcW w:w="0" w:type="dxa"/>
            <w:vAlign w:val="bottom"/>
          </w:tcPr>
          <w:p>
            <w:pPr>
              <w:spacing w:after="0"/>
              <w:rPr>
                <w:sz w:val="1"/>
                <w:szCs w:val="1"/>
                <w:color w:val="auto"/>
              </w:rPr>
            </w:pPr>
          </w:p>
        </w:tc>
      </w:tr>
      <w:tr>
        <w:trPr>
          <w:trHeight w:val="107"/>
        </w:trPr>
        <w:tc>
          <w:tcPr>
            <w:tcW w:w="3300" w:type="dxa"/>
            <w:vAlign w:val="bottom"/>
          </w:tcPr>
          <w:p>
            <w:pPr>
              <w:ind w:left="20"/>
              <w:spacing w:after="0" w:line="107" w:lineRule="exact"/>
              <w:rPr>
                <w:sz w:val="20"/>
                <w:szCs w:val="20"/>
                <w:color w:val="auto"/>
              </w:rPr>
            </w:pPr>
            <w:r>
              <w:rPr>
                <w:rFonts w:ascii="Calibri" w:cs="Calibri" w:eastAsia="Calibri" w:hAnsi="Calibri"/>
                <w:sz w:val="11"/>
                <w:szCs w:val="11"/>
                <w:color w:val="auto"/>
              </w:rPr>
              <w:t>Retred Executve Vice President, Missiles and Fire</w:t>
            </w:r>
          </w:p>
        </w:tc>
        <w:tc>
          <w:tcPr>
            <w:tcW w:w="700" w:type="dxa"/>
            <w:vAlign w:val="bottom"/>
            <w:shd w:val="clear" w:color="auto" w:fill="E5E7EF"/>
          </w:tcPr>
          <w:p>
            <w:pPr>
              <w:spacing w:after="0"/>
              <w:rPr>
                <w:sz w:val="9"/>
                <w:szCs w:val="9"/>
                <w:color w:val="auto"/>
              </w:rPr>
            </w:pPr>
          </w:p>
        </w:tc>
        <w:tc>
          <w:tcPr>
            <w:tcW w:w="820" w:type="dxa"/>
            <w:vAlign w:val="bottom"/>
            <w:shd w:val="clear" w:color="auto" w:fill="E5E7EF"/>
          </w:tcPr>
          <w:p>
            <w:pPr>
              <w:spacing w:after="0"/>
              <w:rPr>
                <w:sz w:val="9"/>
                <w:szCs w:val="9"/>
                <w:color w:val="auto"/>
              </w:rPr>
            </w:pPr>
          </w:p>
        </w:tc>
        <w:tc>
          <w:tcPr>
            <w:tcW w:w="40" w:type="dxa"/>
            <w:vAlign w:val="bottom"/>
            <w:shd w:val="clear" w:color="auto" w:fill="E5E7EF"/>
          </w:tcPr>
          <w:p>
            <w:pPr>
              <w:spacing w:after="0"/>
              <w:rPr>
                <w:sz w:val="9"/>
                <w:szCs w:val="9"/>
                <w:color w:val="auto"/>
              </w:rPr>
            </w:pPr>
          </w:p>
        </w:tc>
        <w:tc>
          <w:tcPr>
            <w:tcW w:w="780" w:type="dxa"/>
            <w:vAlign w:val="bottom"/>
            <w:shd w:val="clear" w:color="auto" w:fill="E5E7EF"/>
          </w:tcPr>
          <w:p>
            <w:pPr>
              <w:spacing w:after="0"/>
              <w:rPr>
                <w:sz w:val="9"/>
                <w:szCs w:val="9"/>
                <w:color w:val="auto"/>
              </w:rPr>
            </w:pPr>
          </w:p>
        </w:tc>
        <w:tc>
          <w:tcPr>
            <w:tcW w:w="940" w:type="dxa"/>
            <w:vAlign w:val="bottom"/>
            <w:shd w:val="clear" w:color="auto" w:fill="E5E7EF"/>
          </w:tcPr>
          <w:p>
            <w:pPr>
              <w:spacing w:after="0"/>
              <w:rPr>
                <w:sz w:val="9"/>
                <w:szCs w:val="9"/>
                <w:color w:val="auto"/>
              </w:rPr>
            </w:pPr>
          </w:p>
        </w:tc>
        <w:tc>
          <w:tcPr>
            <w:tcW w:w="1220" w:type="dxa"/>
            <w:vAlign w:val="bottom"/>
            <w:shd w:val="clear" w:color="auto" w:fill="E5E7EF"/>
          </w:tcPr>
          <w:p>
            <w:pPr>
              <w:spacing w:after="0"/>
              <w:rPr>
                <w:sz w:val="9"/>
                <w:szCs w:val="9"/>
                <w:color w:val="auto"/>
              </w:rPr>
            </w:pPr>
          </w:p>
        </w:tc>
        <w:tc>
          <w:tcPr>
            <w:tcW w:w="1140" w:type="dxa"/>
            <w:vAlign w:val="bottom"/>
            <w:shd w:val="clear" w:color="auto" w:fill="E5E7EF"/>
          </w:tcPr>
          <w:p>
            <w:pPr>
              <w:spacing w:after="0"/>
              <w:rPr>
                <w:sz w:val="9"/>
                <w:szCs w:val="9"/>
                <w:color w:val="auto"/>
              </w:rPr>
            </w:pPr>
          </w:p>
        </w:tc>
        <w:tc>
          <w:tcPr>
            <w:tcW w:w="1320" w:type="dxa"/>
            <w:vAlign w:val="bottom"/>
            <w:shd w:val="clear" w:color="auto" w:fill="E5E7EF"/>
          </w:tcPr>
          <w:p>
            <w:pPr>
              <w:spacing w:after="0"/>
              <w:rPr>
                <w:sz w:val="9"/>
                <w:szCs w:val="9"/>
                <w:color w:val="auto"/>
              </w:rPr>
            </w:pPr>
          </w:p>
        </w:tc>
        <w:tc>
          <w:tcPr>
            <w:tcW w:w="980" w:type="dxa"/>
            <w:vAlign w:val="bottom"/>
            <w:shd w:val="clear" w:color="auto" w:fill="E5E7E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300" w:type="dxa"/>
            <w:vAlign w:val="bottom"/>
          </w:tcPr>
          <w:p>
            <w:pPr>
              <w:ind w:left="20"/>
              <w:spacing w:after="0"/>
              <w:rPr>
                <w:sz w:val="20"/>
                <w:szCs w:val="20"/>
                <w:color w:val="auto"/>
              </w:rPr>
            </w:pPr>
            <w:r>
              <w:rPr>
                <w:rFonts w:ascii="Calibri" w:cs="Calibri" w:eastAsia="Calibri" w:hAnsi="Calibri"/>
                <w:sz w:val="14"/>
                <w:szCs w:val="14"/>
                <w:color w:val="auto"/>
              </w:rPr>
              <w:t>Control</w:t>
            </w:r>
          </w:p>
        </w:tc>
        <w:tc>
          <w:tcPr>
            <w:tcW w:w="700" w:type="dxa"/>
            <w:vAlign w:val="bottom"/>
            <w:shd w:val="clear" w:color="auto" w:fill="E5E7EF"/>
          </w:tcPr>
          <w:p>
            <w:pPr>
              <w:spacing w:after="0"/>
              <w:rPr>
                <w:sz w:val="14"/>
                <w:szCs w:val="14"/>
                <w:color w:val="auto"/>
              </w:rPr>
            </w:pPr>
          </w:p>
        </w:tc>
        <w:tc>
          <w:tcPr>
            <w:tcW w:w="820" w:type="dxa"/>
            <w:vAlign w:val="bottom"/>
            <w:shd w:val="clear" w:color="auto" w:fill="E5E7EF"/>
          </w:tcPr>
          <w:p>
            <w:pPr>
              <w:spacing w:after="0"/>
              <w:rPr>
                <w:sz w:val="14"/>
                <w:szCs w:val="14"/>
                <w:color w:val="auto"/>
              </w:rPr>
            </w:pPr>
          </w:p>
        </w:tc>
        <w:tc>
          <w:tcPr>
            <w:tcW w:w="40" w:type="dxa"/>
            <w:vAlign w:val="bottom"/>
            <w:shd w:val="clear" w:color="auto" w:fill="E5E7EF"/>
          </w:tcPr>
          <w:p>
            <w:pPr>
              <w:spacing w:after="0"/>
              <w:rPr>
                <w:sz w:val="14"/>
                <w:szCs w:val="14"/>
                <w:color w:val="auto"/>
              </w:rPr>
            </w:pPr>
          </w:p>
        </w:tc>
        <w:tc>
          <w:tcPr>
            <w:tcW w:w="780" w:type="dxa"/>
            <w:vAlign w:val="bottom"/>
            <w:shd w:val="clear" w:color="auto" w:fill="E5E7EF"/>
          </w:tcPr>
          <w:p>
            <w:pPr>
              <w:spacing w:after="0"/>
              <w:rPr>
                <w:sz w:val="14"/>
                <w:szCs w:val="14"/>
                <w:color w:val="auto"/>
              </w:rPr>
            </w:pPr>
          </w:p>
        </w:tc>
        <w:tc>
          <w:tcPr>
            <w:tcW w:w="940" w:type="dxa"/>
            <w:vAlign w:val="bottom"/>
            <w:shd w:val="clear" w:color="auto" w:fill="E5E7EF"/>
          </w:tcPr>
          <w:p>
            <w:pPr>
              <w:spacing w:after="0"/>
              <w:rPr>
                <w:sz w:val="14"/>
                <w:szCs w:val="14"/>
                <w:color w:val="auto"/>
              </w:rPr>
            </w:pPr>
          </w:p>
        </w:tc>
        <w:tc>
          <w:tcPr>
            <w:tcW w:w="1220" w:type="dxa"/>
            <w:vAlign w:val="bottom"/>
            <w:shd w:val="clear" w:color="auto" w:fill="E5E7EF"/>
          </w:tcPr>
          <w:p>
            <w:pPr>
              <w:spacing w:after="0"/>
              <w:rPr>
                <w:sz w:val="14"/>
                <w:szCs w:val="14"/>
                <w:color w:val="auto"/>
              </w:rPr>
            </w:pPr>
          </w:p>
        </w:tc>
        <w:tc>
          <w:tcPr>
            <w:tcW w:w="1140" w:type="dxa"/>
            <w:vAlign w:val="bottom"/>
            <w:shd w:val="clear" w:color="auto" w:fill="E5E7EF"/>
          </w:tcPr>
          <w:p>
            <w:pPr>
              <w:spacing w:after="0"/>
              <w:rPr>
                <w:sz w:val="14"/>
                <w:szCs w:val="14"/>
                <w:color w:val="auto"/>
              </w:rPr>
            </w:pPr>
          </w:p>
        </w:tc>
        <w:tc>
          <w:tcPr>
            <w:tcW w:w="1320" w:type="dxa"/>
            <w:vAlign w:val="bottom"/>
            <w:shd w:val="clear" w:color="auto" w:fill="E5E7EF"/>
          </w:tcPr>
          <w:p>
            <w:pPr>
              <w:spacing w:after="0"/>
              <w:rPr>
                <w:sz w:val="14"/>
                <w:szCs w:val="14"/>
                <w:color w:val="auto"/>
              </w:rPr>
            </w:pPr>
          </w:p>
        </w:tc>
        <w:tc>
          <w:tcPr>
            <w:tcW w:w="980" w:type="dxa"/>
            <w:vAlign w:val="bottom"/>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3300" w:type="dxa"/>
            <w:vAlign w:val="bottom"/>
            <w:tcBorders>
              <w:bottom w:val="single" w:sz="8" w:color="929292"/>
            </w:tcBorders>
          </w:tcPr>
          <w:p>
            <w:pPr>
              <w:spacing w:after="0"/>
              <w:rPr>
                <w:sz w:val="5"/>
                <w:szCs w:val="5"/>
                <w:color w:val="auto"/>
              </w:rPr>
            </w:pPr>
          </w:p>
        </w:tc>
        <w:tc>
          <w:tcPr>
            <w:tcW w:w="700" w:type="dxa"/>
            <w:vAlign w:val="bottom"/>
            <w:tcBorders>
              <w:bottom w:val="single" w:sz="8" w:color="929292"/>
            </w:tcBorders>
            <w:shd w:val="clear" w:color="auto" w:fill="E5E7EF"/>
          </w:tcPr>
          <w:p>
            <w:pPr>
              <w:spacing w:after="0"/>
              <w:rPr>
                <w:sz w:val="5"/>
                <w:szCs w:val="5"/>
                <w:color w:val="auto"/>
              </w:rPr>
            </w:pPr>
          </w:p>
        </w:tc>
        <w:tc>
          <w:tcPr>
            <w:tcW w:w="820" w:type="dxa"/>
            <w:vAlign w:val="bottom"/>
            <w:tcBorders>
              <w:bottom w:val="single" w:sz="8" w:color="9D9D9C"/>
            </w:tcBorders>
            <w:shd w:val="clear" w:color="auto" w:fill="E5E7EF"/>
          </w:tcPr>
          <w:p>
            <w:pPr>
              <w:spacing w:after="0"/>
              <w:rPr>
                <w:sz w:val="5"/>
                <w:szCs w:val="5"/>
                <w:color w:val="auto"/>
              </w:rPr>
            </w:pPr>
          </w:p>
        </w:tc>
        <w:tc>
          <w:tcPr>
            <w:tcW w:w="40" w:type="dxa"/>
            <w:vAlign w:val="bottom"/>
            <w:tcBorders>
              <w:bottom w:val="single" w:sz="8" w:color="9D9D9C"/>
            </w:tcBorders>
            <w:shd w:val="clear" w:color="auto" w:fill="E5E7EF"/>
          </w:tcPr>
          <w:p>
            <w:pPr>
              <w:spacing w:after="0"/>
              <w:rPr>
                <w:sz w:val="5"/>
                <w:szCs w:val="5"/>
                <w:color w:val="auto"/>
              </w:rPr>
            </w:pPr>
          </w:p>
        </w:tc>
        <w:tc>
          <w:tcPr>
            <w:tcW w:w="780" w:type="dxa"/>
            <w:vAlign w:val="bottom"/>
            <w:tcBorders>
              <w:bottom w:val="single" w:sz="8" w:color="9D9D9C"/>
            </w:tcBorders>
            <w:shd w:val="clear" w:color="auto" w:fill="E5E7EF"/>
          </w:tcPr>
          <w:p>
            <w:pPr>
              <w:spacing w:after="0"/>
              <w:rPr>
                <w:sz w:val="5"/>
                <w:szCs w:val="5"/>
                <w:color w:val="auto"/>
              </w:rPr>
            </w:pPr>
          </w:p>
        </w:tc>
        <w:tc>
          <w:tcPr>
            <w:tcW w:w="940" w:type="dxa"/>
            <w:vAlign w:val="bottom"/>
            <w:tcBorders>
              <w:bottom w:val="single" w:sz="8" w:color="9D9D9C"/>
            </w:tcBorders>
            <w:shd w:val="clear" w:color="auto" w:fill="E5E7EF"/>
          </w:tcPr>
          <w:p>
            <w:pPr>
              <w:spacing w:after="0"/>
              <w:rPr>
                <w:sz w:val="5"/>
                <w:szCs w:val="5"/>
                <w:color w:val="auto"/>
              </w:rPr>
            </w:pPr>
          </w:p>
        </w:tc>
        <w:tc>
          <w:tcPr>
            <w:tcW w:w="1220" w:type="dxa"/>
            <w:vAlign w:val="bottom"/>
            <w:tcBorders>
              <w:bottom w:val="single" w:sz="8" w:color="9D9D9C"/>
            </w:tcBorders>
            <w:shd w:val="clear" w:color="auto" w:fill="E5E7EF"/>
          </w:tcPr>
          <w:p>
            <w:pPr>
              <w:spacing w:after="0"/>
              <w:rPr>
                <w:sz w:val="5"/>
                <w:szCs w:val="5"/>
                <w:color w:val="auto"/>
              </w:rPr>
            </w:pPr>
          </w:p>
        </w:tc>
        <w:tc>
          <w:tcPr>
            <w:tcW w:w="1140" w:type="dxa"/>
            <w:vAlign w:val="bottom"/>
            <w:tcBorders>
              <w:bottom w:val="single" w:sz="8" w:color="9D9D9C"/>
            </w:tcBorders>
            <w:shd w:val="clear" w:color="auto" w:fill="E5E7EF"/>
          </w:tcPr>
          <w:p>
            <w:pPr>
              <w:spacing w:after="0"/>
              <w:rPr>
                <w:sz w:val="5"/>
                <w:szCs w:val="5"/>
                <w:color w:val="auto"/>
              </w:rPr>
            </w:pPr>
          </w:p>
        </w:tc>
        <w:tc>
          <w:tcPr>
            <w:tcW w:w="1320" w:type="dxa"/>
            <w:vAlign w:val="bottom"/>
            <w:tcBorders>
              <w:bottom w:val="single" w:sz="8" w:color="9D9D9C"/>
            </w:tcBorders>
            <w:shd w:val="clear" w:color="auto" w:fill="E5E7EF"/>
          </w:tcPr>
          <w:p>
            <w:pPr>
              <w:spacing w:after="0"/>
              <w:rPr>
                <w:sz w:val="5"/>
                <w:szCs w:val="5"/>
                <w:color w:val="auto"/>
              </w:rPr>
            </w:pPr>
          </w:p>
        </w:tc>
        <w:tc>
          <w:tcPr>
            <w:tcW w:w="980" w:type="dxa"/>
            <w:vAlign w:val="bottom"/>
            <w:tcBorders>
              <w:bottom w:val="single" w:sz="8" w:color="9D9D9C"/>
            </w:tcBorders>
            <w:shd w:val="clear" w:color="auto" w:fill="E5E7E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300" w:type="dxa"/>
            <w:vAlign w:val="bottom"/>
          </w:tcPr>
          <w:p>
            <w:pPr>
              <w:ind w:left="20"/>
              <w:spacing w:after="0" w:line="156" w:lineRule="exact"/>
              <w:rPr>
                <w:sz w:val="20"/>
                <w:szCs w:val="20"/>
                <w:color w:val="auto"/>
              </w:rPr>
            </w:pPr>
            <w:r>
              <w:rPr>
                <w:rFonts w:ascii="Calibri" w:cs="Calibri" w:eastAsia="Calibri" w:hAnsi="Calibri"/>
                <w:sz w:val="14"/>
                <w:szCs w:val="14"/>
                <w:b w:val="1"/>
                <w:bCs w:val="1"/>
                <w:color w:val="23255E"/>
              </w:rPr>
              <w:t>Maryanne R. Lavan</w:t>
            </w:r>
          </w:p>
        </w:tc>
        <w:tc>
          <w:tcPr>
            <w:tcW w:w="700" w:type="dxa"/>
            <w:vAlign w:val="bottom"/>
          </w:tcPr>
          <w:p>
            <w:pPr>
              <w:jc w:val="right"/>
              <w:spacing w:after="0" w:line="156" w:lineRule="exact"/>
              <w:rPr>
                <w:sz w:val="20"/>
                <w:szCs w:val="20"/>
                <w:color w:val="auto"/>
              </w:rPr>
            </w:pPr>
            <w:r>
              <w:rPr>
                <w:rFonts w:ascii="Calibri" w:cs="Calibri" w:eastAsia="Calibri" w:hAnsi="Calibri"/>
                <w:sz w:val="14"/>
                <w:szCs w:val="14"/>
                <w:color w:val="auto"/>
              </w:rPr>
              <w:t>2022</w:t>
            </w:r>
          </w:p>
        </w:tc>
        <w:tc>
          <w:tcPr>
            <w:tcW w:w="820" w:type="dxa"/>
            <w:vAlign w:val="bottom"/>
          </w:tcPr>
          <w:p>
            <w:pPr>
              <w:jc w:val="right"/>
              <w:spacing w:after="0" w:line="156" w:lineRule="exact"/>
              <w:rPr>
                <w:sz w:val="20"/>
                <w:szCs w:val="20"/>
                <w:color w:val="auto"/>
              </w:rPr>
            </w:pPr>
            <w:r>
              <w:rPr>
                <w:rFonts w:ascii="Calibri" w:cs="Calibri" w:eastAsia="Calibri" w:hAnsi="Calibri"/>
                <w:sz w:val="14"/>
                <w:szCs w:val="14"/>
                <w:color w:val="auto"/>
              </w:rPr>
              <w:t>900,000</w:t>
            </w:r>
          </w:p>
        </w:tc>
        <w:tc>
          <w:tcPr>
            <w:tcW w:w="40" w:type="dxa"/>
            <w:vAlign w:val="bottom"/>
          </w:tcPr>
          <w:p>
            <w:pPr>
              <w:spacing w:after="0"/>
              <w:rPr>
                <w:sz w:val="13"/>
                <w:szCs w:val="13"/>
                <w:color w:val="auto"/>
              </w:rPr>
            </w:pPr>
          </w:p>
        </w:tc>
        <w:tc>
          <w:tcPr>
            <w:tcW w:w="780" w:type="dxa"/>
            <w:vAlign w:val="bottom"/>
          </w:tcPr>
          <w:p>
            <w:pPr>
              <w:jc w:val="right"/>
              <w:ind w:right="70"/>
              <w:spacing w:after="0" w:line="156" w:lineRule="exact"/>
              <w:rPr>
                <w:sz w:val="20"/>
                <w:szCs w:val="20"/>
                <w:color w:val="auto"/>
              </w:rPr>
            </w:pPr>
            <w:r>
              <w:rPr>
                <w:rFonts w:ascii="Calibri" w:cs="Calibri" w:eastAsia="Calibri" w:hAnsi="Calibri"/>
                <w:sz w:val="14"/>
                <w:szCs w:val="14"/>
                <w:color w:val="auto"/>
              </w:rPr>
              <w:t>—</w:t>
            </w:r>
          </w:p>
        </w:tc>
        <w:tc>
          <w:tcPr>
            <w:tcW w:w="940" w:type="dxa"/>
            <w:vAlign w:val="bottom"/>
          </w:tcPr>
          <w:p>
            <w:pPr>
              <w:jc w:val="right"/>
              <w:ind w:right="130"/>
              <w:spacing w:after="0" w:line="156" w:lineRule="exact"/>
              <w:rPr>
                <w:sz w:val="20"/>
                <w:szCs w:val="20"/>
                <w:color w:val="auto"/>
              </w:rPr>
            </w:pPr>
            <w:r>
              <w:rPr>
                <w:rFonts w:ascii="Calibri" w:cs="Calibri" w:eastAsia="Calibri" w:hAnsi="Calibri"/>
                <w:sz w:val="14"/>
                <w:szCs w:val="14"/>
                <w:color w:val="auto"/>
              </w:rPr>
              <w:t>3,219,560</w:t>
            </w:r>
          </w:p>
        </w:tc>
        <w:tc>
          <w:tcPr>
            <w:tcW w:w="1220" w:type="dxa"/>
            <w:vAlign w:val="bottom"/>
          </w:tcPr>
          <w:p>
            <w:pPr>
              <w:jc w:val="right"/>
              <w:ind w:right="131"/>
              <w:spacing w:after="0" w:line="156" w:lineRule="exact"/>
              <w:rPr>
                <w:sz w:val="20"/>
                <w:szCs w:val="20"/>
                <w:color w:val="auto"/>
              </w:rPr>
            </w:pPr>
            <w:r>
              <w:rPr>
                <w:rFonts w:ascii="Calibri" w:cs="Calibri" w:eastAsia="Calibri" w:hAnsi="Calibri"/>
                <w:sz w:val="14"/>
                <w:szCs w:val="14"/>
                <w:color w:val="auto"/>
              </w:rPr>
              <w:t>2,107,150</w:t>
            </w:r>
          </w:p>
        </w:tc>
        <w:tc>
          <w:tcPr>
            <w:tcW w:w="1140" w:type="dxa"/>
            <w:vAlign w:val="bottom"/>
          </w:tcPr>
          <w:p>
            <w:pPr>
              <w:jc w:val="right"/>
              <w:ind w:right="152"/>
              <w:spacing w:after="0" w:line="156" w:lineRule="exact"/>
              <w:rPr>
                <w:sz w:val="20"/>
                <w:szCs w:val="20"/>
                <w:color w:val="auto"/>
              </w:rPr>
            </w:pPr>
            <w:r>
              <w:rPr>
                <w:rFonts w:ascii="Calibri" w:cs="Calibri" w:eastAsia="Calibri" w:hAnsi="Calibri"/>
                <w:sz w:val="14"/>
                <w:szCs w:val="14"/>
                <w:color w:val="auto"/>
              </w:rPr>
              <w:t>—</w:t>
            </w:r>
          </w:p>
        </w:tc>
        <w:tc>
          <w:tcPr>
            <w:tcW w:w="1320" w:type="dxa"/>
            <w:vAlign w:val="bottom"/>
          </w:tcPr>
          <w:p>
            <w:pPr>
              <w:jc w:val="right"/>
              <w:ind w:right="230"/>
              <w:spacing w:after="0" w:line="156" w:lineRule="exact"/>
              <w:rPr>
                <w:sz w:val="20"/>
                <w:szCs w:val="20"/>
                <w:color w:val="auto"/>
              </w:rPr>
            </w:pPr>
            <w:r>
              <w:rPr>
                <w:rFonts w:ascii="Calibri" w:cs="Calibri" w:eastAsia="Calibri" w:hAnsi="Calibri"/>
                <w:sz w:val="14"/>
                <w:szCs w:val="14"/>
                <w:color w:val="auto"/>
              </w:rPr>
              <w:t>206,579</w:t>
            </w:r>
          </w:p>
        </w:tc>
        <w:tc>
          <w:tcPr>
            <w:tcW w:w="980" w:type="dxa"/>
            <w:vAlign w:val="bottom"/>
          </w:tcPr>
          <w:p>
            <w:pPr>
              <w:jc w:val="right"/>
              <w:spacing w:after="0" w:line="156" w:lineRule="exact"/>
              <w:rPr>
                <w:sz w:val="20"/>
                <w:szCs w:val="20"/>
                <w:color w:val="auto"/>
              </w:rPr>
            </w:pPr>
            <w:r>
              <w:rPr>
                <w:rFonts w:ascii="Calibri" w:cs="Calibri" w:eastAsia="Calibri" w:hAnsi="Calibri"/>
                <w:sz w:val="14"/>
                <w:szCs w:val="14"/>
                <w:color w:val="auto"/>
              </w:rPr>
              <w:t>6,433,289</w:t>
            </w:r>
          </w:p>
        </w:tc>
        <w:tc>
          <w:tcPr>
            <w:tcW w:w="0" w:type="dxa"/>
            <w:vAlign w:val="bottom"/>
          </w:tcPr>
          <w:p>
            <w:pPr>
              <w:spacing w:after="0"/>
              <w:rPr>
                <w:sz w:val="1"/>
                <w:szCs w:val="1"/>
                <w:color w:val="auto"/>
              </w:rPr>
            </w:pPr>
          </w:p>
        </w:tc>
      </w:tr>
      <w:tr>
        <w:trPr>
          <w:trHeight w:val="107"/>
        </w:trPr>
        <w:tc>
          <w:tcPr>
            <w:tcW w:w="3300" w:type="dxa"/>
            <w:vAlign w:val="bottom"/>
          </w:tcPr>
          <w:p>
            <w:pPr>
              <w:ind w:left="20"/>
              <w:spacing w:after="0" w:line="107" w:lineRule="exact"/>
              <w:rPr>
                <w:sz w:val="20"/>
                <w:szCs w:val="20"/>
                <w:color w:val="auto"/>
              </w:rPr>
            </w:pPr>
            <w:r>
              <w:rPr>
                <w:rFonts w:ascii="Calibri" w:cs="Calibri" w:eastAsia="Calibri" w:hAnsi="Calibri"/>
                <w:sz w:val="11"/>
                <w:szCs w:val="11"/>
                <w:color w:val="auto"/>
              </w:rPr>
              <w:t>Senior Vice President, General Counsel and</w:t>
            </w: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300" w:type="dxa"/>
            <w:vAlign w:val="bottom"/>
          </w:tcPr>
          <w:p>
            <w:pPr>
              <w:ind w:left="20"/>
              <w:spacing w:after="0"/>
              <w:rPr>
                <w:sz w:val="20"/>
                <w:szCs w:val="20"/>
                <w:color w:val="auto"/>
              </w:rPr>
            </w:pPr>
            <w:r>
              <w:rPr>
                <w:rFonts w:ascii="Calibri" w:cs="Calibri" w:eastAsia="Calibri" w:hAnsi="Calibri"/>
                <w:sz w:val="14"/>
                <w:szCs w:val="14"/>
                <w:color w:val="auto"/>
              </w:rPr>
              <w:t>Corporate Secretary</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3300" w:type="dxa"/>
            <w:vAlign w:val="bottom"/>
            <w:tcBorders>
              <w:bottom w:val="single" w:sz="8" w:color="9D9D9C"/>
            </w:tcBorders>
          </w:tcPr>
          <w:p>
            <w:pPr>
              <w:spacing w:after="0"/>
              <w:rPr>
                <w:sz w:val="5"/>
                <w:szCs w:val="5"/>
                <w:color w:val="auto"/>
              </w:rPr>
            </w:pPr>
          </w:p>
        </w:tc>
        <w:tc>
          <w:tcPr>
            <w:tcW w:w="700" w:type="dxa"/>
            <w:vAlign w:val="bottom"/>
            <w:tcBorders>
              <w:bottom w:val="single" w:sz="8" w:color="9D9D9C"/>
            </w:tcBorders>
          </w:tcPr>
          <w:p>
            <w:pPr>
              <w:spacing w:after="0"/>
              <w:rPr>
                <w:sz w:val="5"/>
                <w:szCs w:val="5"/>
                <w:color w:val="auto"/>
              </w:rPr>
            </w:pPr>
          </w:p>
        </w:tc>
        <w:tc>
          <w:tcPr>
            <w:tcW w:w="820" w:type="dxa"/>
            <w:vAlign w:val="bottom"/>
            <w:tcBorders>
              <w:bottom w:val="single" w:sz="8" w:color="9D9D9C"/>
            </w:tcBorders>
          </w:tcPr>
          <w:p>
            <w:pPr>
              <w:spacing w:after="0"/>
              <w:rPr>
                <w:sz w:val="5"/>
                <w:szCs w:val="5"/>
                <w:color w:val="auto"/>
              </w:rPr>
            </w:pPr>
          </w:p>
        </w:tc>
        <w:tc>
          <w:tcPr>
            <w:tcW w:w="40" w:type="dxa"/>
            <w:vAlign w:val="bottom"/>
            <w:tcBorders>
              <w:bottom w:val="single" w:sz="8" w:color="9D9D9C"/>
            </w:tcBorders>
          </w:tcPr>
          <w:p>
            <w:pPr>
              <w:spacing w:after="0"/>
              <w:rPr>
                <w:sz w:val="5"/>
                <w:szCs w:val="5"/>
                <w:color w:val="auto"/>
              </w:rPr>
            </w:pPr>
          </w:p>
        </w:tc>
        <w:tc>
          <w:tcPr>
            <w:tcW w:w="780" w:type="dxa"/>
            <w:vAlign w:val="bottom"/>
            <w:tcBorders>
              <w:bottom w:val="single" w:sz="8" w:color="9D9D9C"/>
            </w:tcBorders>
          </w:tcPr>
          <w:p>
            <w:pPr>
              <w:spacing w:after="0"/>
              <w:rPr>
                <w:sz w:val="5"/>
                <w:szCs w:val="5"/>
                <w:color w:val="auto"/>
              </w:rPr>
            </w:pPr>
          </w:p>
        </w:tc>
        <w:tc>
          <w:tcPr>
            <w:tcW w:w="940" w:type="dxa"/>
            <w:vAlign w:val="bottom"/>
            <w:tcBorders>
              <w:bottom w:val="single" w:sz="8" w:color="9D9D9C"/>
            </w:tcBorders>
          </w:tcPr>
          <w:p>
            <w:pPr>
              <w:spacing w:after="0"/>
              <w:rPr>
                <w:sz w:val="5"/>
                <w:szCs w:val="5"/>
                <w:color w:val="auto"/>
              </w:rPr>
            </w:pPr>
          </w:p>
        </w:tc>
        <w:tc>
          <w:tcPr>
            <w:tcW w:w="1220" w:type="dxa"/>
            <w:vAlign w:val="bottom"/>
            <w:tcBorders>
              <w:bottom w:val="single" w:sz="8" w:color="9D9D9C"/>
            </w:tcBorders>
          </w:tcPr>
          <w:p>
            <w:pPr>
              <w:spacing w:after="0"/>
              <w:rPr>
                <w:sz w:val="5"/>
                <w:szCs w:val="5"/>
                <w:color w:val="auto"/>
              </w:rPr>
            </w:pPr>
          </w:p>
        </w:tc>
        <w:tc>
          <w:tcPr>
            <w:tcW w:w="1140" w:type="dxa"/>
            <w:vAlign w:val="bottom"/>
            <w:tcBorders>
              <w:bottom w:val="single" w:sz="8" w:color="9D9D9C"/>
            </w:tcBorders>
          </w:tcPr>
          <w:p>
            <w:pPr>
              <w:spacing w:after="0"/>
              <w:rPr>
                <w:sz w:val="5"/>
                <w:szCs w:val="5"/>
                <w:color w:val="auto"/>
              </w:rPr>
            </w:pPr>
          </w:p>
        </w:tc>
        <w:tc>
          <w:tcPr>
            <w:tcW w:w="1320" w:type="dxa"/>
            <w:vAlign w:val="bottom"/>
            <w:tcBorders>
              <w:bottom w:val="single" w:sz="8" w:color="9D9D9C"/>
            </w:tcBorders>
          </w:tcPr>
          <w:p>
            <w:pPr>
              <w:spacing w:after="0"/>
              <w:rPr>
                <w:sz w:val="5"/>
                <w:szCs w:val="5"/>
                <w:color w:val="auto"/>
              </w:rPr>
            </w:pPr>
          </w:p>
        </w:tc>
        <w:tc>
          <w:tcPr>
            <w:tcW w:w="980" w:type="dxa"/>
            <w:vAlign w:val="bottom"/>
            <w:tcBorders>
              <w:bottom w:val="single" w:sz="8" w:color="9D9D9C"/>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300" w:type="dxa"/>
            <w:vAlign w:val="bottom"/>
          </w:tcPr>
          <w:p>
            <w:pPr>
              <w:ind w:left="20"/>
              <w:spacing w:after="0" w:line="156" w:lineRule="exact"/>
              <w:rPr>
                <w:sz w:val="20"/>
                <w:szCs w:val="20"/>
                <w:color w:val="auto"/>
              </w:rPr>
            </w:pPr>
            <w:r>
              <w:rPr>
                <w:rFonts w:ascii="Calibri" w:cs="Calibri" w:eastAsia="Calibri" w:hAnsi="Calibri"/>
                <w:sz w:val="14"/>
                <w:szCs w:val="14"/>
                <w:b w:val="1"/>
                <w:bCs w:val="1"/>
                <w:color w:val="23255E"/>
              </w:rPr>
              <w:t>Gregory M. Ulmer</w:t>
            </w:r>
          </w:p>
        </w:tc>
        <w:tc>
          <w:tcPr>
            <w:tcW w:w="700" w:type="dxa"/>
            <w:vAlign w:val="bottom"/>
            <w:shd w:val="clear" w:color="auto" w:fill="E5E7EF"/>
          </w:tcPr>
          <w:p>
            <w:pPr>
              <w:jc w:val="right"/>
              <w:spacing w:after="0" w:line="156" w:lineRule="exact"/>
              <w:rPr>
                <w:sz w:val="20"/>
                <w:szCs w:val="20"/>
                <w:color w:val="auto"/>
              </w:rPr>
            </w:pPr>
            <w:r>
              <w:rPr>
                <w:rFonts w:ascii="Calibri" w:cs="Calibri" w:eastAsia="Calibri" w:hAnsi="Calibri"/>
                <w:sz w:val="14"/>
                <w:szCs w:val="14"/>
                <w:color w:val="auto"/>
              </w:rPr>
              <w:t>2022</w:t>
            </w:r>
          </w:p>
        </w:tc>
        <w:tc>
          <w:tcPr>
            <w:tcW w:w="820" w:type="dxa"/>
            <w:vAlign w:val="bottom"/>
            <w:shd w:val="clear" w:color="auto" w:fill="E4E6EF"/>
          </w:tcPr>
          <w:p>
            <w:pPr>
              <w:jc w:val="right"/>
              <w:spacing w:after="0" w:line="156" w:lineRule="exact"/>
              <w:rPr>
                <w:sz w:val="20"/>
                <w:szCs w:val="20"/>
                <w:color w:val="auto"/>
              </w:rPr>
            </w:pPr>
            <w:r>
              <w:rPr>
                <w:rFonts w:ascii="Calibri" w:cs="Calibri" w:eastAsia="Calibri" w:hAnsi="Calibri"/>
                <w:sz w:val="14"/>
                <w:szCs w:val="14"/>
                <w:color w:val="auto"/>
              </w:rPr>
              <w:t>983,558</w:t>
            </w:r>
          </w:p>
        </w:tc>
        <w:tc>
          <w:tcPr>
            <w:tcW w:w="40" w:type="dxa"/>
            <w:vAlign w:val="bottom"/>
            <w:shd w:val="clear" w:color="auto" w:fill="E4E6EF"/>
          </w:tcPr>
          <w:p>
            <w:pPr>
              <w:spacing w:after="0"/>
              <w:rPr>
                <w:sz w:val="13"/>
                <w:szCs w:val="13"/>
                <w:color w:val="auto"/>
              </w:rPr>
            </w:pPr>
          </w:p>
        </w:tc>
        <w:tc>
          <w:tcPr>
            <w:tcW w:w="780" w:type="dxa"/>
            <w:vAlign w:val="bottom"/>
            <w:shd w:val="clear" w:color="auto" w:fill="E4E6EF"/>
          </w:tcPr>
          <w:p>
            <w:pPr>
              <w:jc w:val="right"/>
              <w:ind w:right="70"/>
              <w:spacing w:after="0" w:line="156" w:lineRule="exact"/>
              <w:rPr>
                <w:sz w:val="20"/>
                <w:szCs w:val="20"/>
                <w:color w:val="auto"/>
              </w:rPr>
            </w:pPr>
            <w:r>
              <w:rPr>
                <w:rFonts w:ascii="Calibri" w:cs="Calibri" w:eastAsia="Calibri" w:hAnsi="Calibri"/>
                <w:sz w:val="14"/>
                <w:szCs w:val="14"/>
                <w:color w:val="auto"/>
              </w:rPr>
              <w:t>—</w:t>
            </w:r>
          </w:p>
        </w:tc>
        <w:tc>
          <w:tcPr>
            <w:tcW w:w="940" w:type="dxa"/>
            <w:vAlign w:val="bottom"/>
            <w:shd w:val="clear" w:color="auto" w:fill="E4E6EF"/>
          </w:tcPr>
          <w:p>
            <w:pPr>
              <w:jc w:val="right"/>
              <w:ind w:right="130"/>
              <w:spacing w:after="0" w:line="156" w:lineRule="exact"/>
              <w:rPr>
                <w:sz w:val="20"/>
                <w:szCs w:val="20"/>
                <w:color w:val="auto"/>
              </w:rPr>
            </w:pPr>
            <w:r>
              <w:rPr>
                <w:rFonts w:ascii="Calibri" w:cs="Calibri" w:eastAsia="Calibri" w:hAnsi="Calibri"/>
                <w:sz w:val="14"/>
                <w:szCs w:val="14"/>
                <w:color w:val="auto"/>
              </w:rPr>
              <w:t>3,577,299</w:t>
            </w:r>
          </w:p>
        </w:tc>
        <w:tc>
          <w:tcPr>
            <w:tcW w:w="1220" w:type="dxa"/>
            <w:vAlign w:val="bottom"/>
            <w:shd w:val="clear" w:color="auto" w:fill="E4E6EF"/>
          </w:tcPr>
          <w:p>
            <w:pPr>
              <w:jc w:val="right"/>
              <w:ind w:right="131"/>
              <w:spacing w:after="0" w:line="156" w:lineRule="exact"/>
              <w:rPr>
                <w:sz w:val="20"/>
                <w:szCs w:val="20"/>
                <w:color w:val="auto"/>
              </w:rPr>
            </w:pPr>
            <w:r>
              <w:rPr>
                <w:rFonts w:ascii="Calibri" w:cs="Calibri" w:eastAsia="Calibri" w:hAnsi="Calibri"/>
                <w:sz w:val="14"/>
                <w:szCs w:val="14"/>
                <w:color w:val="auto"/>
              </w:rPr>
              <w:t>1,830,100</w:t>
            </w:r>
          </w:p>
        </w:tc>
        <w:tc>
          <w:tcPr>
            <w:tcW w:w="1140" w:type="dxa"/>
            <w:vAlign w:val="bottom"/>
            <w:shd w:val="clear" w:color="auto" w:fill="E4E6EF"/>
          </w:tcPr>
          <w:p>
            <w:pPr>
              <w:jc w:val="right"/>
              <w:ind w:right="152"/>
              <w:spacing w:after="0" w:line="156" w:lineRule="exact"/>
              <w:rPr>
                <w:sz w:val="20"/>
                <w:szCs w:val="20"/>
                <w:color w:val="auto"/>
              </w:rPr>
            </w:pPr>
            <w:r>
              <w:rPr>
                <w:rFonts w:ascii="Calibri" w:cs="Calibri" w:eastAsia="Calibri" w:hAnsi="Calibri"/>
                <w:sz w:val="14"/>
                <w:szCs w:val="14"/>
                <w:color w:val="auto"/>
              </w:rPr>
              <w:t>5</w:t>
            </w:r>
          </w:p>
        </w:tc>
        <w:tc>
          <w:tcPr>
            <w:tcW w:w="1320" w:type="dxa"/>
            <w:vAlign w:val="bottom"/>
            <w:shd w:val="clear" w:color="auto" w:fill="E4E6EF"/>
          </w:tcPr>
          <w:p>
            <w:pPr>
              <w:jc w:val="right"/>
              <w:ind w:right="230"/>
              <w:spacing w:after="0" w:line="156" w:lineRule="exact"/>
              <w:rPr>
                <w:sz w:val="20"/>
                <w:szCs w:val="20"/>
                <w:color w:val="auto"/>
              </w:rPr>
            </w:pPr>
            <w:r>
              <w:rPr>
                <w:rFonts w:ascii="Calibri" w:cs="Calibri" w:eastAsia="Calibri" w:hAnsi="Calibri"/>
                <w:sz w:val="14"/>
                <w:szCs w:val="14"/>
                <w:color w:val="auto"/>
              </w:rPr>
              <w:t>164,526</w:t>
            </w:r>
          </w:p>
        </w:tc>
        <w:tc>
          <w:tcPr>
            <w:tcW w:w="980" w:type="dxa"/>
            <w:vAlign w:val="bottom"/>
            <w:shd w:val="clear" w:color="auto" w:fill="E4E6EF"/>
          </w:tcPr>
          <w:p>
            <w:pPr>
              <w:jc w:val="right"/>
              <w:spacing w:after="0" w:line="156" w:lineRule="exact"/>
              <w:rPr>
                <w:sz w:val="20"/>
                <w:szCs w:val="20"/>
                <w:color w:val="auto"/>
              </w:rPr>
            </w:pPr>
            <w:r>
              <w:rPr>
                <w:rFonts w:ascii="Calibri" w:cs="Calibri" w:eastAsia="Calibri" w:hAnsi="Calibri"/>
                <w:sz w:val="14"/>
                <w:szCs w:val="14"/>
                <w:color w:val="auto"/>
              </w:rPr>
              <w:t>6,555,488</w:t>
            </w:r>
          </w:p>
        </w:tc>
        <w:tc>
          <w:tcPr>
            <w:tcW w:w="0" w:type="dxa"/>
            <w:vAlign w:val="bottom"/>
          </w:tcPr>
          <w:p>
            <w:pPr>
              <w:spacing w:after="0"/>
              <w:rPr>
                <w:sz w:val="1"/>
                <w:szCs w:val="1"/>
                <w:color w:val="auto"/>
              </w:rPr>
            </w:pPr>
          </w:p>
        </w:tc>
      </w:tr>
      <w:tr>
        <w:trPr>
          <w:trHeight w:val="170"/>
        </w:trPr>
        <w:tc>
          <w:tcPr>
            <w:tcW w:w="3300" w:type="dxa"/>
            <w:vAlign w:val="bottom"/>
          </w:tcPr>
          <w:p>
            <w:pPr>
              <w:ind w:left="20"/>
              <w:spacing w:after="0"/>
              <w:rPr>
                <w:sz w:val="20"/>
                <w:szCs w:val="20"/>
                <w:color w:val="auto"/>
              </w:rPr>
            </w:pPr>
            <w:r>
              <w:rPr>
                <w:rFonts w:ascii="Calibri" w:cs="Calibri" w:eastAsia="Calibri" w:hAnsi="Calibri"/>
                <w:sz w:val="14"/>
                <w:szCs w:val="14"/>
                <w:color w:val="auto"/>
              </w:rPr>
              <w:t>Executve Vice President, Aeronautcs</w:t>
            </w:r>
          </w:p>
        </w:tc>
        <w:tc>
          <w:tcPr>
            <w:tcW w:w="700" w:type="dxa"/>
            <w:vAlign w:val="bottom"/>
            <w:shd w:val="clear" w:color="auto" w:fill="E5E7EF"/>
          </w:tcPr>
          <w:p>
            <w:pPr>
              <w:spacing w:after="0"/>
              <w:rPr>
                <w:sz w:val="14"/>
                <w:szCs w:val="14"/>
                <w:color w:val="auto"/>
              </w:rPr>
            </w:pPr>
          </w:p>
        </w:tc>
        <w:tc>
          <w:tcPr>
            <w:tcW w:w="820" w:type="dxa"/>
            <w:vAlign w:val="bottom"/>
            <w:shd w:val="clear" w:color="auto" w:fill="E4E6EF"/>
          </w:tcPr>
          <w:p>
            <w:pPr>
              <w:spacing w:after="0"/>
              <w:rPr>
                <w:sz w:val="14"/>
                <w:szCs w:val="14"/>
                <w:color w:val="auto"/>
              </w:rPr>
            </w:pPr>
          </w:p>
        </w:tc>
        <w:tc>
          <w:tcPr>
            <w:tcW w:w="40" w:type="dxa"/>
            <w:vAlign w:val="bottom"/>
            <w:shd w:val="clear" w:color="auto" w:fill="E4E6EF"/>
          </w:tcPr>
          <w:p>
            <w:pPr>
              <w:spacing w:after="0"/>
              <w:rPr>
                <w:sz w:val="14"/>
                <w:szCs w:val="14"/>
                <w:color w:val="auto"/>
              </w:rPr>
            </w:pPr>
          </w:p>
        </w:tc>
        <w:tc>
          <w:tcPr>
            <w:tcW w:w="780" w:type="dxa"/>
            <w:vAlign w:val="bottom"/>
            <w:shd w:val="clear" w:color="auto" w:fill="E4E6EF"/>
          </w:tcPr>
          <w:p>
            <w:pPr>
              <w:spacing w:after="0"/>
              <w:rPr>
                <w:sz w:val="14"/>
                <w:szCs w:val="14"/>
                <w:color w:val="auto"/>
              </w:rPr>
            </w:pPr>
          </w:p>
        </w:tc>
        <w:tc>
          <w:tcPr>
            <w:tcW w:w="940" w:type="dxa"/>
            <w:vAlign w:val="bottom"/>
            <w:shd w:val="clear" w:color="auto" w:fill="E4E6EF"/>
          </w:tcPr>
          <w:p>
            <w:pPr>
              <w:spacing w:after="0"/>
              <w:rPr>
                <w:sz w:val="14"/>
                <w:szCs w:val="14"/>
                <w:color w:val="auto"/>
              </w:rPr>
            </w:pPr>
          </w:p>
        </w:tc>
        <w:tc>
          <w:tcPr>
            <w:tcW w:w="1220" w:type="dxa"/>
            <w:vAlign w:val="bottom"/>
            <w:shd w:val="clear" w:color="auto" w:fill="E4E6EF"/>
          </w:tcPr>
          <w:p>
            <w:pPr>
              <w:spacing w:after="0"/>
              <w:rPr>
                <w:sz w:val="14"/>
                <w:szCs w:val="14"/>
                <w:color w:val="auto"/>
              </w:rPr>
            </w:pPr>
          </w:p>
        </w:tc>
        <w:tc>
          <w:tcPr>
            <w:tcW w:w="1140" w:type="dxa"/>
            <w:vAlign w:val="bottom"/>
            <w:shd w:val="clear" w:color="auto" w:fill="E4E6EF"/>
          </w:tcPr>
          <w:p>
            <w:pPr>
              <w:spacing w:after="0"/>
              <w:rPr>
                <w:sz w:val="14"/>
                <w:szCs w:val="14"/>
                <w:color w:val="auto"/>
              </w:rPr>
            </w:pPr>
          </w:p>
        </w:tc>
        <w:tc>
          <w:tcPr>
            <w:tcW w:w="1320" w:type="dxa"/>
            <w:vAlign w:val="bottom"/>
            <w:shd w:val="clear" w:color="auto" w:fill="E4E6EF"/>
          </w:tcPr>
          <w:p>
            <w:pPr>
              <w:spacing w:after="0"/>
              <w:rPr>
                <w:sz w:val="14"/>
                <w:szCs w:val="14"/>
                <w:color w:val="auto"/>
              </w:rPr>
            </w:pPr>
          </w:p>
        </w:tc>
        <w:tc>
          <w:tcPr>
            <w:tcW w:w="980" w:type="dxa"/>
            <w:vAlign w:val="bottom"/>
            <w:shd w:val="clear" w:color="auto" w:fill="E4E6E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300" w:type="dxa"/>
            <w:vAlign w:val="bottom"/>
            <w:tcBorders>
              <w:bottom w:val="single" w:sz="8" w:color="929292"/>
            </w:tcBorders>
          </w:tcPr>
          <w:p>
            <w:pPr>
              <w:spacing w:after="0"/>
              <w:rPr>
                <w:sz w:val="11"/>
                <w:szCs w:val="11"/>
                <w:color w:val="auto"/>
              </w:rPr>
            </w:pPr>
          </w:p>
        </w:tc>
        <w:tc>
          <w:tcPr>
            <w:tcW w:w="700" w:type="dxa"/>
            <w:vAlign w:val="bottom"/>
            <w:tcBorders>
              <w:bottom w:val="single" w:sz="8" w:color="9D9D9C"/>
            </w:tcBorders>
            <w:shd w:val="clear" w:color="auto" w:fill="E5E7EF"/>
          </w:tcPr>
          <w:p>
            <w:pPr>
              <w:spacing w:after="0"/>
              <w:rPr>
                <w:sz w:val="11"/>
                <w:szCs w:val="11"/>
                <w:color w:val="auto"/>
              </w:rPr>
            </w:pPr>
          </w:p>
        </w:tc>
        <w:tc>
          <w:tcPr>
            <w:tcW w:w="820" w:type="dxa"/>
            <w:vAlign w:val="bottom"/>
            <w:tcBorders>
              <w:bottom w:val="single" w:sz="8" w:color="9D9D9C"/>
            </w:tcBorders>
            <w:shd w:val="clear" w:color="auto" w:fill="E4E6EF"/>
          </w:tcPr>
          <w:p>
            <w:pPr>
              <w:spacing w:after="0"/>
              <w:rPr>
                <w:sz w:val="11"/>
                <w:szCs w:val="11"/>
                <w:color w:val="auto"/>
              </w:rPr>
            </w:pPr>
          </w:p>
        </w:tc>
        <w:tc>
          <w:tcPr>
            <w:tcW w:w="40" w:type="dxa"/>
            <w:vAlign w:val="bottom"/>
            <w:tcBorders>
              <w:bottom w:val="single" w:sz="8" w:color="9D9D9C"/>
            </w:tcBorders>
            <w:shd w:val="clear" w:color="auto" w:fill="E4E6EF"/>
          </w:tcPr>
          <w:p>
            <w:pPr>
              <w:spacing w:after="0"/>
              <w:rPr>
                <w:sz w:val="11"/>
                <w:szCs w:val="11"/>
                <w:color w:val="auto"/>
              </w:rPr>
            </w:pPr>
          </w:p>
        </w:tc>
        <w:tc>
          <w:tcPr>
            <w:tcW w:w="780" w:type="dxa"/>
            <w:vAlign w:val="bottom"/>
            <w:tcBorders>
              <w:bottom w:val="single" w:sz="8" w:color="9D9D9C"/>
            </w:tcBorders>
            <w:shd w:val="clear" w:color="auto" w:fill="E4E6EF"/>
          </w:tcPr>
          <w:p>
            <w:pPr>
              <w:spacing w:after="0"/>
              <w:rPr>
                <w:sz w:val="11"/>
                <w:szCs w:val="11"/>
                <w:color w:val="auto"/>
              </w:rPr>
            </w:pPr>
          </w:p>
        </w:tc>
        <w:tc>
          <w:tcPr>
            <w:tcW w:w="940" w:type="dxa"/>
            <w:vAlign w:val="bottom"/>
            <w:tcBorders>
              <w:bottom w:val="single" w:sz="8" w:color="9D9D9C"/>
            </w:tcBorders>
            <w:shd w:val="clear" w:color="auto" w:fill="E4E6EF"/>
          </w:tcPr>
          <w:p>
            <w:pPr>
              <w:spacing w:after="0"/>
              <w:rPr>
                <w:sz w:val="11"/>
                <w:szCs w:val="11"/>
                <w:color w:val="auto"/>
              </w:rPr>
            </w:pPr>
          </w:p>
        </w:tc>
        <w:tc>
          <w:tcPr>
            <w:tcW w:w="1220" w:type="dxa"/>
            <w:vAlign w:val="bottom"/>
            <w:tcBorders>
              <w:bottom w:val="single" w:sz="8" w:color="9D9D9C"/>
            </w:tcBorders>
            <w:shd w:val="clear" w:color="auto" w:fill="E4E6EF"/>
          </w:tcPr>
          <w:p>
            <w:pPr>
              <w:spacing w:after="0"/>
              <w:rPr>
                <w:sz w:val="11"/>
                <w:szCs w:val="11"/>
                <w:color w:val="auto"/>
              </w:rPr>
            </w:pPr>
          </w:p>
        </w:tc>
        <w:tc>
          <w:tcPr>
            <w:tcW w:w="1140" w:type="dxa"/>
            <w:vAlign w:val="bottom"/>
            <w:tcBorders>
              <w:bottom w:val="single" w:sz="8" w:color="9D9D9C"/>
            </w:tcBorders>
            <w:shd w:val="clear" w:color="auto" w:fill="E4E6EF"/>
          </w:tcPr>
          <w:p>
            <w:pPr>
              <w:spacing w:after="0"/>
              <w:rPr>
                <w:sz w:val="11"/>
                <w:szCs w:val="11"/>
                <w:color w:val="auto"/>
              </w:rPr>
            </w:pPr>
          </w:p>
        </w:tc>
        <w:tc>
          <w:tcPr>
            <w:tcW w:w="1320" w:type="dxa"/>
            <w:vAlign w:val="bottom"/>
            <w:tcBorders>
              <w:bottom w:val="single" w:sz="8" w:color="9D9D9C"/>
            </w:tcBorders>
            <w:shd w:val="clear" w:color="auto" w:fill="E4E6EF"/>
          </w:tcPr>
          <w:p>
            <w:pPr>
              <w:spacing w:after="0"/>
              <w:rPr>
                <w:sz w:val="11"/>
                <w:szCs w:val="11"/>
                <w:color w:val="auto"/>
              </w:rPr>
            </w:pPr>
          </w:p>
        </w:tc>
        <w:tc>
          <w:tcPr>
            <w:tcW w:w="980" w:type="dxa"/>
            <w:vAlign w:val="bottom"/>
            <w:tcBorders>
              <w:bottom w:val="single" w:sz="8" w:color="9D9D9C"/>
            </w:tcBorders>
            <w:shd w:val="clear" w:color="auto" w:fill="E4E6EF"/>
          </w:tcPr>
          <w:p>
            <w:pPr>
              <w:spacing w:after="0"/>
              <w:rPr>
                <w:sz w:val="11"/>
                <w:szCs w:val="1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40" w:hanging="232"/>
        <w:spacing w:after="0"/>
        <w:tabs>
          <w:tab w:leader="none" w:pos="240" w:val="left"/>
        </w:tabs>
        <w:numPr>
          <w:ilvl w:val="0"/>
          <w:numId w:val="84"/>
        </w:numPr>
        <w:rPr>
          <w:rFonts w:ascii="Calibri" w:cs="Calibri" w:eastAsia="Calibri" w:hAnsi="Calibri"/>
          <w:sz w:val="19"/>
          <w:szCs w:val="19"/>
          <w:color w:val="auto"/>
          <w:vertAlign w:val="superscript"/>
        </w:rPr>
      </w:pPr>
      <w:r>
        <w:rPr>
          <w:rFonts w:ascii="Calibri" w:cs="Calibri" w:eastAsia="Calibri" w:hAnsi="Calibri"/>
          <w:sz w:val="14"/>
          <w:szCs w:val="14"/>
          <w:color w:val="auto"/>
        </w:rPr>
        <w:t>Informaton is provided for Mr. Malave, Mr. Greene, Ms. Lavan and Mr. Ulmer for 2022 only and for Mr. Mollard for 2022 and 2021 only because they were not NEOs in prior years.</w:t>
      </w:r>
    </w:p>
    <w:p>
      <w:pPr>
        <w:spacing w:after="0" w:line="73" w:lineRule="exact"/>
        <w:rPr>
          <w:rFonts w:ascii="Calibri" w:cs="Calibri" w:eastAsia="Calibri" w:hAnsi="Calibri"/>
          <w:sz w:val="19"/>
          <w:szCs w:val="19"/>
          <w:color w:val="auto"/>
          <w:vertAlign w:val="superscript"/>
        </w:rPr>
      </w:pPr>
    </w:p>
    <w:p>
      <w:pPr>
        <w:ind w:left="260" w:right="120" w:hanging="252"/>
        <w:spacing w:after="0" w:line="213" w:lineRule="auto"/>
        <w:tabs>
          <w:tab w:leader="none" w:pos="256" w:val="left"/>
        </w:tabs>
        <w:numPr>
          <w:ilvl w:val="0"/>
          <w:numId w:val="84"/>
        </w:numPr>
        <w:rPr>
          <w:rFonts w:ascii="Calibri" w:cs="Calibri" w:eastAsia="Calibri" w:hAnsi="Calibri"/>
          <w:sz w:val="19"/>
          <w:szCs w:val="19"/>
          <w:color w:val="auto"/>
          <w:vertAlign w:val="superscript"/>
        </w:rPr>
      </w:pPr>
      <w:r>
        <w:rPr>
          <w:rFonts w:ascii="Calibri" w:cs="Calibri" w:eastAsia="Calibri" w:hAnsi="Calibri"/>
          <w:sz w:val="14"/>
          <w:szCs w:val="14"/>
          <w:color w:val="auto"/>
        </w:rPr>
        <w:t>Salary is paid weekly in arrears. The amount reported may vary from the approved annual rate of pay because the salary reported in the table is based on the actual number of weekly pay periods in a year. Mr. Malave’s employment began January 31, 2022. Amounts for 2022 include payments of cash in lieu of vacaton for Mr. St. John ($38,462) and Mr. Ulmer ($18,558).</w:t>
      </w:r>
    </w:p>
    <w:p>
      <w:pPr>
        <w:spacing w:after="0" w:line="74" w:lineRule="exact"/>
        <w:rPr>
          <w:rFonts w:ascii="Calibri" w:cs="Calibri" w:eastAsia="Calibri" w:hAnsi="Calibri"/>
          <w:sz w:val="19"/>
          <w:szCs w:val="19"/>
          <w:color w:val="auto"/>
          <w:vertAlign w:val="superscript"/>
        </w:rPr>
      </w:pPr>
    </w:p>
    <w:p>
      <w:pPr>
        <w:ind w:left="260" w:right="300" w:hanging="252"/>
        <w:spacing w:after="0" w:line="213" w:lineRule="auto"/>
        <w:tabs>
          <w:tab w:leader="none" w:pos="256" w:val="left"/>
        </w:tabs>
        <w:numPr>
          <w:ilvl w:val="0"/>
          <w:numId w:val="84"/>
        </w:numPr>
        <w:rPr>
          <w:rFonts w:ascii="Calibri" w:cs="Calibri" w:eastAsia="Calibri" w:hAnsi="Calibri"/>
          <w:sz w:val="19"/>
          <w:szCs w:val="19"/>
          <w:color w:val="auto"/>
          <w:vertAlign w:val="superscript"/>
        </w:rPr>
      </w:pPr>
      <w:r>
        <w:rPr>
          <w:rFonts w:ascii="Calibri" w:cs="Calibri" w:eastAsia="Calibri" w:hAnsi="Calibri"/>
          <w:sz w:val="14"/>
          <w:szCs w:val="14"/>
          <w:color w:val="auto"/>
        </w:rPr>
        <w:t>Mr. Malave received a one-tme cash sign-on bonus of $750,000 to ofset a forfeited 2021 annual incentve payout from his prior employer. Mr. Mollard was awarded a special one-tme cash bonus of $400,000 in February 2022 to compensate him for his performance and service during 2021 as Actng Chief Financial Ofcer.</w:t>
      </w:r>
    </w:p>
    <w:p>
      <w:pPr>
        <w:spacing w:after="0" w:line="60" w:lineRule="exact"/>
        <w:rPr>
          <w:rFonts w:ascii="Calibri" w:cs="Calibri" w:eastAsia="Calibri" w:hAnsi="Calibri"/>
          <w:sz w:val="19"/>
          <w:szCs w:val="19"/>
          <w:color w:val="auto"/>
          <w:vertAlign w:val="superscript"/>
        </w:rPr>
      </w:pPr>
    </w:p>
    <w:p>
      <w:pPr>
        <w:ind w:left="260" w:right="540" w:hanging="252"/>
        <w:spacing w:after="0" w:line="213" w:lineRule="auto"/>
        <w:tabs>
          <w:tab w:leader="none" w:pos="256" w:val="left"/>
        </w:tabs>
        <w:numPr>
          <w:ilvl w:val="0"/>
          <w:numId w:val="84"/>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Amounts reported in the </w:t>
      </w:r>
      <w:r>
        <w:rPr>
          <w:rFonts w:ascii="Calibri" w:cs="Calibri" w:eastAsia="Calibri" w:hAnsi="Calibri"/>
          <w:sz w:val="14"/>
          <w:szCs w:val="14"/>
          <w:b w:val="1"/>
          <w:bCs w:val="1"/>
          <w:color w:val="auto"/>
        </w:rPr>
        <w:t>Stock Awards</w:t>
      </w:r>
      <w:r>
        <w:rPr>
          <w:rFonts w:ascii="Calibri" w:cs="Calibri" w:eastAsia="Calibri" w:hAnsi="Calibri"/>
          <w:sz w:val="14"/>
          <w:szCs w:val="14"/>
          <w:color w:val="auto"/>
        </w:rPr>
        <w:t xml:space="preserve"> column represent the aggregate grant date fair value computed in accordance with Financial Accountng Standards Board (FASB) Accountng Standards Codifcaton Topic 718 (ASC 718) for RSUs and PSUs granted in 2022, 2021 and 2020, disregarding potental forfeitures based on service requirements.</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7800" w:type="dxa"/>
            <w:vAlign w:val="bottom"/>
            <w:shd w:val="clear" w:color="auto" w:fill="E5E7EF"/>
          </w:tcPr>
          <w:p>
            <w:pPr>
              <w:spacing w:after="0"/>
              <w:rPr>
                <w:sz w:val="13"/>
                <w:szCs w:val="13"/>
                <w:color w:val="auto"/>
              </w:rPr>
            </w:pPr>
          </w:p>
        </w:tc>
        <w:tc>
          <w:tcPr>
            <w:tcW w:w="1680" w:type="dxa"/>
            <w:vAlign w:val="bottom"/>
            <w:shd w:val="clear" w:color="auto" w:fill="E5E7EF"/>
          </w:tcPr>
          <w:p>
            <w:pPr>
              <w:jc w:val="right"/>
              <w:ind w:right="191"/>
              <w:spacing w:after="0"/>
              <w:rPr>
                <w:sz w:val="20"/>
                <w:szCs w:val="20"/>
                <w:color w:val="auto"/>
              </w:rPr>
            </w:pPr>
            <w:r>
              <w:rPr>
                <w:rFonts w:ascii="Arial" w:cs="Arial" w:eastAsia="Arial" w:hAnsi="Arial"/>
                <w:sz w:val="13"/>
                <w:szCs w:val="13"/>
                <w:color w:val="auto"/>
              </w:rPr>
              <w:t>2022 Aggregate</w:t>
            </w:r>
          </w:p>
        </w:tc>
        <w:tc>
          <w:tcPr>
            <w:tcW w:w="12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2022 Aggregate</w:t>
            </w:r>
          </w:p>
        </w:tc>
      </w:tr>
      <w:tr>
        <w:trPr>
          <w:trHeight w:val="162"/>
        </w:trPr>
        <w:tc>
          <w:tcPr>
            <w:tcW w:w="7800" w:type="dxa"/>
            <w:vAlign w:val="bottom"/>
            <w:shd w:val="clear" w:color="auto" w:fill="E5E7EF"/>
          </w:tcPr>
          <w:p>
            <w:pPr>
              <w:spacing w:after="0"/>
              <w:rPr>
                <w:sz w:val="14"/>
                <w:szCs w:val="14"/>
                <w:color w:val="auto"/>
              </w:rPr>
            </w:pPr>
          </w:p>
        </w:tc>
        <w:tc>
          <w:tcPr>
            <w:tcW w:w="1680" w:type="dxa"/>
            <w:vAlign w:val="bottom"/>
            <w:shd w:val="clear" w:color="auto" w:fill="E5E7EF"/>
          </w:tcPr>
          <w:p>
            <w:pPr>
              <w:jc w:val="right"/>
              <w:ind w:right="191"/>
              <w:spacing w:after="0"/>
              <w:rPr>
                <w:sz w:val="20"/>
                <w:szCs w:val="20"/>
                <w:color w:val="auto"/>
              </w:rPr>
            </w:pPr>
            <w:r>
              <w:rPr>
                <w:rFonts w:ascii="Arial" w:cs="Arial" w:eastAsia="Arial" w:hAnsi="Arial"/>
                <w:sz w:val="13"/>
                <w:szCs w:val="13"/>
                <w:color w:val="auto"/>
              </w:rPr>
              <w:t>Grant Date</w:t>
            </w:r>
          </w:p>
        </w:tc>
        <w:tc>
          <w:tcPr>
            <w:tcW w:w="12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Grant Date</w:t>
            </w:r>
          </w:p>
        </w:tc>
      </w:tr>
      <w:tr>
        <w:trPr>
          <w:trHeight w:val="166"/>
        </w:trPr>
        <w:tc>
          <w:tcPr>
            <w:tcW w:w="7800" w:type="dxa"/>
            <w:vAlign w:val="bottom"/>
            <w:shd w:val="clear" w:color="auto" w:fill="E5E7EF"/>
          </w:tcPr>
          <w:p>
            <w:pPr>
              <w:spacing w:after="0"/>
              <w:rPr>
                <w:sz w:val="14"/>
                <w:szCs w:val="14"/>
                <w:color w:val="auto"/>
              </w:rPr>
            </w:pPr>
          </w:p>
        </w:tc>
        <w:tc>
          <w:tcPr>
            <w:tcW w:w="1680" w:type="dxa"/>
            <w:vAlign w:val="bottom"/>
            <w:shd w:val="clear" w:color="auto" w:fill="E5E7EF"/>
          </w:tcPr>
          <w:p>
            <w:pPr>
              <w:jc w:val="right"/>
              <w:ind w:right="191"/>
              <w:spacing w:after="0"/>
              <w:rPr>
                <w:sz w:val="20"/>
                <w:szCs w:val="20"/>
                <w:color w:val="auto"/>
              </w:rPr>
            </w:pPr>
            <w:r>
              <w:rPr>
                <w:rFonts w:ascii="Arial" w:cs="Arial" w:eastAsia="Arial" w:hAnsi="Arial"/>
                <w:sz w:val="13"/>
                <w:szCs w:val="13"/>
                <w:color w:val="auto"/>
              </w:rPr>
              <w:t>Fair Value RSUs</w:t>
            </w:r>
          </w:p>
        </w:tc>
        <w:tc>
          <w:tcPr>
            <w:tcW w:w="12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Fair Value PSUs</w:t>
            </w:r>
          </w:p>
        </w:tc>
      </w:tr>
      <w:tr>
        <w:trPr>
          <w:trHeight w:val="235"/>
        </w:trPr>
        <w:tc>
          <w:tcPr>
            <w:tcW w:w="7800" w:type="dxa"/>
            <w:vAlign w:val="bottom"/>
            <w:tcBorders>
              <w:bottom w:val="single" w:sz="8" w:color="E5E7EF"/>
            </w:tcBorders>
            <w:shd w:val="clear" w:color="auto" w:fill="E5E7EF"/>
          </w:tcPr>
          <w:p>
            <w:pPr>
              <w:spacing w:after="0"/>
              <w:rPr>
                <w:sz w:val="20"/>
                <w:szCs w:val="20"/>
                <w:color w:val="auto"/>
              </w:rPr>
            </w:pPr>
          </w:p>
        </w:tc>
        <w:tc>
          <w:tcPr>
            <w:tcW w:w="1680" w:type="dxa"/>
            <w:vAlign w:val="bottom"/>
            <w:tcBorders>
              <w:bottom w:val="single" w:sz="8" w:color="E5E7EF"/>
            </w:tcBorders>
            <w:shd w:val="clear" w:color="auto" w:fill="E5E7EF"/>
          </w:tcPr>
          <w:p>
            <w:pPr>
              <w:jc w:val="right"/>
              <w:ind w:right="191"/>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7800" w:type="dxa"/>
            <w:vAlign w:val="bottom"/>
            <w:tcBorders>
              <w:top w:val="single" w:sz="8" w:color="002E6D"/>
            </w:tcBorders>
          </w:tcPr>
          <w:p>
            <w:pPr>
              <w:spacing w:after="0" w:line="164" w:lineRule="exact"/>
              <w:rPr>
                <w:sz w:val="20"/>
                <w:szCs w:val="20"/>
                <w:color w:val="auto"/>
              </w:rPr>
            </w:pPr>
            <w:r>
              <w:rPr>
                <w:rFonts w:ascii="Calibri" w:cs="Calibri" w:eastAsia="Calibri" w:hAnsi="Calibri"/>
                <w:sz w:val="14"/>
                <w:szCs w:val="14"/>
                <w:b w:val="1"/>
                <w:bCs w:val="1"/>
                <w:color w:val="002E6D"/>
              </w:rPr>
              <w:t>Mr. Taiclet</w:t>
            </w:r>
          </w:p>
        </w:tc>
        <w:tc>
          <w:tcPr>
            <w:tcW w:w="1680" w:type="dxa"/>
            <w:vAlign w:val="bottom"/>
            <w:tcBorders>
              <w:top w:val="single" w:sz="8" w:color="002E6D"/>
            </w:tcBorders>
          </w:tcPr>
          <w:p>
            <w:pPr>
              <w:jc w:val="right"/>
              <w:ind w:right="231"/>
              <w:spacing w:after="0" w:line="164" w:lineRule="exact"/>
              <w:rPr>
                <w:sz w:val="20"/>
                <w:szCs w:val="20"/>
                <w:color w:val="auto"/>
              </w:rPr>
            </w:pPr>
            <w:r>
              <w:rPr>
                <w:rFonts w:ascii="Calibri" w:cs="Calibri" w:eastAsia="Calibri" w:hAnsi="Calibri"/>
                <w:sz w:val="14"/>
                <w:szCs w:val="14"/>
                <w:color w:val="auto"/>
              </w:rPr>
              <w:t>4,490,358</w:t>
            </w:r>
          </w:p>
        </w:tc>
        <w:tc>
          <w:tcPr>
            <w:tcW w:w="1200" w:type="dxa"/>
            <w:vAlign w:val="bottom"/>
            <w:tcBorders>
              <w:top w:val="single" w:sz="8" w:color="002E6D"/>
            </w:tcBorders>
          </w:tcPr>
          <w:p>
            <w:pPr>
              <w:jc w:val="right"/>
              <w:spacing w:after="0" w:line="164" w:lineRule="exact"/>
              <w:rPr>
                <w:sz w:val="20"/>
                <w:szCs w:val="20"/>
                <w:color w:val="auto"/>
              </w:rPr>
            </w:pPr>
            <w:r>
              <w:rPr>
                <w:rFonts w:ascii="Calibri" w:cs="Calibri" w:eastAsia="Calibri" w:hAnsi="Calibri"/>
                <w:sz w:val="14"/>
                <w:szCs w:val="14"/>
                <w:color w:val="auto"/>
              </w:rPr>
              <w:t>8,923,536</w:t>
            </w:r>
          </w:p>
        </w:tc>
      </w:tr>
      <w:tr>
        <w:trPr>
          <w:trHeight w:val="33"/>
        </w:trPr>
        <w:tc>
          <w:tcPr>
            <w:tcW w:w="7800" w:type="dxa"/>
            <w:vAlign w:val="bottom"/>
            <w:tcBorders>
              <w:bottom w:val="single" w:sz="8" w:color="9D9D9C"/>
            </w:tcBorders>
          </w:tcPr>
          <w:p>
            <w:pPr>
              <w:spacing w:after="0"/>
              <w:rPr>
                <w:sz w:val="2"/>
                <w:szCs w:val="2"/>
                <w:color w:val="auto"/>
              </w:rPr>
            </w:pPr>
          </w:p>
        </w:tc>
        <w:tc>
          <w:tcPr>
            <w:tcW w:w="1680" w:type="dxa"/>
            <w:vAlign w:val="bottom"/>
            <w:tcBorders>
              <w:bottom w:val="single" w:sz="8" w:color="9D9D9C"/>
            </w:tcBorders>
          </w:tcPr>
          <w:p>
            <w:pPr>
              <w:spacing w:after="0"/>
              <w:rPr>
                <w:sz w:val="2"/>
                <w:szCs w:val="2"/>
                <w:color w:val="auto"/>
              </w:rPr>
            </w:pPr>
          </w:p>
        </w:tc>
        <w:tc>
          <w:tcPr>
            <w:tcW w:w="1200" w:type="dxa"/>
            <w:vAlign w:val="bottom"/>
            <w:tcBorders>
              <w:bottom w:val="single" w:sz="8" w:color="9D9D9C"/>
            </w:tcBorders>
          </w:tcPr>
          <w:p>
            <w:pPr>
              <w:spacing w:after="0"/>
              <w:rPr>
                <w:sz w:val="2"/>
                <w:szCs w:val="2"/>
                <w:color w:val="auto"/>
              </w:rPr>
            </w:pPr>
          </w:p>
        </w:tc>
      </w:tr>
      <w:tr>
        <w:trPr>
          <w:trHeight w:val="163"/>
        </w:trPr>
        <w:tc>
          <w:tcPr>
            <w:tcW w:w="78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Malave</w:t>
            </w:r>
          </w:p>
        </w:tc>
        <w:tc>
          <w:tcPr>
            <w:tcW w:w="1680" w:type="dxa"/>
            <w:vAlign w:val="bottom"/>
          </w:tcPr>
          <w:p>
            <w:pPr>
              <w:jc w:val="right"/>
              <w:ind w:right="231"/>
              <w:spacing w:after="0" w:line="164" w:lineRule="exact"/>
              <w:rPr>
                <w:sz w:val="20"/>
                <w:szCs w:val="20"/>
                <w:color w:val="auto"/>
              </w:rPr>
            </w:pPr>
            <w:r>
              <w:rPr>
                <w:rFonts w:ascii="Calibri" w:cs="Calibri" w:eastAsia="Calibri" w:hAnsi="Calibri"/>
                <w:sz w:val="14"/>
                <w:szCs w:val="14"/>
                <w:color w:val="auto"/>
              </w:rPr>
              <w:t>6,394,491</w:t>
            </w:r>
          </w:p>
        </w:tc>
        <w:tc>
          <w:tcPr>
            <w:tcW w:w="1200" w:type="dxa"/>
            <w:vAlign w:val="bottom"/>
          </w:tcPr>
          <w:p>
            <w:pPr>
              <w:jc w:val="right"/>
              <w:spacing w:after="0" w:line="164" w:lineRule="exact"/>
              <w:rPr>
                <w:sz w:val="20"/>
                <w:szCs w:val="20"/>
                <w:color w:val="auto"/>
              </w:rPr>
            </w:pPr>
            <w:r>
              <w:rPr>
                <w:rFonts w:ascii="Calibri" w:cs="Calibri" w:eastAsia="Calibri" w:hAnsi="Calibri"/>
                <w:sz w:val="14"/>
                <w:szCs w:val="14"/>
                <w:color w:val="auto"/>
              </w:rPr>
              <w:t>4,759,281</w:t>
            </w:r>
          </w:p>
        </w:tc>
      </w:tr>
      <w:tr>
        <w:trPr>
          <w:trHeight w:val="33"/>
        </w:trPr>
        <w:tc>
          <w:tcPr>
            <w:tcW w:w="7800" w:type="dxa"/>
            <w:vAlign w:val="bottom"/>
            <w:tcBorders>
              <w:bottom w:val="single" w:sz="8" w:color="939598"/>
            </w:tcBorders>
          </w:tcPr>
          <w:p>
            <w:pPr>
              <w:spacing w:after="0"/>
              <w:rPr>
                <w:sz w:val="2"/>
                <w:szCs w:val="2"/>
                <w:color w:val="auto"/>
              </w:rPr>
            </w:pPr>
          </w:p>
        </w:tc>
        <w:tc>
          <w:tcPr>
            <w:tcW w:w="168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163"/>
        </w:trPr>
        <w:tc>
          <w:tcPr>
            <w:tcW w:w="78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Mollard</w:t>
            </w:r>
          </w:p>
        </w:tc>
        <w:tc>
          <w:tcPr>
            <w:tcW w:w="1680" w:type="dxa"/>
            <w:vAlign w:val="bottom"/>
          </w:tcPr>
          <w:p>
            <w:pPr>
              <w:jc w:val="right"/>
              <w:ind w:right="231"/>
              <w:spacing w:after="0" w:line="164" w:lineRule="exact"/>
              <w:rPr>
                <w:sz w:val="20"/>
                <w:szCs w:val="20"/>
                <w:color w:val="auto"/>
              </w:rPr>
            </w:pPr>
            <w:r>
              <w:rPr>
                <w:rFonts w:ascii="Calibri" w:cs="Calibri" w:eastAsia="Calibri" w:hAnsi="Calibri"/>
                <w:sz w:val="14"/>
                <w:szCs w:val="14"/>
                <w:color w:val="auto"/>
              </w:rPr>
              <w:t>898,997</w:t>
            </w:r>
          </w:p>
        </w:tc>
        <w:tc>
          <w:tcPr>
            <w:tcW w:w="1200" w:type="dxa"/>
            <w:vAlign w:val="bottom"/>
          </w:tcPr>
          <w:p>
            <w:pPr>
              <w:jc w:val="right"/>
              <w:spacing w:after="0" w:line="164" w:lineRule="exact"/>
              <w:rPr>
                <w:sz w:val="20"/>
                <w:szCs w:val="20"/>
                <w:color w:val="auto"/>
              </w:rPr>
            </w:pPr>
            <w:r>
              <w:rPr>
                <w:rFonts w:ascii="Calibri" w:cs="Calibri" w:eastAsia="Calibri" w:hAnsi="Calibri"/>
                <w:sz w:val="14"/>
                <w:szCs w:val="14"/>
                <w:color w:val="auto"/>
              </w:rPr>
              <w:t>95,853</w:t>
            </w:r>
          </w:p>
        </w:tc>
      </w:tr>
      <w:tr>
        <w:trPr>
          <w:trHeight w:val="33"/>
        </w:trPr>
        <w:tc>
          <w:tcPr>
            <w:tcW w:w="7800" w:type="dxa"/>
            <w:vAlign w:val="bottom"/>
            <w:tcBorders>
              <w:bottom w:val="single" w:sz="8" w:color="939598"/>
            </w:tcBorders>
          </w:tcPr>
          <w:p>
            <w:pPr>
              <w:spacing w:after="0"/>
              <w:rPr>
                <w:sz w:val="2"/>
                <w:szCs w:val="2"/>
                <w:color w:val="auto"/>
              </w:rPr>
            </w:pPr>
          </w:p>
        </w:tc>
        <w:tc>
          <w:tcPr>
            <w:tcW w:w="168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163"/>
        </w:trPr>
        <w:tc>
          <w:tcPr>
            <w:tcW w:w="78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St. John</w:t>
            </w:r>
          </w:p>
        </w:tc>
        <w:tc>
          <w:tcPr>
            <w:tcW w:w="1680" w:type="dxa"/>
            <w:vAlign w:val="bottom"/>
          </w:tcPr>
          <w:p>
            <w:pPr>
              <w:jc w:val="right"/>
              <w:ind w:right="231"/>
              <w:spacing w:after="0" w:line="164" w:lineRule="exact"/>
              <w:rPr>
                <w:sz w:val="20"/>
                <w:szCs w:val="20"/>
                <w:color w:val="auto"/>
              </w:rPr>
            </w:pPr>
            <w:r>
              <w:rPr>
                <w:rFonts w:ascii="Calibri" w:cs="Calibri" w:eastAsia="Calibri" w:hAnsi="Calibri"/>
                <w:sz w:val="14"/>
                <w:szCs w:val="14"/>
                <w:color w:val="auto"/>
              </w:rPr>
              <w:t>1,795,988</w:t>
            </w:r>
          </w:p>
        </w:tc>
        <w:tc>
          <w:tcPr>
            <w:tcW w:w="1200" w:type="dxa"/>
            <w:vAlign w:val="bottom"/>
          </w:tcPr>
          <w:p>
            <w:pPr>
              <w:jc w:val="right"/>
              <w:spacing w:after="0" w:line="164" w:lineRule="exact"/>
              <w:rPr>
                <w:sz w:val="20"/>
                <w:szCs w:val="20"/>
                <w:color w:val="auto"/>
              </w:rPr>
            </w:pPr>
            <w:r>
              <w:rPr>
                <w:rFonts w:ascii="Calibri" w:cs="Calibri" w:eastAsia="Calibri" w:hAnsi="Calibri"/>
                <w:sz w:val="14"/>
                <w:szCs w:val="14"/>
                <w:color w:val="auto"/>
              </w:rPr>
              <w:t>3,569,767</w:t>
            </w:r>
          </w:p>
        </w:tc>
      </w:tr>
      <w:tr>
        <w:trPr>
          <w:trHeight w:val="33"/>
        </w:trPr>
        <w:tc>
          <w:tcPr>
            <w:tcW w:w="7800" w:type="dxa"/>
            <w:vAlign w:val="bottom"/>
            <w:tcBorders>
              <w:bottom w:val="single" w:sz="8" w:color="939598"/>
            </w:tcBorders>
          </w:tcPr>
          <w:p>
            <w:pPr>
              <w:spacing w:after="0"/>
              <w:rPr>
                <w:sz w:val="2"/>
                <w:szCs w:val="2"/>
                <w:color w:val="auto"/>
              </w:rPr>
            </w:pPr>
          </w:p>
        </w:tc>
        <w:tc>
          <w:tcPr>
            <w:tcW w:w="168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163"/>
        </w:trPr>
        <w:tc>
          <w:tcPr>
            <w:tcW w:w="78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Greene</w:t>
            </w:r>
          </w:p>
        </w:tc>
        <w:tc>
          <w:tcPr>
            <w:tcW w:w="1680" w:type="dxa"/>
            <w:vAlign w:val="bottom"/>
          </w:tcPr>
          <w:p>
            <w:pPr>
              <w:jc w:val="right"/>
              <w:ind w:right="231"/>
              <w:spacing w:after="0" w:line="164" w:lineRule="exact"/>
              <w:rPr>
                <w:sz w:val="20"/>
                <w:szCs w:val="20"/>
                <w:color w:val="auto"/>
              </w:rPr>
            </w:pPr>
            <w:r>
              <w:rPr>
                <w:rFonts w:ascii="Calibri" w:cs="Calibri" w:eastAsia="Calibri" w:hAnsi="Calibri"/>
                <w:sz w:val="14"/>
                <w:szCs w:val="14"/>
                <w:color w:val="auto"/>
              </w:rPr>
              <w:t>1,197,196</w:t>
            </w:r>
          </w:p>
        </w:tc>
        <w:tc>
          <w:tcPr>
            <w:tcW w:w="1200" w:type="dxa"/>
            <w:vAlign w:val="bottom"/>
          </w:tcPr>
          <w:p>
            <w:pPr>
              <w:jc w:val="right"/>
              <w:spacing w:after="0" w:line="164" w:lineRule="exact"/>
              <w:rPr>
                <w:sz w:val="20"/>
                <w:szCs w:val="20"/>
                <w:color w:val="auto"/>
              </w:rPr>
            </w:pPr>
            <w:r>
              <w:rPr>
                <w:rFonts w:ascii="Calibri" w:cs="Calibri" w:eastAsia="Calibri" w:hAnsi="Calibri"/>
                <w:sz w:val="14"/>
                <w:szCs w:val="14"/>
                <w:color w:val="auto"/>
              </w:rPr>
              <w:t>2,380,103</w:t>
            </w:r>
          </w:p>
        </w:tc>
      </w:tr>
      <w:tr>
        <w:trPr>
          <w:trHeight w:val="33"/>
        </w:trPr>
        <w:tc>
          <w:tcPr>
            <w:tcW w:w="7800" w:type="dxa"/>
            <w:vAlign w:val="bottom"/>
            <w:tcBorders>
              <w:bottom w:val="single" w:sz="8" w:color="939598"/>
            </w:tcBorders>
          </w:tcPr>
          <w:p>
            <w:pPr>
              <w:spacing w:after="0"/>
              <w:rPr>
                <w:sz w:val="2"/>
                <w:szCs w:val="2"/>
                <w:color w:val="auto"/>
              </w:rPr>
            </w:pPr>
          </w:p>
        </w:tc>
        <w:tc>
          <w:tcPr>
            <w:tcW w:w="168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163"/>
        </w:trPr>
        <w:tc>
          <w:tcPr>
            <w:tcW w:w="78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Ms. Lavan</w:t>
            </w:r>
          </w:p>
        </w:tc>
        <w:tc>
          <w:tcPr>
            <w:tcW w:w="1680" w:type="dxa"/>
            <w:vAlign w:val="bottom"/>
          </w:tcPr>
          <w:p>
            <w:pPr>
              <w:jc w:val="right"/>
              <w:ind w:right="231"/>
              <w:spacing w:after="0" w:line="164" w:lineRule="exact"/>
              <w:rPr>
                <w:sz w:val="20"/>
                <w:szCs w:val="20"/>
                <w:color w:val="auto"/>
              </w:rPr>
            </w:pPr>
            <w:r>
              <w:rPr>
                <w:rFonts w:ascii="Calibri" w:cs="Calibri" w:eastAsia="Calibri" w:hAnsi="Calibri"/>
                <w:sz w:val="14"/>
                <w:szCs w:val="14"/>
                <w:color w:val="auto"/>
              </w:rPr>
              <w:t>1,077,670</w:t>
            </w:r>
          </w:p>
        </w:tc>
        <w:tc>
          <w:tcPr>
            <w:tcW w:w="1200" w:type="dxa"/>
            <w:vAlign w:val="bottom"/>
          </w:tcPr>
          <w:p>
            <w:pPr>
              <w:jc w:val="right"/>
              <w:spacing w:after="0" w:line="164" w:lineRule="exact"/>
              <w:rPr>
                <w:sz w:val="20"/>
                <w:szCs w:val="20"/>
                <w:color w:val="auto"/>
              </w:rPr>
            </w:pPr>
            <w:r>
              <w:rPr>
                <w:rFonts w:ascii="Calibri" w:cs="Calibri" w:eastAsia="Calibri" w:hAnsi="Calibri"/>
                <w:sz w:val="14"/>
                <w:szCs w:val="14"/>
                <w:color w:val="auto"/>
              </w:rPr>
              <w:t>2,141,890</w:t>
            </w:r>
          </w:p>
        </w:tc>
      </w:tr>
      <w:tr>
        <w:trPr>
          <w:trHeight w:val="33"/>
        </w:trPr>
        <w:tc>
          <w:tcPr>
            <w:tcW w:w="7800" w:type="dxa"/>
            <w:vAlign w:val="bottom"/>
            <w:tcBorders>
              <w:bottom w:val="single" w:sz="8" w:color="939598"/>
            </w:tcBorders>
          </w:tcPr>
          <w:p>
            <w:pPr>
              <w:spacing w:after="0"/>
              <w:rPr>
                <w:sz w:val="2"/>
                <w:szCs w:val="2"/>
                <w:color w:val="auto"/>
              </w:rPr>
            </w:pPr>
          </w:p>
        </w:tc>
        <w:tc>
          <w:tcPr>
            <w:tcW w:w="168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r>
      <w:tr>
        <w:trPr>
          <w:trHeight w:val="163"/>
        </w:trPr>
        <w:tc>
          <w:tcPr>
            <w:tcW w:w="78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Ulmer</w:t>
            </w:r>
          </w:p>
        </w:tc>
        <w:tc>
          <w:tcPr>
            <w:tcW w:w="1680" w:type="dxa"/>
            <w:vAlign w:val="bottom"/>
          </w:tcPr>
          <w:p>
            <w:pPr>
              <w:jc w:val="right"/>
              <w:ind w:right="231"/>
              <w:spacing w:after="0" w:line="164" w:lineRule="exact"/>
              <w:rPr>
                <w:sz w:val="20"/>
                <w:szCs w:val="20"/>
                <w:color w:val="auto"/>
              </w:rPr>
            </w:pPr>
            <w:r>
              <w:rPr>
                <w:rFonts w:ascii="Calibri" w:cs="Calibri" w:eastAsia="Calibri" w:hAnsi="Calibri"/>
                <w:sz w:val="14"/>
                <w:szCs w:val="14"/>
                <w:color w:val="auto"/>
              </w:rPr>
              <w:t>1,197,196</w:t>
            </w:r>
          </w:p>
        </w:tc>
        <w:tc>
          <w:tcPr>
            <w:tcW w:w="1200" w:type="dxa"/>
            <w:vAlign w:val="bottom"/>
          </w:tcPr>
          <w:p>
            <w:pPr>
              <w:jc w:val="right"/>
              <w:spacing w:after="0" w:line="164" w:lineRule="exact"/>
              <w:rPr>
                <w:sz w:val="20"/>
                <w:szCs w:val="20"/>
                <w:color w:val="auto"/>
              </w:rPr>
            </w:pPr>
            <w:r>
              <w:rPr>
                <w:rFonts w:ascii="Calibri" w:cs="Calibri" w:eastAsia="Calibri" w:hAnsi="Calibri"/>
                <w:sz w:val="14"/>
                <w:szCs w:val="14"/>
                <w:color w:val="auto"/>
              </w:rPr>
              <w:t>2,380,103</w:t>
            </w:r>
          </w:p>
        </w:tc>
      </w:tr>
      <w:tr>
        <w:trPr>
          <w:trHeight w:val="33"/>
        </w:trPr>
        <w:tc>
          <w:tcPr>
            <w:tcW w:w="7800" w:type="dxa"/>
            <w:vAlign w:val="bottom"/>
            <w:tcBorders>
              <w:bottom w:val="single" w:sz="8" w:color="9D9D9C"/>
            </w:tcBorders>
          </w:tcPr>
          <w:p>
            <w:pPr>
              <w:spacing w:after="0"/>
              <w:rPr>
                <w:sz w:val="2"/>
                <w:szCs w:val="2"/>
                <w:color w:val="auto"/>
              </w:rPr>
            </w:pPr>
          </w:p>
        </w:tc>
        <w:tc>
          <w:tcPr>
            <w:tcW w:w="1680" w:type="dxa"/>
            <w:vAlign w:val="bottom"/>
            <w:tcBorders>
              <w:bottom w:val="single" w:sz="8" w:color="9D9D9C"/>
            </w:tcBorders>
          </w:tcPr>
          <w:p>
            <w:pPr>
              <w:spacing w:after="0"/>
              <w:rPr>
                <w:sz w:val="2"/>
                <w:szCs w:val="2"/>
                <w:color w:val="auto"/>
              </w:rPr>
            </w:pPr>
          </w:p>
        </w:tc>
        <w:tc>
          <w:tcPr>
            <w:tcW w:w="1200" w:type="dxa"/>
            <w:vAlign w:val="bottom"/>
            <w:tcBorders>
              <w:bottom w:val="single" w:sz="8" w:color="9D9D9C"/>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377190</wp:posOffset>
            </wp:positionV>
            <wp:extent cx="1071880" cy="1797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4" w:name="page65"/>
    <w:bookmarkEnd w:id="64"/>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3" w:lineRule="exact"/>
        <w:rPr>
          <w:sz w:val="20"/>
          <w:szCs w:val="20"/>
          <w:color w:val="auto"/>
        </w:rPr>
      </w:pPr>
    </w:p>
    <w:p>
      <w:pPr>
        <w:ind w:left="260" w:right="480"/>
        <w:spacing w:after="0" w:line="264" w:lineRule="auto"/>
        <w:rPr>
          <w:sz w:val="20"/>
          <w:szCs w:val="20"/>
          <w:color w:val="auto"/>
        </w:rPr>
      </w:pPr>
      <w:r>
        <w:rPr>
          <w:rFonts w:ascii="Calibri" w:cs="Calibri" w:eastAsia="Calibri" w:hAnsi="Calibri"/>
          <w:sz w:val="14"/>
          <w:szCs w:val="14"/>
          <w:color w:val="auto"/>
        </w:rPr>
        <w:t>The ASC 718 grant date fair value of one 2022 RSU ($388.07) is the closing price of one share of our stock on the date of grant, discounted to take into account the deferred dividend equivalents that are accrued untl vestng.</w:t>
      </w:r>
    </w:p>
    <w:p>
      <w:pPr>
        <w:spacing w:after="0" w:line="56" w:lineRule="exact"/>
        <w:rPr>
          <w:sz w:val="20"/>
          <w:szCs w:val="20"/>
          <w:color w:val="auto"/>
        </w:rPr>
      </w:pPr>
    </w:p>
    <w:p>
      <w:pPr>
        <w:ind w:left="260" w:right="20"/>
        <w:spacing w:after="0" w:line="264" w:lineRule="auto"/>
        <w:rPr>
          <w:sz w:val="20"/>
          <w:szCs w:val="20"/>
          <w:color w:val="auto"/>
        </w:rPr>
      </w:pPr>
      <w:r>
        <w:rPr>
          <w:rFonts w:ascii="Calibri" w:cs="Calibri" w:eastAsia="Calibri" w:hAnsi="Calibri"/>
          <w:sz w:val="14"/>
          <w:szCs w:val="14"/>
          <w:color w:val="auto"/>
        </w:rPr>
        <w:t>Values for the PSUs, which are subject to performance conditons, are based on the probable outcome on the grant date of three separate performance conditons (50% of the target shares are earned based upon Relatve TSR, 25% of the target shares are earned based upon Free Cash Flow, and 25% of the target shares are earned based upon ROIC).</w:t>
      </w:r>
    </w:p>
    <w:p>
      <w:pPr>
        <w:spacing w:after="0" w:line="43" w:lineRule="exact"/>
        <w:rPr>
          <w:sz w:val="20"/>
          <w:szCs w:val="20"/>
          <w:color w:val="auto"/>
        </w:rPr>
      </w:pPr>
    </w:p>
    <w:p>
      <w:pPr>
        <w:ind w:left="260"/>
        <w:spacing w:after="0" w:line="265" w:lineRule="auto"/>
        <w:rPr>
          <w:sz w:val="20"/>
          <w:szCs w:val="20"/>
          <w:color w:val="auto"/>
        </w:rPr>
      </w:pPr>
      <w:r>
        <w:rPr>
          <w:rFonts w:ascii="Calibri" w:cs="Calibri" w:eastAsia="Calibri" w:hAnsi="Calibri"/>
          <w:sz w:val="14"/>
          <w:szCs w:val="14"/>
          <w:color w:val="auto"/>
        </w:rPr>
        <w:t>The grant date fair value of $537.32 for the Relatve TSR porton of the PSU award was determined using a Monte Carlo simulaton model. The value was determined using the historical stock price volatlites of the companies in our comparator group over the most recent 2.85-year period assuming dividends for each company are reinvested on a contnuous basis and a risk-free rate of interest of 1.74% and that deferred dividend equivalents accrued on shares earned will be paid in cash upon vestng. The grant date fair value of $388.07 for the Free Cash Flow and ROIC portons of the awards is based on the closing price of our stock on the date of grant, discounted to take into account the deferred dividend equivalents that are accrued untl vestng. In additon to the level of performance achieved, the value of the PSUs earned will be determined by the price of our stock on the date any shares are issued at the end of the performance period, which may be more or less than the grant date fair value.</w:t>
      </w:r>
    </w:p>
    <w:p>
      <w:pPr>
        <w:spacing w:after="0" w:line="56" w:lineRule="exact"/>
        <w:rPr>
          <w:sz w:val="20"/>
          <w:szCs w:val="20"/>
          <w:color w:val="auto"/>
        </w:rPr>
      </w:pPr>
    </w:p>
    <w:p>
      <w:pPr>
        <w:ind w:left="260" w:right="40"/>
        <w:spacing w:after="0" w:line="255" w:lineRule="auto"/>
        <w:rPr>
          <w:sz w:val="20"/>
          <w:szCs w:val="20"/>
          <w:color w:val="auto"/>
        </w:rPr>
      </w:pPr>
      <w:r>
        <w:rPr>
          <w:rFonts w:ascii="Calibri" w:cs="Calibri" w:eastAsia="Calibri" w:hAnsi="Calibri"/>
          <w:sz w:val="14"/>
          <w:szCs w:val="14"/>
          <w:color w:val="auto"/>
        </w:rPr>
        <w:t>The maximum grant date fair values of the 2022 PSU awards, using the Monte Carlo simulaton model for the TSR metric and assuming a 200% maximum payout for the ROIC and Free Cash Flow metrics, are as follows: Mr. Taiclet: $12,665,695; Mr. Malave: $6,755,125; Mr. Mollard: $135,824; Mr. St. John: $5,066,553; Mr. Greene: $3,378,219; Ms. Lavan: $3,039,884; and Mr. Ulmer: $3,378,219.</w:t>
      </w:r>
    </w:p>
    <w:p>
      <w:pPr>
        <w:spacing w:after="0" w:line="63" w:lineRule="exact"/>
        <w:rPr>
          <w:sz w:val="20"/>
          <w:szCs w:val="20"/>
          <w:color w:val="auto"/>
        </w:rPr>
      </w:pPr>
    </w:p>
    <w:p>
      <w:pPr>
        <w:ind w:left="260" w:right="240" w:hanging="252"/>
        <w:spacing w:after="0" w:line="288" w:lineRule="auto"/>
        <w:tabs>
          <w:tab w:leader="none" w:pos="256" w:val="left"/>
        </w:tabs>
        <w:numPr>
          <w:ilvl w:val="0"/>
          <w:numId w:val="85"/>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Amounts reported in the </w:t>
      </w:r>
      <w:r>
        <w:rPr>
          <w:rFonts w:ascii="Calibri" w:cs="Calibri" w:eastAsia="Calibri" w:hAnsi="Calibri"/>
          <w:sz w:val="14"/>
          <w:szCs w:val="14"/>
          <w:b w:val="1"/>
          <w:bCs w:val="1"/>
          <w:color w:val="auto"/>
        </w:rPr>
        <w:t>Non-Equity Incentve Plan Compensaton</w:t>
      </w:r>
      <w:r>
        <w:rPr>
          <w:rFonts w:ascii="Calibri" w:cs="Calibri" w:eastAsia="Calibri" w:hAnsi="Calibri"/>
          <w:sz w:val="14"/>
          <w:szCs w:val="14"/>
          <w:color w:val="auto"/>
        </w:rPr>
        <w:t xml:space="preserve"> column represent the annual incentve amounts paid under the amended and restated Lockheed Martn Corporaton 2021 Management Incentve Compensaton Plan (MICP), and the amounts earned under our LTIP cash awards in the three-year period ending on December 31 of the year reported. The table below shows the respectve 2022 annual incentve payouts and the amount earned under the 2020-2022 cash LTIP and reported for each NEO:</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8180" w:type="dxa"/>
            <w:vAlign w:val="bottom"/>
            <w:shd w:val="clear" w:color="auto" w:fill="E5E7EF"/>
          </w:tcPr>
          <w:p>
            <w:pPr>
              <w:spacing w:after="0"/>
              <w:rPr>
                <w:sz w:val="13"/>
                <w:szCs w:val="13"/>
                <w:color w:val="auto"/>
              </w:rPr>
            </w:pPr>
          </w:p>
        </w:tc>
        <w:tc>
          <w:tcPr>
            <w:tcW w:w="14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2022 Annual</w:t>
            </w:r>
          </w:p>
        </w:tc>
        <w:tc>
          <w:tcPr>
            <w:tcW w:w="10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2020-2022</w:t>
            </w:r>
          </w:p>
        </w:tc>
      </w:tr>
      <w:tr>
        <w:trPr>
          <w:trHeight w:val="166"/>
        </w:trPr>
        <w:tc>
          <w:tcPr>
            <w:tcW w:w="8180" w:type="dxa"/>
            <w:vAlign w:val="bottom"/>
            <w:shd w:val="clear" w:color="auto" w:fill="E5E7EF"/>
          </w:tcPr>
          <w:p>
            <w:pPr>
              <w:spacing w:after="0"/>
              <w:rPr>
                <w:sz w:val="14"/>
                <w:szCs w:val="14"/>
                <w:color w:val="auto"/>
              </w:rPr>
            </w:pPr>
          </w:p>
        </w:tc>
        <w:tc>
          <w:tcPr>
            <w:tcW w:w="14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Incentive Payout</w:t>
            </w:r>
          </w:p>
        </w:tc>
        <w:tc>
          <w:tcPr>
            <w:tcW w:w="10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LTIP Payout</w:t>
            </w:r>
          </w:p>
        </w:tc>
      </w:tr>
      <w:tr>
        <w:trPr>
          <w:trHeight w:val="235"/>
        </w:trPr>
        <w:tc>
          <w:tcPr>
            <w:tcW w:w="8180" w:type="dxa"/>
            <w:vAlign w:val="bottom"/>
            <w:tcBorders>
              <w:bottom w:val="single" w:sz="8" w:color="E5E7EF"/>
            </w:tcBorders>
            <w:shd w:val="clear" w:color="auto" w:fill="E5E7EF"/>
          </w:tcPr>
          <w:p>
            <w:pPr>
              <w:spacing w:after="0"/>
              <w:rPr>
                <w:sz w:val="20"/>
                <w:szCs w:val="20"/>
                <w:color w:val="auto"/>
              </w:rPr>
            </w:pPr>
          </w:p>
        </w:tc>
        <w:tc>
          <w:tcPr>
            <w:tcW w:w="14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8180" w:type="dxa"/>
            <w:vAlign w:val="bottom"/>
            <w:tcBorders>
              <w:top w:val="single" w:sz="8" w:color="002E6D"/>
            </w:tcBorders>
          </w:tcPr>
          <w:p>
            <w:pPr>
              <w:spacing w:after="0" w:line="164" w:lineRule="exact"/>
              <w:rPr>
                <w:sz w:val="20"/>
                <w:szCs w:val="20"/>
                <w:color w:val="auto"/>
              </w:rPr>
            </w:pPr>
            <w:r>
              <w:rPr>
                <w:rFonts w:ascii="Calibri" w:cs="Calibri" w:eastAsia="Calibri" w:hAnsi="Calibri"/>
                <w:sz w:val="14"/>
                <w:szCs w:val="14"/>
                <w:b w:val="1"/>
                <w:bCs w:val="1"/>
                <w:color w:val="002E6D"/>
              </w:rPr>
              <w:t>Mr. Taiclet</w:t>
            </w:r>
          </w:p>
        </w:tc>
        <w:tc>
          <w:tcPr>
            <w:tcW w:w="140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3,859,200</w:t>
            </w:r>
          </w:p>
        </w:tc>
        <w:tc>
          <w:tcPr>
            <w:tcW w:w="108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4,130,000</w:t>
            </w:r>
          </w:p>
        </w:tc>
      </w:tr>
      <w:tr>
        <w:trPr>
          <w:trHeight w:val="33"/>
        </w:trPr>
        <w:tc>
          <w:tcPr>
            <w:tcW w:w="8180" w:type="dxa"/>
            <w:vAlign w:val="bottom"/>
            <w:tcBorders>
              <w:bottom w:val="single" w:sz="8" w:color="939598"/>
            </w:tcBorders>
          </w:tcPr>
          <w:p>
            <w:pPr>
              <w:spacing w:after="0"/>
              <w:rPr>
                <w:sz w:val="2"/>
                <w:szCs w:val="2"/>
                <w:color w:val="auto"/>
              </w:rPr>
            </w:pPr>
          </w:p>
        </w:tc>
        <w:tc>
          <w:tcPr>
            <w:tcW w:w="140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r>
      <w:tr>
        <w:trPr>
          <w:trHeight w:val="163"/>
        </w:trPr>
        <w:tc>
          <w:tcPr>
            <w:tcW w:w="818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Malave*</w:t>
            </w:r>
          </w:p>
        </w:tc>
        <w:tc>
          <w:tcPr>
            <w:tcW w:w="1400" w:type="dxa"/>
            <w:vAlign w:val="bottom"/>
          </w:tcPr>
          <w:p>
            <w:pPr>
              <w:jc w:val="right"/>
              <w:spacing w:after="0" w:line="164" w:lineRule="exact"/>
              <w:rPr>
                <w:sz w:val="20"/>
                <w:szCs w:val="20"/>
                <w:color w:val="auto"/>
              </w:rPr>
            </w:pPr>
            <w:r>
              <w:rPr>
                <w:rFonts w:ascii="Calibri" w:cs="Calibri" w:eastAsia="Calibri" w:hAnsi="Calibri"/>
                <w:sz w:val="14"/>
                <w:szCs w:val="14"/>
                <w:color w:val="auto"/>
              </w:rPr>
              <w:t>1,175,400</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r>
      <w:tr>
        <w:trPr>
          <w:trHeight w:val="33"/>
        </w:trPr>
        <w:tc>
          <w:tcPr>
            <w:tcW w:w="8180" w:type="dxa"/>
            <w:vAlign w:val="bottom"/>
            <w:tcBorders>
              <w:bottom w:val="single" w:sz="8" w:color="939598"/>
            </w:tcBorders>
          </w:tcPr>
          <w:p>
            <w:pPr>
              <w:spacing w:after="0"/>
              <w:rPr>
                <w:sz w:val="2"/>
                <w:szCs w:val="2"/>
                <w:color w:val="auto"/>
              </w:rPr>
            </w:pPr>
          </w:p>
        </w:tc>
        <w:tc>
          <w:tcPr>
            <w:tcW w:w="140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r>
      <w:tr>
        <w:trPr>
          <w:trHeight w:val="163"/>
        </w:trPr>
        <w:tc>
          <w:tcPr>
            <w:tcW w:w="818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Mollard</w:t>
            </w:r>
          </w:p>
        </w:tc>
        <w:tc>
          <w:tcPr>
            <w:tcW w:w="1400" w:type="dxa"/>
            <w:vAlign w:val="bottom"/>
          </w:tcPr>
          <w:p>
            <w:pPr>
              <w:jc w:val="right"/>
              <w:spacing w:after="0" w:line="164" w:lineRule="exact"/>
              <w:rPr>
                <w:sz w:val="20"/>
                <w:szCs w:val="20"/>
                <w:color w:val="auto"/>
              </w:rPr>
            </w:pPr>
            <w:r>
              <w:rPr>
                <w:rFonts w:ascii="Calibri" w:cs="Calibri" w:eastAsia="Calibri" w:hAnsi="Calibri"/>
                <w:sz w:val="14"/>
                <w:szCs w:val="14"/>
                <w:color w:val="auto"/>
              </w:rPr>
              <w:t>414,100</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442,500</w:t>
            </w:r>
          </w:p>
        </w:tc>
      </w:tr>
      <w:tr>
        <w:trPr>
          <w:trHeight w:val="33"/>
        </w:trPr>
        <w:tc>
          <w:tcPr>
            <w:tcW w:w="8180" w:type="dxa"/>
            <w:vAlign w:val="bottom"/>
            <w:tcBorders>
              <w:bottom w:val="single" w:sz="8" w:color="939598"/>
            </w:tcBorders>
          </w:tcPr>
          <w:p>
            <w:pPr>
              <w:spacing w:after="0"/>
              <w:rPr>
                <w:sz w:val="2"/>
                <w:szCs w:val="2"/>
                <w:color w:val="auto"/>
              </w:rPr>
            </w:pPr>
          </w:p>
        </w:tc>
        <w:tc>
          <w:tcPr>
            <w:tcW w:w="140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r>
      <w:tr>
        <w:trPr>
          <w:trHeight w:val="163"/>
        </w:trPr>
        <w:tc>
          <w:tcPr>
            <w:tcW w:w="818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St. John</w:t>
            </w:r>
          </w:p>
        </w:tc>
        <w:tc>
          <w:tcPr>
            <w:tcW w:w="1400" w:type="dxa"/>
            <w:vAlign w:val="bottom"/>
          </w:tcPr>
          <w:p>
            <w:pPr>
              <w:jc w:val="right"/>
              <w:spacing w:after="0" w:line="164" w:lineRule="exact"/>
              <w:rPr>
                <w:sz w:val="20"/>
                <w:szCs w:val="20"/>
                <w:color w:val="auto"/>
              </w:rPr>
            </w:pPr>
            <w:r>
              <w:rPr>
                <w:rFonts w:ascii="Calibri" w:cs="Calibri" w:eastAsia="Calibri" w:hAnsi="Calibri"/>
                <w:sz w:val="14"/>
                <w:szCs w:val="14"/>
                <w:color w:val="auto"/>
              </w:rPr>
              <w:t>1,740,000</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1,371,750</w:t>
            </w:r>
          </w:p>
        </w:tc>
      </w:tr>
      <w:tr>
        <w:trPr>
          <w:trHeight w:val="33"/>
        </w:trPr>
        <w:tc>
          <w:tcPr>
            <w:tcW w:w="8180" w:type="dxa"/>
            <w:vAlign w:val="bottom"/>
            <w:tcBorders>
              <w:bottom w:val="single" w:sz="8" w:color="939598"/>
            </w:tcBorders>
          </w:tcPr>
          <w:p>
            <w:pPr>
              <w:spacing w:after="0"/>
              <w:rPr>
                <w:sz w:val="2"/>
                <w:szCs w:val="2"/>
                <w:color w:val="auto"/>
              </w:rPr>
            </w:pPr>
          </w:p>
        </w:tc>
        <w:tc>
          <w:tcPr>
            <w:tcW w:w="140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r>
      <w:tr>
        <w:trPr>
          <w:trHeight w:val="163"/>
        </w:trPr>
        <w:tc>
          <w:tcPr>
            <w:tcW w:w="818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Greene</w:t>
            </w:r>
          </w:p>
        </w:tc>
        <w:tc>
          <w:tcPr>
            <w:tcW w:w="1400" w:type="dxa"/>
            <w:vAlign w:val="bottom"/>
          </w:tcPr>
          <w:p>
            <w:pPr>
              <w:jc w:val="right"/>
              <w:spacing w:after="0" w:line="164" w:lineRule="exact"/>
              <w:rPr>
                <w:sz w:val="20"/>
                <w:szCs w:val="20"/>
                <w:color w:val="auto"/>
              </w:rPr>
            </w:pPr>
            <w:r>
              <w:rPr>
                <w:rFonts w:ascii="Calibri" w:cs="Calibri" w:eastAsia="Calibri" w:hAnsi="Calibri"/>
                <w:sz w:val="14"/>
                <w:szCs w:val="14"/>
                <w:color w:val="auto"/>
              </w:rPr>
              <w:t>1,287,300</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1,180,000</w:t>
            </w:r>
          </w:p>
        </w:tc>
      </w:tr>
      <w:tr>
        <w:trPr>
          <w:trHeight w:val="33"/>
        </w:trPr>
        <w:tc>
          <w:tcPr>
            <w:tcW w:w="8180" w:type="dxa"/>
            <w:vAlign w:val="bottom"/>
            <w:tcBorders>
              <w:bottom w:val="single" w:sz="8" w:color="939598"/>
            </w:tcBorders>
          </w:tcPr>
          <w:p>
            <w:pPr>
              <w:spacing w:after="0"/>
              <w:rPr>
                <w:sz w:val="2"/>
                <w:szCs w:val="2"/>
                <w:color w:val="auto"/>
              </w:rPr>
            </w:pPr>
          </w:p>
        </w:tc>
        <w:tc>
          <w:tcPr>
            <w:tcW w:w="140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r>
      <w:tr>
        <w:trPr>
          <w:trHeight w:val="163"/>
        </w:trPr>
        <w:tc>
          <w:tcPr>
            <w:tcW w:w="818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Ms. Lavan</w:t>
            </w:r>
          </w:p>
        </w:tc>
        <w:tc>
          <w:tcPr>
            <w:tcW w:w="1400" w:type="dxa"/>
            <w:vAlign w:val="bottom"/>
          </w:tcPr>
          <w:p>
            <w:pPr>
              <w:jc w:val="right"/>
              <w:spacing w:after="0" w:line="164" w:lineRule="exact"/>
              <w:rPr>
                <w:sz w:val="20"/>
                <w:szCs w:val="20"/>
                <w:color w:val="auto"/>
              </w:rPr>
            </w:pPr>
            <w:r>
              <w:rPr>
                <w:rFonts w:ascii="Calibri" w:cs="Calibri" w:eastAsia="Calibri" w:hAnsi="Calibri"/>
                <w:sz w:val="14"/>
                <w:szCs w:val="14"/>
                <w:color w:val="auto"/>
              </w:rPr>
              <w:t>1,148,400</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958,750</w:t>
            </w:r>
          </w:p>
        </w:tc>
      </w:tr>
      <w:tr>
        <w:trPr>
          <w:trHeight w:val="33"/>
        </w:trPr>
        <w:tc>
          <w:tcPr>
            <w:tcW w:w="8180" w:type="dxa"/>
            <w:vAlign w:val="bottom"/>
            <w:tcBorders>
              <w:bottom w:val="single" w:sz="8" w:color="939598"/>
            </w:tcBorders>
          </w:tcPr>
          <w:p>
            <w:pPr>
              <w:spacing w:after="0"/>
              <w:rPr>
                <w:sz w:val="2"/>
                <w:szCs w:val="2"/>
                <w:color w:val="auto"/>
              </w:rPr>
            </w:pPr>
          </w:p>
        </w:tc>
        <w:tc>
          <w:tcPr>
            <w:tcW w:w="1400" w:type="dxa"/>
            <w:vAlign w:val="bottom"/>
            <w:tcBorders>
              <w:bottom w:val="single" w:sz="8" w:color="939598"/>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r>
      <w:tr>
        <w:trPr>
          <w:trHeight w:val="163"/>
        </w:trPr>
        <w:tc>
          <w:tcPr>
            <w:tcW w:w="818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Ulmer</w:t>
            </w:r>
          </w:p>
        </w:tc>
        <w:tc>
          <w:tcPr>
            <w:tcW w:w="1400" w:type="dxa"/>
            <w:vAlign w:val="bottom"/>
          </w:tcPr>
          <w:p>
            <w:pPr>
              <w:jc w:val="right"/>
              <w:spacing w:after="0" w:line="164" w:lineRule="exact"/>
              <w:rPr>
                <w:sz w:val="20"/>
                <w:szCs w:val="20"/>
                <w:color w:val="auto"/>
              </w:rPr>
            </w:pPr>
            <w:r>
              <w:rPr>
                <w:rFonts w:ascii="Calibri" w:cs="Calibri" w:eastAsia="Calibri" w:hAnsi="Calibri"/>
                <w:sz w:val="14"/>
                <w:szCs w:val="14"/>
                <w:color w:val="auto"/>
              </w:rPr>
              <w:t>1,287,300</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542,800</w:t>
            </w:r>
          </w:p>
        </w:tc>
      </w:tr>
      <w:tr>
        <w:trPr>
          <w:trHeight w:val="33"/>
        </w:trPr>
        <w:tc>
          <w:tcPr>
            <w:tcW w:w="8180" w:type="dxa"/>
            <w:vAlign w:val="bottom"/>
            <w:tcBorders>
              <w:bottom w:val="single" w:sz="8" w:color="939598"/>
            </w:tcBorders>
          </w:tcPr>
          <w:p>
            <w:pPr>
              <w:spacing w:after="0"/>
              <w:rPr>
                <w:sz w:val="2"/>
                <w:szCs w:val="2"/>
                <w:color w:val="auto"/>
              </w:rPr>
            </w:pPr>
          </w:p>
        </w:tc>
        <w:tc>
          <w:tcPr>
            <w:tcW w:w="1400" w:type="dxa"/>
            <w:vAlign w:val="bottom"/>
            <w:tcBorders>
              <w:bottom w:val="single" w:sz="8" w:color="939598"/>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r>
    </w:tbl>
    <w:p>
      <w:pPr>
        <w:spacing w:after="0" w:line="121" w:lineRule="exact"/>
        <w:rPr>
          <w:sz w:val="20"/>
          <w:szCs w:val="20"/>
          <w:color w:val="auto"/>
        </w:rPr>
      </w:pPr>
    </w:p>
    <w:p>
      <w:pPr>
        <w:ind w:left="520" w:right="160" w:hanging="253"/>
        <w:spacing w:after="0" w:line="264" w:lineRule="auto"/>
        <w:tabs>
          <w:tab w:leader="none" w:pos="463" w:val="left"/>
        </w:tabs>
        <w:numPr>
          <w:ilvl w:val="1"/>
          <w:numId w:val="86"/>
        </w:numPr>
        <w:rPr>
          <w:rFonts w:ascii="Calibri" w:cs="Calibri" w:eastAsia="Calibri" w:hAnsi="Calibri"/>
          <w:sz w:val="14"/>
          <w:szCs w:val="14"/>
          <w:color w:val="auto"/>
        </w:rPr>
      </w:pPr>
      <w:r>
        <w:rPr>
          <w:rFonts w:ascii="Calibri" w:cs="Calibri" w:eastAsia="Calibri" w:hAnsi="Calibri"/>
          <w:sz w:val="14"/>
          <w:szCs w:val="14"/>
          <w:color w:val="auto"/>
        </w:rPr>
        <w:t>Mr. Malave’s annual incentve target and payout is prorated based on tme served during fscal year 2022. He did not receive a 2020-2022 LTIP award because he was not employed by the Company at the tme such awards were granted.</w:t>
      </w:r>
    </w:p>
    <w:p>
      <w:pPr>
        <w:spacing w:after="0" w:line="56" w:lineRule="exact"/>
        <w:rPr>
          <w:rFonts w:ascii="Calibri" w:cs="Calibri" w:eastAsia="Calibri" w:hAnsi="Calibri"/>
          <w:sz w:val="14"/>
          <w:szCs w:val="14"/>
          <w:color w:val="auto"/>
        </w:rPr>
      </w:pPr>
    </w:p>
    <w:p>
      <w:pPr>
        <w:ind w:left="260" w:right="180" w:hanging="252"/>
        <w:spacing w:after="0" w:line="229" w:lineRule="auto"/>
        <w:tabs>
          <w:tab w:leader="none" w:pos="256" w:val="left"/>
        </w:tabs>
        <w:numPr>
          <w:ilvl w:val="0"/>
          <w:numId w:val="86"/>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Amounts reported in the </w:t>
      </w:r>
      <w:r>
        <w:rPr>
          <w:rFonts w:ascii="Calibri" w:cs="Calibri" w:eastAsia="Calibri" w:hAnsi="Calibri"/>
          <w:sz w:val="14"/>
          <w:szCs w:val="14"/>
          <w:b w:val="1"/>
          <w:bCs w:val="1"/>
          <w:color w:val="auto"/>
        </w:rPr>
        <w:t>Change in Pension Value and Nonqualifed Deferred Compensaton Earnings</w:t>
      </w:r>
      <w:r>
        <w:rPr>
          <w:rFonts w:ascii="Calibri" w:cs="Calibri" w:eastAsia="Calibri" w:hAnsi="Calibri"/>
          <w:sz w:val="14"/>
          <w:szCs w:val="14"/>
          <w:color w:val="auto"/>
        </w:rPr>
        <w:t xml:space="preserve"> column primarily represent the change in the present value of the pension beneft for the NEO for the year reported and is not the amount that will be paid to the NEO. The table excludes the negatve aggregate change in the present value in 2022 of the NEO’s accumulated benefts as follows: Mr. Mollard $(1,047,470); Mr. St. John $(1,751,787);</w:t>
      </w:r>
    </w:p>
    <w:p>
      <w:pPr>
        <w:spacing w:after="0" w:line="18" w:lineRule="exact"/>
        <w:rPr>
          <w:rFonts w:ascii="Calibri" w:cs="Calibri" w:eastAsia="Calibri" w:hAnsi="Calibri"/>
          <w:sz w:val="19"/>
          <w:szCs w:val="19"/>
          <w:color w:val="auto"/>
          <w:vertAlign w:val="superscript"/>
        </w:rPr>
      </w:pPr>
    </w:p>
    <w:p>
      <w:pPr>
        <w:ind w:left="260"/>
        <w:spacing w:after="0"/>
        <w:rPr>
          <w:rFonts w:ascii="Calibri" w:cs="Calibri" w:eastAsia="Calibri" w:hAnsi="Calibri"/>
          <w:sz w:val="19"/>
          <w:szCs w:val="19"/>
          <w:color w:val="auto"/>
          <w:vertAlign w:val="superscript"/>
        </w:rPr>
      </w:pPr>
      <w:r>
        <w:rPr>
          <w:rFonts w:ascii="Calibri" w:cs="Calibri" w:eastAsia="Calibri" w:hAnsi="Calibri"/>
          <w:sz w:val="14"/>
          <w:szCs w:val="14"/>
          <w:color w:val="auto"/>
        </w:rPr>
        <w:t>Mr. Greene $(1,106,642); Ms. Lavan $(3,445,974) and Mr. Ulmer $(611,966). The decrease in present value for 2022 was primarily driven by an increase in the discount rate used in the</w:t>
      </w:r>
    </w:p>
    <w:p>
      <w:pPr>
        <w:spacing w:after="0" w:line="19" w:lineRule="exact"/>
        <w:rPr>
          <w:rFonts w:ascii="Calibri" w:cs="Calibri" w:eastAsia="Calibri" w:hAnsi="Calibri"/>
          <w:sz w:val="19"/>
          <w:szCs w:val="19"/>
          <w:color w:val="auto"/>
          <w:vertAlign w:val="superscript"/>
        </w:rPr>
      </w:pPr>
    </w:p>
    <w:p>
      <w:pPr>
        <w:ind w:left="260" w:right="220"/>
        <w:spacing w:after="0" w:line="255"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present value calculaton. This column also reports above-market earnings on compensaton that was deferred before 2009 by the NEOs under the Interest Investment Opton of our Deferred Management Incentve Compensaton Plan as follows: for 2022: Mr. Ulmer: $5; for 2021 and 2020: none. See “Nonqualifed Deferred Compensaton” for additonal informaton regarding above-market earnings. The Interest Investment Opton was closed to new deferrals and transfers from other investment optons efectve July 1, 2009.</w:t>
      </w:r>
    </w:p>
    <w:p>
      <w:pPr>
        <w:spacing w:after="0" w:line="62" w:lineRule="exact"/>
        <w:rPr>
          <w:rFonts w:ascii="Calibri" w:cs="Calibri" w:eastAsia="Calibri" w:hAnsi="Calibri"/>
          <w:sz w:val="19"/>
          <w:szCs w:val="19"/>
          <w:color w:val="auto"/>
          <w:vertAlign w:val="superscript"/>
        </w:rPr>
      </w:pPr>
    </w:p>
    <w:p>
      <w:pPr>
        <w:ind w:left="260" w:right="40" w:hanging="252"/>
        <w:spacing w:after="0" w:line="237" w:lineRule="auto"/>
        <w:tabs>
          <w:tab w:leader="none" w:pos="256" w:val="left"/>
        </w:tabs>
        <w:numPr>
          <w:ilvl w:val="0"/>
          <w:numId w:val="86"/>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The amounts reported in the </w:t>
      </w:r>
      <w:r>
        <w:rPr>
          <w:rFonts w:ascii="Calibri" w:cs="Calibri" w:eastAsia="Calibri" w:hAnsi="Calibri"/>
          <w:sz w:val="14"/>
          <w:szCs w:val="14"/>
          <w:b w:val="1"/>
          <w:bCs w:val="1"/>
          <w:color w:val="auto"/>
        </w:rPr>
        <w:t>All Other Compensaton</w:t>
      </w:r>
      <w:r>
        <w:rPr>
          <w:rFonts w:ascii="Calibri" w:cs="Calibri" w:eastAsia="Calibri" w:hAnsi="Calibri"/>
          <w:sz w:val="14"/>
          <w:szCs w:val="14"/>
          <w:color w:val="auto"/>
        </w:rPr>
        <w:t xml:space="preserve"> column represent perquisites and other personal benefts provided to the NEOs in 2022 including: security; relocaton benefts (when applicable); annual executve physicals; home ofce support; use of corporate aircraf for personal travel and other related expenses; travel and other expenses for a family member accompanying the NEO while on business travel; and gifs for retrement. Not all of the listed perquisites or personal benefts were provided to each NEO. In additon, the Company made available a Company-provided car and driver for personal commutng to some of the NEOs in 2022 and may provide event tckets from tme to tme, but requires the NEOs to reimburse the</w:t>
      </w:r>
    </w:p>
    <w:p>
      <w:pPr>
        <w:spacing w:after="0" w:line="20" w:lineRule="exact"/>
        <w:rPr>
          <w:rFonts w:ascii="Calibri" w:cs="Calibri" w:eastAsia="Calibri" w:hAnsi="Calibri"/>
          <w:sz w:val="19"/>
          <w:szCs w:val="19"/>
          <w:color w:val="auto"/>
          <w:vertAlign w:val="superscript"/>
        </w:rPr>
      </w:pPr>
    </w:p>
    <w:p>
      <w:pPr>
        <w:ind w:left="260" w:right="60"/>
        <w:spacing w:after="0" w:line="262"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Company for the incremental cost to the Company of such items. The cost of any category of the listed perquisites and personal benefts in 2022 did not exceed the greater of $25,000 or 10% of total perquisites and personal benefts for any NEO, except for: (i) security for Mr. Taiclet $181,073; (ii) personal use of the corporate aircraf for Mr. Taiclet $1,285,698; Mr. Malave $33,384; Mr. Mollard $42,917; Mr. St. John $423,880; Mr. Greene $151,287; Ms. Lavan $102,011 and Mr. Ulmer $60,617; and (iii) relocaton expenses for Mr. Malave $341,649. The incremental cost for use of corporate aircraf for personal travel was calculated based on the total personal travel fight hours multplied by the estmated hourly aircraf operatng costs for 2022 (including fuel, maintenance, staf travel expenses, catering and other variable costs, but excluding fxed capital costs for the aircraf, hangar facilites and staf salaries). Our Board has directed our CEO to use corporate aircraf for security reasons while on business and personal travel. For 2022, personal use of the corporate aircraf for Mr. Taiclet included $324,135 related to fights that were exclusively personal in nature. The remainder is the incremental cost of fights that had a personal beneft but were associated with a Lockheed Martn business</w:t>
      </w:r>
    </w:p>
    <w:p>
      <w:pPr>
        <w:spacing w:after="0" w:line="3" w:lineRule="exact"/>
        <w:rPr>
          <w:rFonts w:ascii="Calibri" w:cs="Calibri" w:eastAsia="Calibri" w:hAnsi="Calibri"/>
          <w:sz w:val="19"/>
          <w:szCs w:val="19"/>
          <w:color w:val="auto"/>
          <w:vertAlign w:val="superscript"/>
        </w:rPr>
      </w:pPr>
    </w:p>
    <w:p>
      <w:pPr>
        <w:jc w:val="both"/>
        <w:ind w:left="260" w:right="100"/>
        <w:spacing w:after="0" w:line="255"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purpose; which includes the incremental cost of travel to the Company’s headquarters for business purposes from an out-of-state residence of $320,714, the incremental cost of $404,833 for re-positoning, or “deadhead,” fights associated with these fights given the home base of the corporate aircraf and fight crew, and the incremental cost of $236,016 for fights related to Lockheed Martn business originatng or ending in a locaton other than the Company’s headquarters, including any deadheads.</w:t>
      </w:r>
    </w:p>
    <w:p>
      <w:pPr>
        <w:spacing w:after="0" w:line="62" w:lineRule="exact"/>
        <w:rPr>
          <w:rFonts w:ascii="Calibri" w:cs="Calibri" w:eastAsia="Calibri" w:hAnsi="Calibri"/>
          <w:sz w:val="19"/>
          <w:szCs w:val="19"/>
          <w:color w:val="auto"/>
          <w:vertAlign w:val="superscript"/>
        </w:rPr>
      </w:pPr>
    </w:p>
    <w:p>
      <w:pPr>
        <w:ind w:left="260" w:right="480"/>
        <w:spacing w:after="0" w:line="264"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The incremental cost for personal security is calculated based on billings for services and equipment from third partes and for overtme and related expenses where the services are provided by the Company’s personnel. Given the nature of our business, additonal security may be provided for travel in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5" w:name="page66"/>
    <w:bookmarkEnd w:id="65"/>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2" w:lineRule="exact"/>
        <w:rPr>
          <w:sz w:val="20"/>
          <w:szCs w:val="20"/>
          <w:color w:val="auto"/>
        </w:rPr>
      </w:pPr>
    </w:p>
    <w:p>
      <w:pPr>
        <w:ind w:left="260"/>
        <w:spacing w:after="0"/>
        <w:rPr>
          <w:sz w:val="20"/>
          <w:szCs w:val="20"/>
          <w:color w:val="auto"/>
        </w:rPr>
      </w:pPr>
      <w:r>
        <w:rPr>
          <w:rFonts w:ascii="Calibri" w:cs="Calibri" w:eastAsia="Calibri" w:hAnsi="Calibri"/>
          <w:sz w:val="14"/>
          <w:szCs w:val="14"/>
          <w:color w:val="auto"/>
        </w:rPr>
        <w:t>high-risk areas or to address partcular situatons. We believe that providing personal security in response to concerns arising out of employment by the Company is business-related.</w:t>
      </w:r>
    </w:p>
    <w:p>
      <w:pPr>
        <w:spacing w:after="0" w:line="73" w:lineRule="exact"/>
        <w:rPr>
          <w:sz w:val="20"/>
          <w:szCs w:val="20"/>
          <w:color w:val="auto"/>
        </w:rPr>
      </w:pPr>
    </w:p>
    <w:p>
      <w:pPr>
        <w:ind w:left="260"/>
        <w:spacing w:after="0" w:line="262" w:lineRule="auto"/>
        <w:rPr>
          <w:sz w:val="20"/>
          <w:szCs w:val="20"/>
          <w:color w:val="auto"/>
        </w:rPr>
      </w:pPr>
      <w:r>
        <w:rPr>
          <w:rFonts w:ascii="Calibri" w:cs="Calibri" w:eastAsia="Calibri" w:hAnsi="Calibri"/>
          <w:sz w:val="14"/>
          <w:szCs w:val="14"/>
          <w:color w:val="auto"/>
        </w:rPr>
        <w:t>In additon to perquisites, the amounts in this column include the items of compensaton listed in the following table. All items are paid under broad-based programs for U.S. salaried employees except for tax assistance and the match or Company contributons to the Company’s nonqualifed defned contributon plans (the Lockheed Martn Corporaton Supplemental Savings Plan (NQSSP) and the Lockheed Martn Corporaton Nonqualifed Capital Accumulaton Plan (NCAP)). Amounts under Matching Gif Programs include matching contributons made to eligible universites, colleges and other non-proft organizatons under the Company’s matching gif programs generally available to all employees and include contributons to be made in 2023 to match 2022 executve contributons. Amounts under Company Contributons to Health Savings Accounts refect the Company’s annual contributon to the health savings accounts of all employees who have a high-deductble health insurance plan and additonal wellness incentves available to all enrolled employees and spouses for completng specifc wellness actons. Amounts under Term Life Insurance Opt-Out Credit refect cash payments made to NEOs who opt out of the Company’s broad-based employee term life insurance program, which opton is available to all salaried employees of the Company. As permited by the disclosure regulatons, the premium cost for the NEOs’ partcipaton in the Company’s broad-based employee term life insurance has not been included for 2022.</w:t>
      </w:r>
    </w:p>
    <w:p>
      <w:pPr>
        <w:spacing w:after="0" w:line="62" w:lineRule="exact"/>
        <w:rPr>
          <w:sz w:val="20"/>
          <w:szCs w:val="20"/>
          <w:color w:val="auto"/>
        </w:rPr>
      </w:pPr>
    </w:p>
    <w:p>
      <w:pPr>
        <w:ind w:left="260" w:right="260"/>
        <w:spacing w:after="0" w:line="255" w:lineRule="auto"/>
        <w:rPr>
          <w:sz w:val="20"/>
          <w:szCs w:val="20"/>
          <w:color w:val="auto"/>
        </w:rPr>
      </w:pPr>
      <w:r>
        <w:rPr>
          <w:rFonts w:ascii="Calibri" w:cs="Calibri" w:eastAsia="Calibri" w:hAnsi="Calibri"/>
          <w:sz w:val="14"/>
          <w:szCs w:val="14"/>
          <w:color w:val="auto"/>
        </w:rPr>
        <w:t>In 2022, the Company provided tax assistance on taxable security expenses, relocaton related expenses, non-resident state income taxes incurred because of business travel, and travel expenses for a family member accompanying the NEO on travel determined to be business travel for tax purposes. For Mr. Malave, the total tax assistance amount reported for 2022 included $166,924 associated with relocaton expenses incurred pursuant to our relocaton policy.</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color w:val="818EB4"/>
        </w:rPr>
        <w:t>Other Items of Compensation Included in “All Other Compensation” Column</w:t>
      </w:r>
    </w:p>
    <w:p>
      <w:pPr>
        <w:spacing w:after="0" w:line="159"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3200" w:type="dxa"/>
            <w:vAlign w:val="bottom"/>
            <w:shd w:val="clear" w:color="auto" w:fill="E5E7EF"/>
          </w:tcPr>
          <w:p>
            <w:pPr>
              <w:spacing w:after="0"/>
              <w:rPr>
                <w:sz w:val="13"/>
                <w:szCs w:val="13"/>
                <w:color w:val="auto"/>
              </w:rPr>
            </w:pPr>
          </w:p>
        </w:tc>
        <w:tc>
          <w:tcPr>
            <w:tcW w:w="1300" w:type="dxa"/>
            <w:vAlign w:val="bottom"/>
            <w:shd w:val="clear" w:color="auto" w:fill="E5E7EF"/>
          </w:tcPr>
          <w:p>
            <w:pPr>
              <w:spacing w:after="0"/>
              <w:rPr>
                <w:sz w:val="13"/>
                <w:szCs w:val="13"/>
                <w:color w:val="auto"/>
              </w:rPr>
            </w:pPr>
          </w:p>
        </w:tc>
        <w:tc>
          <w:tcPr>
            <w:tcW w:w="1360" w:type="dxa"/>
            <w:vAlign w:val="bottom"/>
            <w:shd w:val="clear" w:color="auto" w:fill="E5E7EF"/>
          </w:tcPr>
          <w:p>
            <w:pPr>
              <w:jc w:val="right"/>
              <w:ind w:right="52"/>
              <w:spacing w:after="0"/>
              <w:rPr>
                <w:sz w:val="20"/>
                <w:szCs w:val="20"/>
                <w:color w:val="auto"/>
              </w:rPr>
            </w:pPr>
            <w:r>
              <w:rPr>
                <w:rFonts w:ascii="Arial" w:cs="Arial" w:eastAsia="Arial" w:hAnsi="Arial"/>
                <w:sz w:val="13"/>
                <w:szCs w:val="13"/>
                <w:color w:val="auto"/>
              </w:rPr>
              <w:t>Company</w:t>
            </w:r>
          </w:p>
        </w:tc>
        <w:tc>
          <w:tcPr>
            <w:tcW w:w="148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Company</w:t>
            </w:r>
          </w:p>
        </w:tc>
        <w:tc>
          <w:tcPr>
            <w:tcW w:w="118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Company</w:t>
            </w:r>
          </w:p>
        </w:tc>
        <w:tc>
          <w:tcPr>
            <w:tcW w:w="1180" w:type="dxa"/>
            <w:vAlign w:val="bottom"/>
            <w:shd w:val="clear" w:color="auto" w:fill="E5E7EF"/>
          </w:tcPr>
          <w:p>
            <w:pPr>
              <w:spacing w:after="0"/>
              <w:rPr>
                <w:sz w:val="13"/>
                <w:szCs w:val="13"/>
                <w:color w:val="auto"/>
              </w:rPr>
            </w:pPr>
          </w:p>
        </w:tc>
        <w:tc>
          <w:tcPr>
            <w:tcW w:w="980" w:type="dxa"/>
            <w:vAlign w:val="bottom"/>
            <w:shd w:val="clear" w:color="auto" w:fill="E5E7EF"/>
          </w:tcPr>
          <w:p>
            <w:pPr>
              <w:spacing w:after="0"/>
              <w:rPr>
                <w:sz w:val="13"/>
                <w:szCs w:val="13"/>
                <w:color w:val="auto"/>
              </w:rPr>
            </w:pPr>
          </w:p>
        </w:tc>
      </w:tr>
      <w:tr>
        <w:trPr>
          <w:trHeight w:val="148"/>
        </w:trPr>
        <w:tc>
          <w:tcPr>
            <w:tcW w:w="3200" w:type="dxa"/>
            <w:vAlign w:val="bottom"/>
            <w:shd w:val="clear" w:color="auto" w:fill="E5E7EF"/>
          </w:tcPr>
          <w:p>
            <w:pPr>
              <w:spacing w:after="0"/>
              <w:rPr>
                <w:sz w:val="12"/>
                <w:szCs w:val="12"/>
                <w:color w:val="auto"/>
              </w:rPr>
            </w:pPr>
          </w:p>
        </w:tc>
        <w:tc>
          <w:tcPr>
            <w:tcW w:w="1300" w:type="dxa"/>
            <w:vAlign w:val="bottom"/>
            <w:shd w:val="clear" w:color="auto" w:fill="E5E7EF"/>
          </w:tcPr>
          <w:p>
            <w:pPr>
              <w:jc w:val="right"/>
              <w:ind w:right="131"/>
              <w:spacing w:after="0"/>
              <w:rPr>
                <w:sz w:val="20"/>
                <w:szCs w:val="20"/>
                <w:color w:val="auto"/>
              </w:rPr>
            </w:pPr>
            <w:r>
              <w:rPr>
                <w:rFonts w:ascii="Arial" w:cs="Arial" w:eastAsia="Arial" w:hAnsi="Arial"/>
                <w:sz w:val="13"/>
                <w:szCs w:val="13"/>
                <w:color w:val="auto"/>
              </w:rPr>
              <w:t>Tax Assistance</w:t>
            </w:r>
          </w:p>
        </w:tc>
        <w:tc>
          <w:tcPr>
            <w:tcW w:w="1360" w:type="dxa"/>
            <w:vAlign w:val="bottom"/>
            <w:shd w:val="clear" w:color="auto" w:fill="E5E7EF"/>
          </w:tcPr>
          <w:p>
            <w:pPr>
              <w:jc w:val="right"/>
              <w:ind w:right="52"/>
              <w:spacing w:after="0"/>
              <w:rPr>
                <w:sz w:val="20"/>
                <w:szCs w:val="20"/>
                <w:color w:val="auto"/>
              </w:rPr>
            </w:pPr>
            <w:r>
              <w:rPr>
                <w:rFonts w:ascii="Arial" w:cs="Arial" w:eastAsia="Arial" w:hAnsi="Arial"/>
                <w:sz w:val="13"/>
                <w:szCs w:val="13"/>
                <w:color w:val="auto"/>
              </w:rPr>
              <w:t>Contributions to</w:t>
            </w:r>
          </w:p>
        </w:tc>
        <w:tc>
          <w:tcPr>
            <w:tcW w:w="148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Contributions to</w:t>
            </w:r>
          </w:p>
        </w:tc>
        <w:tc>
          <w:tcPr>
            <w:tcW w:w="118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Contributions to</w:t>
            </w:r>
          </w:p>
        </w:tc>
        <w:tc>
          <w:tcPr>
            <w:tcW w:w="1180" w:type="dxa"/>
            <w:vAlign w:val="bottom"/>
            <w:shd w:val="clear" w:color="auto" w:fill="E5E7EF"/>
          </w:tcPr>
          <w:p>
            <w:pPr>
              <w:jc w:val="right"/>
              <w:ind w:right="131"/>
              <w:spacing w:after="0"/>
              <w:rPr>
                <w:sz w:val="20"/>
                <w:szCs w:val="20"/>
                <w:color w:val="auto"/>
              </w:rPr>
            </w:pPr>
            <w:r>
              <w:rPr>
                <w:rFonts w:ascii="Arial" w:cs="Arial" w:eastAsia="Arial" w:hAnsi="Arial"/>
                <w:sz w:val="13"/>
                <w:szCs w:val="13"/>
                <w:color w:val="auto"/>
              </w:rPr>
              <w:t>Term Life</w:t>
            </w:r>
          </w:p>
        </w:tc>
        <w:tc>
          <w:tcPr>
            <w:tcW w:w="980" w:type="dxa"/>
            <w:vAlign w:val="bottom"/>
            <w:shd w:val="clear" w:color="auto" w:fill="E5E7EF"/>
          </w:tcPr>
          <w:p>
            <w:pPr>
              <w:spacing w:after="0"/>
              <w:rPr>
                <w:sz w:val="12"/>
                <w:szCs w:val="12"/>
                <w:color w:val="auto"/>
              </w:rPr>
            </w:pPr>
          </w:p>
        </w:tc>
      </w:tr>
      <w:tr>
        <w:trPr>
          <w:trHeight w:val="149"/>
        </w:trPr>
        <w:tc>
          <w:tcPr>
            <w:tcW w:w="3200" w:type="dxa"/>
            <w:vAlign w:val="bottom"/>
            <w:shd w:val="clear" w:color="auto" w:fill="E5E7EF"/>
          </w:tcPr>
          <w:p>
            <w:pPr>
              <w:spacing w:after="0"/>
              <w:rPr>
                <w:sz w:val="12"/>
                <w:szCs w:val="12"/>
                <w:color w:val="auto"/>
              </w:rPr>
            </w:pPr>
          </w:p>
        </w:tc>
        <w:tc>
          <w:tcPr>
            <w:tcW w:w="1300" w:type="dxa"/>
            <w:vAlign w:val="bottom"/>
            <w:shd w:val="clear" w:color="auto" w:fill="E5E7EF"/>
          </w:tcPr>
          <w:p>
            <w:pPr>
              <w:jc w:val="right"/>
              <w:ind w:right="131"/>
              <w:spacing w:after="0"/>
              <w:rPr>
                <w:sz w:val="20"/>
                <w:szCs w:val="20"/>
                <w:color w:val="auto"/>
              </w:rPr>
            </w:pPr>
            <w:r>
              <w:rPr>
                <w:rFonts w:ascii="Arial" w:cs="Arial" w:eastAsia="Arial" w:hAnsi="Arial"/>
                <w:sz w:val="13"/>
                <w:szCs w:val="13"/>
                <w:color w:val="auto"/>
              </w:rPr>
              <w:t>for Business-</w:t>
            </w:r>
          </w:p>
        </w:tc>
        <w:tc>
          <w:tcPr>
            <w:tcW w:w="1360" w:type="dxa"/>
            <w:vAlign w:val="bottom"/>
            <w:shd w:val="clear" w:color="auto" w:fill="E5E7EF"/>
          </w:tcPr>
          <w:p>
            <w:pPr>
              <w:jc w:val="right"/>
              <w:ind w:right="52"/>
              <w:spacing w:after="0"/>
              <w:rPr>
                <w:sz w:val="20"/>
                <w:szCs w:val="20"/>
                <w:color w:val="auto"/>
              </w:rPr>
            </w:pPr>
            <w:r>
              <w:rPr>
                <w:rFonts w:ascii="Arial" w:cs="Arial" w:eastAsia="Arial" w:hAnsi="Arial"/>
                <w:sz w:val="13"/>
                <w:szCs w:val="13"/>
                <w:color w:val="auto"/>
              </w:rPr>
              <w:t>Qualified Defined</w:t>
            </w:r>
          </w:p>
        </w:tc>
        <w:tc>
          <w:tcPr>
            <w:tcW w:w="148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Nonqualified Defined</w:t>
            </w:r>
          </w:p>
        </w:tc>
        <w:tc>
          <w:tcPr>
            <w:tcW w:w="118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Health Savings</w:t>
            </w:r>
          </w:p>
        </w:tc>
        <w:tc>
          <w:tcPr>
            <w:tcW w:w="1180" w:type="dxa"/>
            <w:vAlign w:val="bottom"/>
            <w:shd w:val="clear" w:color="auto" w:fill="E5E7EF"/>
          </w:tcPr>
          <w:p>
            <w:pPr>
              <w:jc w:val="right"/>
              <w:ind w:right="131"/>
              <w:spacing w:after="0"/>
              <w:rPr>
                <w:sz w:val="20"/>
                <w:szCs w:val="20"/>
                <w:color w:val="auto"/>
              </w:rPr>
            </w:pPr>
            <w:r>
              <w:rPr>
                <w:rFonts w:ascii="Arial" w:cs="Arial" w:eastAsia="Arial" w:hAnsi="Arial"/>
                <w:sz w:val="13"/>
                <w:szCs w:val="13"/>
                <w:color w:val="auto"/>
              </w:rPr>
              <w:t>Insurance</w:t>
            </w:r>
          </w:p>
        </w:tc>
        <w:tc>
          <w:tcPr>
            <w:tcW w:w="9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Matching Gift</w:t>
            </w:r>
          </w:p>
        </w:tc>
      </w:tr>
      <w:tr>
        <w:trPr>
          <w:trHeight w:val="179"/>
        </w:trPr>
        <w:tc>
          <w:tcPr>
            <w:tcW w:w="3200" w:type="dxa"/>
            <w:vAlign w:val="bottom"/>
            <w:shd w:val="clear" w:color="auto" w:fill="E5E7EF"/>
          </w:tcPr>
          <w:p>
            <w:pPr>
              <w:spacing w:after="0"/>
              <w:rPr>
                <w:sz w:val="15"/>
                <w:szCs w:val="15"/>
                <w:color w:val="auto"/>
              </w:rPr>
            </w:pPr>
          </w:p>
        </w:tc>
        <w:tc>
          <w:tcPr>
            <w:tcW w:w="1300" w:type="dxa"/>
            <w:vAlign w:val="bottom"/>
            <w:shd w:val="clear" w:color="auto" w:fill="E5E7EF"/>
          </w:tcPr>
          <w:p>
            <w:pPr>
              <w:jc w:val="right"/>
              <w:ind w:right="131"/>
              <w:spacing w:after="0"/>
              <w:rPr>
                <w:sz w:val="20"/>
                <w:szCs w:val="20"/>
                <w:color w:val="auto"/>
              </w:rPr>
            </w:pPr>
            <w:r>
              <w:rPr>
                <w:rFonts w:ascii="Arial" w:cs="Arial" w:eastAsia="Arial" w:hAnsi="Arial"/>
                <w:sz w:val="13"/>
                <w:szCs w:val="13"/>
                <w:color w:val="auto"/>
              </w:rPr>
              <w:t>Related Items</w:t>
            </w:r>
          </w:p>
        </w:tc>
        <w:tc>
          <w:tcPr>
            <w:tcW w:w="1360" w:type="dxa"/>
            <w:vAlign w:val="bottom"/>
            <w:shd w:val="clear" w:color="auto" w:fill="E5E7EF"/>
          </w:tcPr>
          <w:p>
            <w:pPr>
              <w:jc w:val="right"/>
              <w:ind w:right="52"/>
              <w:spacing w:after="0"/>
              <w:rPr>
                <w:sz w:val="20"/>
                <w:szCs w:val="20"/>
                <w:color w:val="auto"/>
              </w:rPr>
            </w:pPr>
            <w:r>
              <w:rPr>
                <w:rFonts w:ascii="Arial" w:cs="Arial" w:eastAsia="Arial" w:hAnsi="Arial"/>
                <w:sz w:val="13"/>
                <w:szCs w:val="13"/>
                <w:color w:val="auto"/>
              </w:rPr>
              <w:t>Contribution Plans</w:t>
            </w:r>
          </w:p>
        </w:tc>
        <w:tc>
          <w:tcPr>
            <w:tcW w:w="148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Contribution Plans</w:t>
            </w:r>
          </w:p>
        </w:tc>
        <w:tc>
          <w:tcPr>
            <w:tcW w:w="1180" w:type="dxa"/>
            <w:vAlign w:val="bottom"/>
            <w:shd w:val="clear" w:color="auto" w:fill="E5E7EF"/>
          </w:tcPr>
          <w:p>
            <w:pPr>
              <w:jc w:val="right"/>
              <w:ind w:right="72"/>
              <w:spacing w:after="0"/>
              <w:rPr>
                <w:sz w:val="20"/>
                <w:szCs w:val="20"/>
                <w:color w:val="auto"/>
              </w:rPr>
            </w:pPr>
            <w:r>
              <w:rPr>
                <w:rFonts w:ascii="Arial" w:cs="Arial" w:eastAsia="Arial" w:hAnsi="Arial"/>
                <w:sz w:val="13"/>
                <w:szCs w:val="13"/>
                <w:color w:val="auto"/>
              </w:rPr>
              <w:t>Accounts</w:t>
            </w:r>
          </w:p>
        </w:tc>
        <w:tc>
          <w:tcPr>
            <w:tcW w:w="1180" w:type="dxa"/>
            <w:vAlign w:val="bottom"/>
            <w:shd w:val="clear" w:color="auto" w:fill="E5E7EF"/>
          </w:tcPr>
          <w:p>
            <w:pPr>
              <w:jc w:val="right"/>
              <w:ind w:right="131"/>
              <w:spacing w:after="0"/>
              <w:rPr>
                <w:sz w:val="20"/>
                <w:szCs w:val="20"/>
                <w:color w:val="auto"/>
              </w:rPr>
            </w:pPr>
            <w:r>
              <w:rPr>
                <w:rFonts w:ascii="Arial" w:cs="Arial" w:eastAsia="Arial" w:hAnsi="Arial"/>
                <w:sz w:val="13"/>
                <w:szCs w:val="13"/>
                <w:color w:val="auto"/>
              </w:rPr>
              <w:t>Opt-Out Credit</w:t>
            </w:r>
          </w:p>
        </w:tc>
        <w:tc>
          <w:tcPr>
            <w:tcW w:w="9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Programs</w:t>
            </w:r>
          </w:p>
        </w:tc>
      </w:tr>
      <w:tr>
        <w:trPr>
          <w:trHeight w:val="235"/>
        </w:trPr>
        <w:tc>
          <w:tcPr>
            <w:tcW w:w="3200" w:type="dxa"/>
            <w:vAlign w:val="bottom"/>
            <w:tcBorders>
              <w:bottom w:val="single" w:sz="8" w:color="E5E7EF"/>
            </w:tcBorders>
            <w:shd w:val="clear" w:color="auto" w:fill="E5E7EF"/>
          </w:tcPr>
          <w:p>
            <w:pPr>
              <w:spacing w:after="0"/>
              <w:rPr>
                <w:sz w:val="20"/>
                <w:szCs w:val="20"/>
                <w:color w:val="auto"/>
              </w:rPr>
            </w:pPr>
            <w:r>
              <w:rPr>
                <w:rFonts w:ascii="Arial" w:cs="Arial" w:eastAsia="Arial" w:hAnsi="Arial"/>
                <w:sz w:val="13"/>
                <w:szCs w:val="13"/>
                <w:color w:val="auto"/>
              </w:rPr>
              <w:t>Name</w:t>
            </w:r>
          </w:p>
        </w:tc>
        <w:tc>
          <w:tcPr>
            <w:tcW w:w="1300" w:type="dxa"/>
            <w:vAlign w:val="bottom"/>
            <w:tcBorders>
              <w:bottom w:val="single" w:sz="8" w:color="E5E7EF"/>
            </w:tcBorders>
            <w:shd w:val="clear" w:color="auto" w:fill="E5E7EF"/>
          </w:tcPr>
          <w:p>
            <w:pPr>
              <w:jc w:val="right"/>
              <w:ind w:right="131"/>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E5E7EF"/>
            </w:tcBorders>
            <w:shd w:val="clear" w:color="auto" w:fill="E5E7EF"/>
          </w:tcPr>
          <w:p>
            <w:pPr>
              <w:jc w:val="right"/>
              <w:ind w:right="52"/>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E5E7EF"/>
            </w:tcBorders>
            <w:shd w:val="clear" w:color="auto" w:fill="E5E7EF"/>
          </w:tcPr>
          <w:p>
            <w:pPr>
              <w:jc w:val="right"/>
              <w:ind w:right="112"/>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E5E7EF"/>
            </w:tcBorders>
            <w:shd w:val="clear" w:color="auto" w:fill="E5E7EF"/>
          </w:tcPr>
          <w:p>
            <w:pPr>
              <w:jc w:val="right"/>
              <w:ind w:right="72"/>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E5E7EF"/>
            </w:tcBorders>
            <w:shd w:val="clear" w:color="auto" w:fill="E5E7EF"/>
          </w:tcPr>
          <w:p>
            <w:pPr>
              <w:jc w:val="right"/>
              <w:ind w:right="131"/>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3200" w:type="dxa"/>
            <w:vAlign w:val="bottom"/>
            <w:tcBorders>
              <w:top w:val="single" w:sz="8" w:color="002E6D"/>
            </w:tcBorders>
          </w:tcPr>
          <w:p>
            <w:pPr>
              <w:spacing w:after="0" w:line="164" w:lineRule="exact"/>
              <w:rPr>
                <w:sz w:val="20"/>
                <w:szCs w:val="20"/>
                <w:color w:val="auto"/>
              </w:rPr>
            </w:pPr>
            <w:r>
              <w:rPr>
                <w:rFonts w:ascii="Calibri" w:cs="Calibri" w:eastAsia="Calibri" w:hAnsi="Calibri"/>
                <w:sz w:val="14"/>
                <w:szCs w:val="14"/>
                <w:b w:val="1"/>
                <w:bCs w:val="1"/>
                <w:color w:val="002E6D"/>
              </w:rPr>
              <w:t>Mr. Taiclet</w:t>
            </w:r>
          </w:p>
        </w:tc>
        <w:tc>
          <w:tcPr>
            <w:tcW w:w="1300" w:type="dxa"/>
            <w:vAlign w:val="bottom"/>
            <w:tcBorders>
              <w:top w:val="single" w:sz="8" w:color="002E6D"/>
            </w:tcBorders>
          </w:tcPr>
          <w:p>
            <w:pPr>
              <w:jc w:val="right"/>
              <w:ind w:right="171"/>
              <w:spacing w:after="0" w:line="164" w:lineRule="exact"/>
              <w:rPr>
                <w:sz w:val="20"/>
                <w:szCs w:val="20"/>
                <w:color w:val="auto"/>
              </w:rPr>
            </w:pPr>
            <w:r>
              <w:rPr>
                <w:rFonts w:ascii="Calibri" w:cs="Calibri" w:eastAsia="Calibri" w:hAnsi="Calibri"/>
                <w:sz w:val="14"/>
                <w:szCs w:val="14"/>
                <w:color w:val="auto"/>
              </w:rPr>
              <w:t>8,756</w:t>
            </w:r>
          </w:p>
        </w:tc>
        <w:tc>
          <w:tcPr>
            <w:tcW w:w="1360" w:type="dxa"/>
            <w:vAlign w:val="bottom"/>
            <w:tcBorders>
              <w:top w:val="single" w:sz="8" w:color="002E6D"/>
            </w:tcBorders>
          </w:tcPr>
          <w:p>
            <w:pPr>
              <w:jc w:val="right"/>
              <w:ind w:right="92"/>
              <w:spacing w:after="0" w:line="164" w:lineRule="exact"/>
              <w:rPr>
                <w:sz w:val="20"/>
                <w:szCs w:val="20"/>
                <w:color w:val="auto"/>
              </w:rPr>
            </w:pPr>
            <w:r>
              <w:rPr>
                <w:rFonts w:ascii="Calibri" w:cs="Calibri" w:eastAsia="Calibri" w:hAnsi="Calibri"/>
                <w:sz w:val="14"/>
                <w:szCs w:val="14"/>
                <w:color w:val="auto"/>
              </w:rPr>
              <w:t>21,717</w:t>
            </w:r>
          </w:p>
        </w:tc>
        <w:tc>
          <w:tcPr>
            <w:tcW w:w="1480" w:type="dxa"/>
            <w:vAlign w:val="bottom"/>
            <w:tcBorders>
              <w:top w:val="single" w:sz="8" w:color="002E6D"/>
            </w:tcBorders>
          </w:tcPr>
          <w:p>
            <w:pPr>
              <w:jc w:val="right"/>
              <w:ind w:right="152"/>
              <w:spacing w:after="0" w:line="164" w:lineRule="exact"/>
              <w:rPr>
                <w:sz w:val="20"/>
                <w:szCs w:val="20"/>
                <w:color w:val="auto"/>
              </w:rPr>
            </w:pPr>
            <w:r>
              <w:rPr>
                <w:rFonts w:ascii="Calibri" w:cs="Calibri" w:eastAsia="Calibri" w:hAnsi="Calibri"/>
                <w:sz w:val="14"/>
                <w:szCs w:val="14"/>
                <w:color w:val="auto"/>
              </w:rPr>
              <w:t>153,383</w:t>
            </w:r>
          </w:p>
        </w:tc>
        <w:tc>
          <w:tcPr>
            <w:tcW w:w="1180" w:type="dxa"/>
            <w:vAlign w:val="bottom"/>
            <w:tcBorders>
              <w:top w:val="single" w:sz="8" w:color="002E6D"/>
            </w:tcBorders>
          </w:tcPr>
          <w:p>
            <w:pPr>
              <w:jc w:val="right"/>
              <w:ind w:right="112"/>
              <w:spacing w:after="0" w:line="164" w:lineRule="exact"/>
              <w:rPr>
                <w:sz w:val="20"/>
                <w:szCs w:val="20"/>
                <w:color w:val="auto"/>
              </w:rPr>
            </w:pPr>
            <w:r>
              <w:rPr>
                <w:rFonts w:ascii="Calibri" w:cs="Calibri" w:eastAsia="Calibri" w:hAnsi="Calibri"/>
                <w:sz w:val="14"/>
                <w:szCs w:val="14"/>
                <w:color w:val="auto"/>
              </w:rPr>
              <w:t>—</w:t>
            </w:r>
          </w:p>
        </w:tc>
        <w:tc>
          <w:tcPr>
            <w:tcW w:w="1180" w:type="dxa"/>
            <w:vAlign w:val="bottom"/>
            <w:tcBorders>
              <w:top w:val="single" w:sz="8" w:color="002E6D"/>
            </w:tcBorders>
          </w:tcPr>
          <w:p>
            <w:pPr>
              <w:jc w:val="right"/>
              <w:ind w:right="191"/>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Borders>
              <w:top w:val="single" w:sz="8" w:color="002E6D"/>
            </w:tcBorders>
          </w:tcPr>
          <w:p>
            <w:pPr>
              <w:jc w:val="right"/>
              <w:spacing w:after="0" w:line="164" w:lineRule="exact"/>
              <w:rPr>
                <w:sz w:val="20"/>
                <w:szCs w:val="20"/>
                <w:color w:val="auto"/>
              </w:rPr>
            </w:pPr>
            <w:r>
              <w:rPr>
                <w:rFonts w:ascii="Calibri" w:cs="Calibri" w:eastAsia="Calibri" w:hAnsi="Calibri"/>
                <w:sz w:val="14"/>
                <w:szCs w:val="14"/>
                <w:color w:val="auto"/>
              </w:rPr>
              <w:t>—</w:t>
            </w:r>
          </w:p>
        </w:tc>
      </w:tr>
      <w:tr>
        <w:trPr>
          <w:trHeight w:val="33"/>
        </w:trPr>
        <w:tc>
          <w:tcPr>
            <w:tcW w:w="320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r>
      <w:tr>
        <w:trPr>
          <w:trHeight w:val="163"/>
        </w:trPr>
        <w:tc>
          <w:tcPr>
            <w:tcW w:w="32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Malave</w:t>
            </w:r>
          </w:p>
        </w:tc>
        <w:tc>
          <w:tcPr>
            <w:tcW w:w="1300" w:type="dxa"/>
            <w:vAlign w:val="bottom"/>
          </w:tcPr>
          <w:p>
            <w:pPr>
              <w:jc w:val="right"/>
              <w:ind w:right="171"/>
              <w:spacing w:after="0" w:line="164" w:lineRule="exact"/>
              <w:rPr>
                <w:sz w:val="20"/>
                <w:szCs w:val="20"/>
                <w:color w:val="auto"/>
              </w:rPr>
            </w:pPr>
            <w:r>
              <w:rPr>
                <w:rFonts w:ascii="Calibri" w:cs="Calibri" w:eastAsia="Calibri" w:hAnsi="Calibri"/>
                <w:sz w:val="14"/>
                <w:szCs w:val="14"/>
                <w:color w:val="auto"/>
              </w:rPr>
              <w:t>168,038</w:t>
            </w:r>
          </w:p>
        </w:tc>
        <w:tc>
          <w:tcPr>
            <w:tcW w:w="1360" w:type="dxa"/>
            <w:vAlign w:val="bottom"/>
          </w:tcPr>
          <w:p>
            <w:pPr>
              <w:jc w:val="right"/>
              <w:ind w:right="92"/>
              <w:spacing w:after="0" w:line="164" w:lineRule="exact"/>
              <w:rPr>
                <w:sz w:val="20"/>
                <w:szCs w:val="20"/>
                <w:color w:val="auto"/>
              </w:rPr>
            </w:pPr>
            <w:r>
              <w:rPr>
                <w:rFonts w:ascii="Calibri" w:cs="Calibri" w:eastAsia="Calibri" w:hAnsi="Calibri"/>
                <w:sz w:val="14"/>
                <w:szCs w:val="14"/>
                <w:color w:val="auto"/>
              </w:rPr>
              <w:t>29,023</w:t>
            </w:r>
          </w:p>
        </w:tc>
        <w:tc>
          <w:tcPr>
            <w:tcW w:w="1480" w:type="dxa"/>
            <w:vAlign w:val="bottom"/>
          </w:tcPr>
          <w:p>
            <w:pPr>
              <w:jc w:val="right"/>
              <w:ind w:right="152"/>
              <w:spacing w:after="0" w:line="164" w:lineRule="exact"/>
              <w:rPr>
                <w:sz w:val="20"/>
                <w:szCs w:val="20"/>
                <w:color w:val="auto"/>
              </w:rPr>
            </w:pPr>
            <w:r>
              <w:rPr>
                <w:rFonts w:ascii="Calibri" w:cs="Calibri" w:eastAsia="Calibri" w:hAnsi="Calibri"/>
                <w:sz w:val="14"/>
                <w:szCs w:val="14"/>
                <w:color w:val="auto"/>
              </w:rPr>
              <w:t>33,761</w:t>
            </w:r>
          </w:p>
        </w:tc>
        <w:tc>
          <w:tcPr>
            <w:tcW w:w="1180" w:type="dxa"/>
            <w:vAlign w:val="bottom"/>
          </w:tcPr>
          <w:p>
            <w:pPr>
              <w:jc w:val="right"/>
              <w:ind w:right="112"/>
              <w:spacing w:after="0" w:line="164" w:lineRule="exact"/>
              <w:rPr>
                <w:sz w:val="20"/>
                <w:szCs w:val="20"/>
                <w:color w:val="auto"/>
              </w:rPr>
            </w:pPr>
            <w:r>
              <w:rPr>
                <w:rFonts w:ascii="Calibri" w:cs="Calibri" w:eastAsia="Calibri" w:hAnsi="Calibri"/>
                <w:sz w:val="14"/>
                <w:szCs w:val="14"/>
                <w:color w:val="auto"/>
              </w:rPr>
              <w:t>1,000</w:t>
            </w:r>
          </w:p>
        </w:tc>
        <w:tc>
          <w:tcPr>
            <w:tcW w:w="1180" w:type="dxa"/>
            <w:vAlign w:val="bottom"/>
          </w:tcPr>
          <w:p>
            <w:pPr>
              <w:jc w:val="right"/>
              <w:ind w:right="191"/>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color w:val="auto"/>
              </w:rPr>
              <w:t>10,000</w:t>
            </w:r>
          </w:p>
        </w:tc>
      </w:tr>
      <w:tr>
        <w:trPr>
          <w:trHeight w:val="33"/>
        </w:trPr>
        <w:tc>
          <w:tcPr>
            <w:tcW w:w="320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r>
      <w:tr>
        <w:trPr>
          <w:trHeight w:val="163"/>
        </w:trPr>
        <w:tc>
          <w:tcPr>
            <w:tcW w:w="32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Mollard</w:t>
            </w:r>
          </w:p>
        </w:tc>
        <w:tc>
          <w:tcPr>
            <w:tcW w:w="1300" w:type="dxa"/>
            <w:vAlign w:val="bottom"/>
          </w:tcPr>
          <w:p>
            <w:pPr>
              <w:jc w:val="right"/>
              <w:ind w:right="171"/>
              <w:spacing w:after="0" w:line="164" w:lineRule="exact"/>
              <w:rPr>
                <w:sz w:val="20"/>
                <w:szCs w:val="20"/>
                <w:color w:val="auto"/>
              </w:rPr>
            </w:pPr>
            <w:r>
              <w:rPr>
                <w:rFonts w:ascii="Calibri" w:cs="Calibri" w:eastAsia="Calibri" w:hAnsi="Calibri"/>
                <w:sz w:val="14"/>
                <w:szCs w:val="14"/>
                <w:color w:val="auto"/>
              </w:rPr>
              <w:t>722</w:t>
            </w:r>
          </w:p>
        </w:tc>
        <w:tc>
          <w:tcPr>
            <w:tcW w:w="1360" w:type="dxa"/>
            <w:vAlign w:val="bottom"/>
          </w:tcPr>
          <w:p>
            <w:pPr>
              <w:jc w:val="right"/>
              <w:ind w:right="92"/>
              <w:spacing w:after="0" w:line="164" w:lineRule="exact"/>
              <w:rPr>
                <w:sz w:val="20"/>
                <w:szCs w:val="20"/>
                <w:color w:val="auto"/>
              </w:rPr>
            </w:pPr>
            <w:r>
              <w:rPr>
                <w:rFonts w:ascii="Calibri" w:cs="Calibri" w:eastAsia="Calibri" w:hAnsi="Calibri"/>
                <w:sz w:val="14"/>
                <w:szCs w:val="14"/>
                <w:color w:val="auto"/>
              </w:rPr>
              <w:t>21,580</w:t>
            </w:r>
          </w:p>
        </w:tc>
        <w:tc>
          <w:tcPr>
            <w:tcW w:w="1480" w:type="dxa"/>
            <w:vAlign w:val="bottom"/>
          </w:tcPr>
          <w:p>
            <w:pPr>
              <w:jc w:val="right"/>
              <w:ind w:right="152"/>
              <w:spacing w:after="0" w:line="164" w:lineRule="exact"/>
              <w:rPr>
                <w:sz w:val="20"/>
                <w:szCs w:val="20"/>
                <w:color w:val="auto"/>
              </w:rPr>
            </w:pPr>
            <w:r>
              <w:rPr>
                <w:rFonts w:ascii="Calibri" w:cs="Calibri" w:eastAsia="Calibri" w:hAnsi="Calibri"/>
                <w:sz w:val="14"/>
                <w:szCs w:val="14"/>
                <w:color w:val="auto"/>
              </w:rPr>
              <w:t>29,160</w:t>
            </w:r>
          </w:p>
        </w:tc>
        <w:tc>
          <w:tcPr>
            <w:tcW w:w="1180" w:type="dxa"/>
            <w:vAlign w:val="bottom"/>
          </w:tcPr>
          <w:p>
            <w:pPr>
              <w:jc w:val="right"/>
              <w:ind w:right="112"/>
              <w:spacing w:after="0" w:line="164" w:lineRule="exact"/>
              <w:rPr>
                <w:sz w:val="20"/>
                <w:szCs w:val="20"/>
                <w:color w:val="auto"/>
              </w:rPr>
            </w:pPr>
            <w:r>
              <w:rPr>
                <w:rFonts w:ascii="Calibri" w:cs="Calibri" w:eastAsia="Calibri" w:hAnsi="Calibri"/>
                <w:sz w:val="14"/>
                <w:szCs w:val="14"/>
                <w:color w:val="auto"/>
              </w:rPr>
              <w:t>1,800</w:t>
            </w:r>
          </w:p>
        </w:tc>
        <w:tc>
          <w:tcPr>
            <w:tcW w:w="1180" w:type="dxa"/>
            <w:vAlign w:val="bottom"/>
          </w:tcPr>
          <w:p>
            <w:pPr>
              <w:jc w:val="right"/>
              <w:ind w:right="191"/>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color w:val="auto"/>
              </w:rPr>
              <w:t>1,000</w:t>
            </w:r>
          </w:p>
        </w:tc>
      </w:tr>
      <w:tr>
        <w:trPr>
          <w:trHeight w:val="33"/>
        </w:trPr>
        <w:tc>
          <w:tcPr>
            <w:tcW w:w="320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r>
      <w:tr>
        <w:trPr>
          <w:trHeight w:val="163"/>
        </w:trPr>
        <w:tc>
          <w:tcPr>
            <w:tcW w:w="32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St. John</w:t>
            </w:r>
          </w:p>
        </w:tc>
        <w:tc>
          <w:tcPr>
            <w:tcW w:w="1300" w:type="dxa"/>
            <w:vAlign w:val="bottom"/>
          </w:tcPr>
          <w:p>
            <w:pPr>
              <w:jc w:val="right"/>
              <w:ind w:right="171"/>
              <w:spacing w:after="0" w:line="164" w:lineRule="exact"/>
              <w:rPr>
                <w:sz w:val="20"/>
                <w:szCs w:val="20"/>
                <w:color w:val="auto"/>
              </w:rPr>
            </w:pPr>
            <w:r>
              <w:rPr>
                <w:rFonts w:ascii="Calibri" w:cs="Calibri" w:eastAsia="Calibri" w:hAnsi="Calibri"/>
                <w:sz w:val="14"/>
                <w:szCs w:val="14"/>
                <w:color w:val="auto"/>
              </w:rPr>
              <w:t>4,950</w:t>
            </w:r>
          </w:p>
        </w:tc>
        <w:tc>
          <w:tcPr>
            <w:tcW w:w="1360" w:type="dxa"/>
            <w:vAlign w:val="bottom"/>
          </w:tcPr>
          <w:p>
            <w:pPr>
              <w:jc w:val="right"/>
              <w:ind w:right="92"/>
              <w:spacing w:after="0" w:line="164" w:lineRule="exact"/>
              <w:rPr>
                <w:sz w:val="20"/>
                <w:szCs w:val="20"/>
                <w:color w:val="auto"/>
              </w:rPr>
            </w:pPr>
            <w:r>
              <w:rPr>
                <w:rFonts w:ascii="Calibri" w:cs="Calibri" w:eastAsia="Calibri" w:hAnsi="Calibri"/>
                <w:sz w:val="14"/>
                <w:szCs w:val="14"/>
                <w:color w:val="auto"/>
              </w:rPr>
              <w:t>21,580</w:t>
            </w:r>
          </w:p>
        </w:tc>
        <w:tc>
          <w:tcPr>
            <w:tcW w:w="1480" w:type="dxa"/>
            <w:vAlign w:val="bottom"/>
          </w:tcPr>
          <w:p>
            <w:pPr>
              <w:jc w:val="right"/>
              <w:ind w:right="152"/>
              <w:spacing w:after="0" w:line="164" w:lineRule="exact"/>
              <w:rPr>
                <w:sz w:val="20"/>
                <w:szCs w:val="20"/>
                <w:color w:val="auto"/>
              </w:rPr>
            </w:pPr>
            <w:r>
              <w:rPr>
                <w:rFonts w:ascii="Calibri" w:cs="Calibri" w:eastAsia="Calibri" w:hAnsi="Calibri"/>
                <w:sz w:val="14"/>
                <w:szCs w:val="14"/>
                <w:color w:val="auto"/>
              </w:rPr>
              <w:t>78,420</w:t>
            </w:r>
          </w:p>
        </w:tc>
        <w:tc>
          <w:tcPr>
            <w:tcW w:w="1180" w:type="dxa"/>
            <w:vAlign w:val="bottom"/>
          </w:tcPr>
          <w:p>
            <w:pPr>
              <w:jc w:val="right"/>
              <w:ind w:right="112"/>
              <w:spacing w:after="0" w:line="164" w:lineRule="exact"/>
              <w:rPr>
                <w:sz w:val="20"/>
                <w:szCs w:val="20"/>
                <w:color w:val="auto"/>
              </w:rPr>
            </w:pPr>
            <w:r>
              <w:rPr>
                <w:rFonts w:ascii="Calibri" w:cs="Calibri" w:eastAsia="Calibri" w:hAnsi="Calibri"/>
                <w:sz w:val="14"/>
                <w:szCs w:val="14"/>
                <w:color w:val="auto"/>
              </w:rPr>
              <w:t>1,000</w:t>
            </w:r>
          </w:p>
        </w:tc>
        <w:tc>
          <w:tcPr>
            <w:tcW w:w="1180" w:type="dxa"/>
            <w:vAlign w:val="bottom"/>
          </w:tcPr>
          <w:p>
            <w:pPr>
              <w:jc w:val="right"/>
              <w:ind w:right="191"/>
              <w:spacing w:after="0" w:line="164" w:lineRule="exact"/>
              <w:rPr>
                <w:sz w:val="20"/>
                <w:szCs w:val="20"/>
                <w:color w:val="auto"/>
              </w:rPr>
            </w:pPr>
            <w:r>
              <w:rPr>
                <w:rFonts w:ascii="Calibri" w:cs="Calibri" w:eastAsia="Calibri" w:hAnsi="Calibri"/>
                <w:sz w:val="14"/>
                <w:szCs w:val="14"/>
                <w:color w:val="auto"/>
              </w:rPr>
              <w:t>3,360</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color w:val="auto"/>
              </w:rPr>
              <w:t>11,000</w:t>
            </w:r>
          </w:p>
        </w:tc>
      </w:tr>
      <w:tr>
        <w:trPr>
          <w:trHeight w:val="33"/>
        </w:trPr>
        <w:tc>
          <w:tcPr>
            <w:tcW w:w="320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r>
      <w:tr>
        <w:trPr>
          <w:trHeight w:val="163"/>
        </w:trPr>
        <w:tc>
          <w:tcPr>
            <w:tcW w:w="32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Greene</w:t>
            </w:r>
          </w:p>
        </w:tc>
        <w:tc>
          <w:tcPr>
            <w:tcW w:w="1300" w:type="dxa"/>
            <w:vAlign w:val="bottom"/>
          </w:tcPr>
          <w:p>
            <w:pPr>
              <w:jc w:val="right"/>
              <w:ind w:right="171"/>
              <w:spacing w:after="0" w:line="164" w:lineRule="exact"/>
              <w:rPr>
                <w:sz w:val="20"/>
                <w:szCs w:val="20"/>
                <w:color w:val="auto"/>
              </w:rPr>
            </w:pPr>
            <w:r>
              <w:rPr>
                <w:rFonts w:ascii="Calibri" w:cs="Calibri" w:eastAsia="Calibri" w:hAnsi="Calibri"/>
                <w:sz w:val="14"/>
                <w:szCs w:val="14"/>
                <w:color w:val="auto"/>
              </w:rPr>
              <w:t>2,893</w:t>
            </w:r>
          </w:p>
        </w:tc>
        <w:tc>
          <w:tcPr>
            <w:tcW w:w="1360" w:type="dxa"/>
            <w:vAlign w:val="bottom"/>
          </w:tcPr>
          <w:p>
            <w:pPr>
              <w:jc w:val="right"/>
              <w:ind w:right="92"/>
              <w:spacing w:after="0" w:line="164" w:lineRule="exact"/>
              <w:rPr>
                <w:sz w:val="20"/>
                <w:szCs w:val="20"/>
                <w:color w:val="auto"/>
              </w:rPr>
            </w:pPr>
            <w:r>
              <w:rPr>
                <w:rFonts w:ascii="Calibri" w:cs="Calibri" w:eastAsia="Calibri" w:hAnsi="Calibri"/>
                <w:sz w:val="14"/>
                <w:szCs w:val="14"/>
                <w:color w:val="auto"/>
              </w:rPr>
              <w:t>23,425</w:t>
            </w:r>
          </w:p>
        </w:tc>
        <w:tc>
          <w:tcPr>
            <w:tcW w:w="1480" w:type="dxa"/>
            <w:vAlign w:val="bottom"/>
          </w:tcPr>
          <w:p>
            <w:pPr>
              <w:jc w:val="right"/>
              <w:ind w:right="152"/>
              <w:spacing w:after="0" w:line="164" w:lineRule="exact"/>
              <w:rPr>
                <w:sz w:val="20"/>
                <w:szCs w:val="20"/>
                <w:color w:val="auto"/>
              </w:rPr>
            </w:pPr>
            <w:r>
              <w:rPr>
                <w:rFonts w:ascii="Calibri" w:cs="Calibri" w:eastAsia="Calibri" w:hAnsi="Calibri"/>
                <w:sz w:val="14"/>
                <w:szCs w:val="14"/>
                <w:color w:val="auto"/>
              </w:rPr>
              <w:t>73,075</w:t>
            </w:r>
          </w:p>
        </w:tc>
        <w:tc>
          <w:tcPr>
            <w:tcW w:w="1180" w:type="dxa"/>
            <w:vAlign w:val="bottom"/>
          </w:tcPr>
          <w:p>
            <w:pPr>
              <w:jc w:val="right"/>
              <w:ind w:right="112"/>
              <w:spacing w:after="0" w:line="164" w:lineRule="exact"/>
              <w:rPr>
                <w:sz w:val="20"/>
                <w:szCs w:val="20"/>
                <w:color w:val="auto"/>
              </w:rPr>
            </w:pPr>
            <w:r>
              <w:rPr>
                <w:rFonts w:ascii="Calibri" w:cs="Calibri" w:eastAsia="Calibri" w:hAnsi="Calibri"/>
                <w:sz w:val="14"/>
                <w:szCs w:val="14"/>
                <w:color w:val="auto"/>
              </w:rPr>
              <w:t>1,000</w:t>
            </w:r>
          </w:p>
        </w:tc>
        <w:tc>
          <w:tcPr>
            <w:tcW w:w="1180" w:type="dxa"/>
            <w:vAlign w:val="bottom"/>
          </w:tcPr>
          <w:p>
            <w:pPr>
              <w:jc w:val="right"/>
              <w:ind w:right="191"/>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color w:val="auto"/>
              </w:rPr>
              <w:t>1,000</w:t>
            </w:r>
          </w:p>
        </w:tc>
      </w:tr>
      <w:tr>
        <w:trPr>
          <w:trHeight w:val="33"/>
        </w:trPr>
        <w:tc>
          <w:tcPr>
            <w:tcW w:w="320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r>
      <w:tr>
        <w:trPr>
          <w:trHeight w:val="163"/>
        </w:trPr>
        <w:tc>
          <w:tcPr>
            <w:tcW w:w="32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Ms. Lavan</w:t>
            </w:r>
          </w:p>
        </w:tc>
        <w:tc>
          <w:tcPr>
            <w:tcW w:w="1300" w:type="dxa"/>
            <w:vAlign w:val="bottom"/>
          </w:tcPr>
          <w:p>
            <w:pPr>
              <w:jc w:val="right"/>
              <w:ind w:right="171"/>
              <w:spacing w:after="0" w:line="164" w:lineRule="exact"/>
              <w:rPr>
                <w:sz w:val="20"/>
                <w:szCs w:val="20"/>
                <w:color w:val="auto"/>
              </w:rPr>
            </w:pPr>
            <w:r>
              <w:rPr>
                <w:rFonts w:ascii="Calibri" w:cs="Calibri" w:eastAsia="Calibri" w:hAnsi="Calibri"/>
                <w:sz w:val="14"/>
                <w:szCs w:val="14"/>
                <w:color w:val="auto"/>
              </w:rPr>
              <w:t>1,193</w:t>
            </w:r>
          </w:p>
        </w:tc>
        <w:tc>
          <w:tcPr>
            <w:tcW w:w="1360" w:type="dxa"/>
            <w:vAlign w:val="bottom"/>
          </w:tcPr>
          <w:p>
            <w:pPr>
              <w:jc w:val="right"/>
              <w:ind w:right="92"/>
              <w:spacing w:after="0" w:line="164" w:lineRule="exact"/>
              <w:rPr>
                <w:sz w:val="20"/>
                <w:szCs w:val="20"/>
                <w:color w:val="auto"/>
              </w:rPr>
            </w:pPr>
            <w:r>
              <w:rPr>
                <w:rFonts w:ascii="Calibri" w:cs="Calibri" w:eastAsia="Calibri" w:hAnsi="Calibri"/>
                <w:sz w:val="14"/>
                <w:szCs w:val="14"/>
                <w:color w:val="auto"/>
              </w:rPr>
              <w:t>23,124</w:t>
            </w:r>
          </w:p>
        </w:tc>
        <w:tc>
          <w:tcPr>
            <w:tcW w:w="1480" w:type="dxa"/>
            <w:vAlign w:val="bottom"/>
          </w:tcPr>
          <w:p>
            <w:pPr>
              <w:jc w:val="right"/>
              <w:ind w:right="152"/>
              <w:spacing w:after="0" w:line="164" w:lineRule="exact"/>
              <w:rPr>
                <w:sz w:val="20"/>
                <w:szCs w:val="20"/>
                <w:color w:val="auto"/>
              </w:rPr>
            </w:pPr>
            <w:r>
              <w:rPr>
                <w:rFonts w:ascii="Calibri" w:cs="Calibri" w:eastAsia="Calibri" w:hAnsi="Calibri"/>
                <w:sz w:val="14"/>
                <w:szCs w:val="14"/>
                <w:color w:val="auto"/>
              </w:rPr>
              <w:t>66,877</w:t>
            </w:r>
          </w:p>
        </w:tc>
        <w:tc>
          <w:tcPr>
            <w:tcW w:w="1180" w:type="dxa"/>
            <w:vAlign w:val="bottom"/>
          </w:tcPr>
          <w:p>
            <w:pPr>
              <w:jc w:val="right"/>
              <w:ind w:right="112"/>
              <w:spacing w:after="0" w:line="164" w:lineRule="exact"/>
              <w:rPr>
                <w:sz w:val="20"/>
                <w:szCs w:val="20"/>
                <w:color w:val="auto"/>
              </w:rPr>
            </w:pPr>
            <w:r>
              <w:rPr>
                <w:rFonts w:ascii="Calibri" w:cs="Calibri" w:eastAsia="Calibri" w:hAnsi="Calibri"/>
                <w:sz w:val="14"/>
                <w:szCs w:val="14"/>
                <w:color w:val="auto"/>
              </w:rPr>
              <w:t>1,000</w:t>
            </w:r>
          </w:p>
        </w:tc>
        <w:tc>
          <w:tcPr>
            <w:tcW w:w="1180" w:type="dxa"/>
            <w:vAlign w:val="bottom"/>
          </w:tcPr>
          <w:p>
            <w:pPr>
              <w:jc w:val="right"/>
              <w:ind w:right="191"/>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color w:val="auto"/>
              </w:rPr>
              <w:t>11,575</w:t>
            </w:r>
          </w:p>
        </w:tc>
      </w:tr>
      <w:tr>
        <w:trPr>
          <w:trHeight w:val="33"/>
        </w:trPr>
        <w:tc>
          <w:tcPr>
            <w:tcW w:w="320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r>
      <w:tr>
        <w:trPr>
          <w:trHeight w:val="163"/>
        </w:trPr>
        <w:tc>
          <w:tcPr>
            <w:tcW w:w="3200" w:type="dxa"/>
            <w:vAlign w:val="bottom"/>
          </w:tcPr>
          <w:p>
            <w:pPr>
              <w:spacing w:after="0" w:line="164" w:lineRule="exact"/>
              <w:rPr>
                <w:sz w:val="20"/>
                <w:szCs w:val="20"/>
                <w:color w:val="auto"/>
              </w:rPr>
            </w:pPr>
            <w:r>
              <w:rPr>
                <w:rFonts w:ascii="Calibri" w:cs="Calibri" w:eastAsia="Calibri" w:hAnsi="Calibri"/>
                <w:sz w:val="14"/>
                <w:szCs w:val="14"/>
                <w:b w:val="1"/>
                <w:bCs w:val="1"/>
                <w:color w:val="002E6D"/>
              </w:rPr>
              <w:t>Mr. Ulmer</w:t>
            </w:r>
          </w:p>
        </w:tc>
        <w:tc>
          <w:tcPr>
            <w:tcW w:w="1300" w:type="dxa"/>
            <w:vAlign w:val="bottom"/>
          </w:tcPr>
          <w:p>
            <w:pPr>
              <w:jc w:val="right"/>
              <w:ind w:right="171"/>
              <w:spacing w:after="0" w:line="164" w:lineRule="exact"/>
              <w:rPr>
                <w:sz w:val="20"/>
                <w:szCs w:val="20"/>
                <w:color w:val="auto"/>
              </w:rPr>
            </w:pPr>
            <w:r>
              <w:rPr>
                <w:rFonts w:ascii="Calibri" w:cs="Calibri" w:eastAsia="Calibri" w:hAnsi="Calibri"/>
                <w:sz w:val="14"/>
                <w:szCs w:val="14"/>
                <w:color w:val="auto"/>
              </w:rPr>
              <w:t>1,774</w:t>
            </w:r>
          </w:p>
        </w:tc>
        <w:tc>
          <w:tcPr>
            <w:tcW w:w="1360" w:type="dxa"/>
            <w:vAlign w:val="bottom"/>
          </w:tcPr>
          <w:p>
            <w:pPr>
              <w:jc w:val="right"/>
              <w:ind w:right="92"/>
              <w:spacing w:after="0" w:line="164" w:lineRule="exact"/>
              <w:rPr>
                <w:sz w:val="20"/>
                <w:szCs w:val="20"/>
                <w:color w:val="auto"/>
              </w:rPr>
            </w:pPr>
            <w:r>
              <w:rPr>
                <w:rFonts w:ascii="Calibri" w:cs="Calibri" w:eastAsia="Calibri" w:hAnsi="Calibri"/>
                <w:sz w:val="14"/>
                <w:szCs w:val="14"/>
                <w:color w:val="auto"/>
              </w:rPr>
              <w:t>25,133</w:t>
            </w:r>
          </w:p>
        </w:tc>
        <w:tc>
          <w:tcPr>
            <w:tcW w:w="1480" w:type="dxa"/>
            <w:vAlign w:val="bottom"/>
          </w:tcPr>
          <w:p>
            <w:pPr>
              <w:jc w:val="right"/>
              <w:ind w:right="152"/>
              <w:spacing w:after="0" w:line="164" w:lineRule="exact"/>
              <w:rPr>
                <w:sz w:val="20"/>
                <w:szCs w:val="20"/>
                <w:color w:val="auto"/>
              </w:rPr>
            </w:pPr>
            <w:r>
              <w:rPr>
                <w:rFonts w:ascii="Calibri" w:cs="Calibri" w:eastAsia="Calibri" w:hAnsi="Calibri"/>
                <w:sz w:val="14"/>
                <w:szCs w:val="14"/>
                <w:color w:val="auto"/>
              </w:rPr>
              <w:t>71,367</w:t>
            </w:r>
          </w:p>
        </w:tc>
        <w:tc>
          <w:tcPr>
            <w:tcW w:w="1180" w:type="dxa"/>
            <w:vAlign w:val="bottom"/>
          </w:tcPr>
          <w:p>
            <w:pPr>
              <w:jc w:val="right"/>
              <w:ind w:right="112"/>
              <w:spacing w:after="0" w:line="164" w:lineRule="exact"/>
              <w:rPr>
                <w:sz w:val="20"/>
                <w:szCs w:val="20"/>
                <w:color w:val="auto"/>
              </w:rPr>
            </w:pPr>
            <w:r>
              <w:rPr>
                <w:rFonts w:ascii="Calibri" w:cs="Calibri" w:eastAsia="Calibri" w:hAnsi="Calibri"/>
                <w:sz w:val="14"/>
                <w:szCs w:val="14"/>
                <w:color w:val="auto"/>
              </w:rPr>
              <w:t>1,000</w:t>
            </w:r>
          </w:p>
        </w:tc>
        <w:tc>
          <w:tcPr>
            <w:tcW w:w="1180" w:type="dxa"/>
            <w:vAlign w:val="bottom"/>
          </w:tcPr>
          <w:p>
            <w:pPr>
              <w:jc w:val="right"/>
              <w:ind w:right="191"/>
              <w:spacing w:after="0" w:line="164"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spacing w:after="0" w:line="164" w:lineRule="exact"/>
              <w:rPr>
                <w:sz w:val="20"/>
                <w:szCs w:val="20"/>
                <w:color w:val="auto"/>
              </w:rPr>
            </w:pPr>
            <w:r>
              <w:rPr>
                <w:rFonts w:ascii="Calibri" w:cs="Calibri" w:eastAsia="Calibri" w:hAnsi="Calibri"/>
                <w:sz w:val="14"/>
                <w:szCs w:val="14"/>
                <w:color w:val="auto"/>
              </w:rPr>
              <w:t>1,000</w:t>
            </w:r>
          </w:p>
        </w:tc>
      </w:tr>
      <w:tr>
        <w:trPr>
          <w:trHeight w:val="33"/>
        </w:trPr>
        <w:tc>
          <w:tcPr>
            <w:tcW w:w="320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4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539750</wp:posOffset>
            </wp:positionV>
            <wp:extent cx="1071880" cy="1803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1" w:right="359" w:bottom="1440" w:gutter="0" w:footer="0" w:header="0"/>
        </w:sectPr>
      </w:pPr>
    </w:p>
    <w:bookmarkStart w:id="66" w:name="page67"/>
    <w:bookmarkEnd w:id="66"/>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0" w:type="dxa"/>
            <w:vAlign w:val="bottom"/>
            <w:gridSpan w:val="3"/>
          </w:tcPr>
          <w:p>
            <w:pPr>
              <w:ind w:left="280"/>
              <w:spacing w:after="0"/>
              <w:rPr>
                <w:sz w:val="20"/>
                <w:szCs w:val="20"/>
                <w:color w:val="auto"/>
              </w:rPr>
            </w:pPr>
            <w:r>
              <w:rPr>
                <w:rFonts w:ascii="Arial" w:cs="Arial" w:eastAsia="Arial" w:hAnsi="Arial"/>
                <w:sz w:val="15"/>
                <w:szCs w:val="15"/>
                <w:color w:val="003478"/>
              </w:rPr>
              <w:t>Executive Compensation</w:t>
            </w:r>
          </w:p>
        </w:tc>
        <w:tc>
          <w:tcPr>
            <w:tcW w:w="0" w:type="dxa"/>
            <w:vAlign w:val="bottom"/>
          </w:tcPr>
          <w:p>
            <w:pPr>
              <w:spacing w:after="0"/>
              <w:rPr>
                <w:sz w:val="1"/>
                <w:szCs w:val="1"/>
                <w:color w:val="auto"/>
              </w:rPr>
            </w:pPr>
          </w:p>
        </w:tc>
      </w:tr>
      <w:tr>
        <w:trPr>
          <w:trHeight w:val="962"/>
        </w:trPr>
        <w:tc>
          <w:tcPr>
            <w:tcW w:w="4960" w:type="dxa"/>
            <w:vAlign w:val="bottom"/>
            <w:gridSpan w:val="4"/>
          </w:tcPr>
          <w:p>
            <w:pPr>
              <w:spacing w:after="0"/>
              <w:rPr>
                <w:sz w:val="20"/>
                <w:szCs w:val="20"/>
                <w:color w:val="auto"/>
              </w:rPr>
            </w:pPr>
            <w:r>
              <w:rPr>
                <w:rFonts w:ascii="Arial" w:cs="Arial" w:eastAsia="Arial" w:hAnsi="Arial"/>
                <w:sz w:val="29"/>
                <w:szCs w:val="29"/>
                <w:color w:val="003478"/>
              </w:rPr>
              <w:t>2022 Grants of Plan-Based Awards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E5E7EF"/>
          </w:tcPr>
          <w:p>
            <w:pPr>
              <w:spacing w:after="0"/>
              <w:rPr>
                <w:sz w:val="16"/>
                <w:szCs w:val="16"/>
                <w:color w:val="auto"/>
              </w:rPr>
            </w:pPr>
          </w:p>
        </w:tc>
        <w:tc>
          <w:tcPr>
            <w:tcW w:w="900" w:type="dxa"/>
            <w:vAlign w:val="bottom"/>
            <w:shd w:val="clear" w:color="auto" w:fill="E5E7EF"/>
          </w:tcPr>
          <w:p>
            <w:pPr>
              <w:spacing w:after="0"/>
              <w:rPr>
                <w:sz w:val="16"/>
                <w:szCs w:val="16"/>
                <w:color w:val="auto"/>
              </w:rPr>
            </w:pPr>
          </w:p>
        </w:tc>
        <w:tc>
          <w:tcPr>
            <w:tcW w:w="820" w:type="dxa"/>
            <w:vAlign w:val="bottom"/>
            <w:shd w:val="clear" w:color="auto" w:fill="E5E7EF"/>
          </w:tcPr>
          <w:p>
            <w:pPr>
              <w:spacing w:after="0"/>
              <w:rPr>
                <w:sz w:val="16"/>
                <w:szCs w:val="16"/>
                <w:color w:val="auto"/>
              </w:rPr>
            </w:pPr>
          </w:p>
        </w:tc>
        <w:tc>
          <w:tcPr>
            <w:tcW w:w="820" w:type="dxa"/>
            <w:vAlign w:val="bottom"/>
            <w:shd w:val="clear" w:color="auto" w:fill="E5E7EF"/>
          </w:tcPr>
          <w:p>
            <w:pPr>
              <w:spacing w:after="0"/>
              <w:rPr>
                <w:sz w:val="16"/>
                <w:szCs w:val="16"/>
                <w:color w:val="auto"/>
              </w:rPr>
            </w:pPr>
          </w:p>
        </w:tc>
        <w:tc>
          <w:tcPr>
            <w:tcW w:w="880" w:type="dxa"/>
            <w:vAlign w:val="bottom"/>
            <w:shd w:val="clear" w:color="auto" w:fill="E5E7EF"/>
          </w:tcPr>
          <w:p>
            <w:pPr>
              <w:spacing w:after="0"/>
              <w:rPr>
                <w:sz w:val="16"/>
                <w:szCs w:val="16"/>
                <w:color w:val="auto"/>
              </w:rPr>
            </w:pPr>
          </w:p>
        </w:tc>
        <w:tc>
          <w:tcPr>
            <w:tcW w:w="860" w:type="dxa"/>
            <w:vAlign w:val="bottom"/>
            <w:shd w:val="clear" w:color="auto" w:fill="E5E7EF"/>
          </w:tcPr>
          <w:p>
            <w:pPr>
              <w:spacing w:after="0"/>
              <w:rPr>
                <w:sz w:val="16"/>
                <w:szCs w:val="16"/>
                <w:color w:val="auto"/>
              </w:rPr>
            </w:pPr>
          </w:p>
        </w:tc>
        <w:tc>
          <w:tcPr>
            <w:tcW w:w="100" w:type="dxa"/>
            <w:vAlign w:val="bottom"/>
            <w:shd w:val="clear" w:color="auto" w:fill="E5E7EF"/>
          </w:tcPr>
          <w:p>
            <w:pPr>
              <w:spacing w:after="0"/>
              <w:rPr>
                <w:sz w:val="16"/>
                <w:szCs w:val="16"/>
                <w:color w:val="auto"/>
              </w:rPr>
            </w:pPr>
          </w:p>
        </w:tc>
        <w:tc>
          <w:tcPr>
            <w:tcW w:w="1000" w:type="dxa"/>
            <w:vAlign w:val="bottom"/>
            <w:shd w:val="clear" w:color="auto" w:fill="E5E7EF"/>
          </w:tcPr>
          <w:p>
            <w:pPr>
              <w:spacing w:after="0"/>
              <w:rPr>
                <w:sz w:val="16"/>
                <w:szCs w:val="16"/>
                <w:color w:val="auto"/>
              </w:rPr>
            </w:pPr>
          </w:p>
        </w:tc>
        <w:tc>
          <w:tcPr>
            <w:tcW w:w="740" w:type="dxa"/>
            <w:vAlign w:val="bottom"/>
            <w:shd w:val="clear" w:color="auto" w:fill="E5E7EF"/>
          </w:tcPr>
          <w:p>
            <w:pPr>
              <w:spacing w:after="0"/>
              <w:rPr>
                <w:sz w:val="16"/>
                <w:szCs w:val="16"/>
                <w:color w:val="auto"/>
              </w:rPr>
            </w:pPr>
          </w:p>
        </w:tc>
        <w:tc>
          <w:tcPr>
            <w:tcW w:w="720" w:type="dxa"/>
            <w:vAlign w:val="bottom"/>
            <w:shd w:val="clear" w:color="auto" w:fill="E5E7EF"/>
          </w:tcPr>
          <w:p>
            <w:pPr>
              <w:spacing w:after="0"/>
              <w:rPr>
                <w:sz w:val="16"/>
                <w:szCs w:val="16"/>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All Other</w:t>
            </w:r>
          </w:p>
        </w:tc>
        <w:tc>
          <w:tcPr>
            <w:tcW w:w="1100" w:type="dxa"/>
            <w:vAlign w:val="bottom"/>
            <w:shd w:val="clear" w:color="auto" w:fill="E5E7E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E5E7EF"/>
          </w:tcPr>
          <w:p>
            <w:pPr>
              <w:spacing w:after="0"/>
              <w:rPr>
                <w:sz w:val="12"/>
                <w:szCs w:val="12"/>
                <w:color w:val="auto"/>
              </w:rPr>
            </w:pPr>
          </w:p>
        </w:tc>
        <w:tc>
          <w:tcPr>
            <w:tcW w:w="900" w:type="dxa"/>
            <w:vAlign w:val="bottom"/>
            <w:shd w:val="clear" w:color="auto" w:fill="E5E7EF"/>
          </w:tcPr>
          <w:p>
            <w:pPr>
              <w:spacing w:after="0"/>
              <w:rPr>
                <w:sz w:val="12"/>
                <w:szCs w:val="12"/>
                <w:color w:val="auto"/>
              </w:rPr>
            </w:pPr>
          </w:p>
        </w:tc>
        <w:tc>
          <w:tcPr>
            <w:tcW w:w="820" w:type="dxa"/>
            <w:vAlign w:val="bottom"/>
            <w:shd w:val="clear" w:color="auto" w:fill="E5E7EF"/>
          </w:tcPr>
          <w:p>
            <w:pPr>
              <w:spacing w:after="0"/>
              <w:rPr>
                <w:sz w:val="12"/>
                <w:szCs w:val="12"/>
                <w:color w:val="auto"/>
              </w:rPr>
            </w:pPr>
          </w:p>
        </w:tc>
        <w:tc>
          <w:tcPr>
            <w:tcW w:w="2560" w:type="dxa"/>
            <w:vAlign w:val="bottom"/>
            <w:gridSpan w:val="3"/>
            <w:vMerge w:val="restart"/>
            <w:shd w:val="clear" w:color="auto" w:fill="E5E7EF"/>
          </w:tcPr>
          <w:p>
            <w:pPr>
              <w:jc w:val="right"/>
              <w:ind w:right="289"/>
              <w:spacing w:after="0"/>
              <w:rPr>
                <w:sz w:val="20"/>
                <w:szCs w:val="20"/>
                <w:color w:val="auto"/>
              </w:rPr>
            </w:pPr>
            <w:r>
              <w:rPr>
                <w:rFonts w:ascii="Arial" w:cs="Arial" w:eastAsia="Arial" w:hAnsi="Arial"/>
                <w:sz w:val="13"/>
                <w:szCs w:val="13"/>
                <w:color w:val="auto"/>
              </w:rPr>
              <w:t>Estimated Future Payouts Under</w:t>
            </w:r>
          </w:p>
        </w:tc>
        <w:tc>
          <w:tcPr>
            <w:tcW w:w="100" w:type="dxa"/>
            <w:vAlign w:val="bottom"/>
            <w:shd w:val="clear" w:color="auto" w:fill="E5E7EF"/>
          </w:tcPr>
          <w:p>
            <w:pPr>
              <w:spacing w:after="0"/>
              <w:rPr>
                <w:sz w:val="12"/>
                <w:szCs w:val="12"/>
                <w:color w:val="auto"/>
              </w:rPr>
            </w:pPr>
          </w:p>
        </w:tc>
        <w:tc>
          <w:tcPr>
            <w:tcW w:w="2460" w:type="dxa"/>
            <w:vAlign w:val="bottom"/>
            <w:gridSpan w:val="3"/>
            <w:vMerge w:val="restart"/>
            <w:shd w:val="clear" w:color="auto" w:fill="E5E7EF"/>
          </w:tcPr>
          <w:p>
            <w:pPr>
              <w:jc w:val="right"/>
              <w:ind w:right="249"/>
              <w:spacing w:after="0"/>
              <w:rPr>
                <w:sz w:val="20"/>
                <w:szCs w:val="20"/>
                <w:color w:val="auto"/>
              </w:rPr>
            </w:pPr>
            <w:r>
              <w:rPr>
                <w:rFonts w:ascii="Arial" w:cs="Arial" w:eastAsia="Arial" w:hAnsi="Arial"/>
                <w:sz w:val="13"/>
                <w:szCs w:val="13"/>
                <w:color w:val="auto"/>
              </w:rPr>
              <w:t>Estimated Future Payouts Under</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Stock</w:t>
            </w:r>
          </w:p>
        </w:tc>
        <w:tc>
          <w:tcPr>
            <w:tcW w:w="1100" w:type="dxa"/>
            <w:vAlign w:val="bottom"/>
            <w:shd w:val="clear" w:color="auto" w:fill="E5E7E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shd w:val="clear" w:color="auto" w:fill="E5E7EF"/>
          </w:tcPr>
          <w:p>
            <w:pPr>
              <w:spacing w:after="0"/>
              <w:rPr>
                <w:sz w:val="10"/>
                <w:szCs w:val="10"/>
                <w:color w:val="auto"/>
              </w:rPr>
            </w:pPr>
          </w:p>
        </w:tc>
        <w:tc>
          <w:tcPr>
            <w:tcW w:w="900" w:type="dxa"/>
            <w:vAlign w:val="bottom"/>
            <w:shd w:val="clear" w:color="auto" w:fill="E5E7EF"/>
          </w:tcPr>
          <w:p>
            <w:pPr>
              <w:spacing w:after="0"/>
              <w:rPr>
                <w:sz w:val="10"/>
                <w:szCs w:val="10"/>
                <w:color w:val="auto"/>
              </w:rPr>
            </w:pPr>
          </w:p>
        </w:tc>
        <w:tc>
          <w:tcPr>
            <w:tcW w:w="820" w:type="dxa"/>
            <w:vAlign w:val="bottom"/>
            <w:shd w:val="clear" w:color="auto" w:fill="E5E7EF"/>
          </w:tcPr>
          <w:p>
            <w:pPr>
              <w:spacing w:after="0"/>
              <w:rPr>
                <w:sz w:val="10"/>
                <w:szCs w:val="10"/>
                <w:color w:val="auto"/>
              </w:rPr>
            </w:pPr>
          </w:p>
        </w:tc>
        <w:tc>
          <w:tcPr>
            <w:tcW w:w="2560" w:type="dxa"/>
            <w:vAlign w:val="bottom"/>
            <w:gridSpan w:val="3"/>
            <w:vMerge w:val="continue"/>
            <w:shd w:val="clear" w:color="auto" w:fill="E5E7EF"/>
          </w:tcPr>
          <w:p>
            <w:pPr>
              <w:spacing w:after="0"/>
              <w:rPr>
                <w:sz w:val="10"/>
                <w:szCs w:val="10"/>
                <w:color w:val="auto"/>
              </w:rPr>
            </w:pPr>
          </w:p>
        </w:tc>
        <w:tc>
          <w:tcPr>
            <w:tcW w:w="100" w:type="dxa"/>
            <w:vAlign w:val="bottom"/>
            <w:shd w:val="clear" w:color="auto" w:fill="E5E7EF"/>
          </w:tcPr>
          <w:p>
            <w:pPr>
              <w:spacing w:after="0"/>
              <w:rPr>
                <w:sz w:val="10"/>
                <w:szCs w:val="10"/>
                <w:color w:val="auto"/>
              </w:rPr>
            </w:pPr>
          </w:p>
        </w:tc>
        <w:tc>
          <w:tcPr>
            <w:tcW w:w="2460" w:type="dxa"/>
            <w:vAlign w:val="bottom"/>
            <w:gridSpan w:val="3"/>
            <w:vMerge w:val="continue"/>
            <w:shd w:val="clear" w:color="auto" w:fill="E5E7EF"/>
          </w:tcPr>
          <w:p>
            <w:pPr>
              <w:spacing w:after="0"/>
              <w:rPr>
                <w:sz w:val="10"/>
                <w:szCs w:val="10"/>
                <w:color w:val="auto"/>
              </w:rPr>
            </w:pPr>
          </w:p>
        </w:tc>
        <w:tc>
          <w:tcPr>
            <w:tcW w:w="880" w:type="dxa"/>
            <w:vAlign w:val="bottom"/>
            <w:shd w:val="clear" w:color="auto" w:fill="E5E7EF"/>
          </w:tcPr>
          <w:p>
            <w:pPr>
              <w:jc w:val="right"/>
              <w:spacing w:after="0" w:line="126" w:lineRule="exact"/>
              <w:rPr>
                <w:sz w:val="20"/>
                <w:szCs w:val="20"/>
                <w:color w:val="auto"/>
              </w:rPr>
            </w:pPr>
            <w:r>
              <w:rPr>
                <w:rFonts w:ascii="Arial" w:cs="Arial" w:eastAsia="Arial" w:hAnsi="Arial"/>
                <w:sz w:val="13"/>
                <w:szCs w:val="13"/>
                <w:color w:val="auto"/>
              </w:rPr>
              <w:t>Awards:</w:t>
            </w:r>
          </w:p>
        </w:tc>
        <w:tc>
          <w:tcPr>
            <w:tcW w:w="1100" w:type="dxa"/>
            <w:vAlign w:val="bottom"/>
            <w:shd w:val="clear" w:color="auto" w:fill="E5E7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20" w:type="dxa"/>
            <w:vAlign w:val="bottom"/>
            <w:tcBorders>
              <w:bottom w:val="single" w:sz="8" w:color="E5E7EF"/>
            </w:tcBorders>
            <w:shd w:val="clear" w:color="auto" w:fill="E5E7EF"/>
          </w:tcPr>
          <w:p>
            <w:pPr>
              <w:spacing w:after="0"/>
              <w:rPr>
                <w:sz w:val="15"/>
                <w:szCs w:val="15"/>
                <w:color w:val="auto"/>
              </w:rPr>
            </w:pPr>
          </w:p>
        </w:tc>
        <w:tc>
          <w:tcPr>
            <w:tcW w:w="900" w:type="dxa"/>
            <w:vAlign w:val="bottom"/>
            <w:tcBorders>
              <w:bottom w:val="single" w:sz="8" w:color="E5E7EF"/>
            </w:tcBorders>
            <w:shd w:val="clear" w:color="auto" w:fill="E5E7EF"/>
          </w:tcPr>
          <w:p>
            <w:pPr>
              <w:spacing w:after="0"/>
              <w:rPr>
                <w:sz w:val="15"/>
                <w:szCs w:val="15"/>
                <w:color w:val="auto"/>
              </w:rPr>
            </w:pPr>
          </w:p>
        </w:tc>
        <w:tc>
          <w:tcPr>
            <w:tcW w:w="820" w:type="dxa"/>
            <w:vAlign w:val="bottom"/>
            <w:tcBorders>
              <w:bottom w:val="single" w:sz="8" w:color="E5E7EF"/>
            </w:tcBorders>
            <w:shd w:val="clear" w:color="auto" w:fill="E5E7EF"/>
          </w:tcPr>
          <w:p>
            <w:pPr>
              <w:spacing w:after="0"/>
              <w:rPr>
                <w:sz w:val="15"/>
                <w:szCs w:val="15"/>
                <w:color w:val="auto"/>
              </w:rPr>
            </w:pPr>
          </w:p>
        </w:tc>
        <w:tc>
          <w:tcPr>
            <w:tcW w:w="2560" w:type="dxa"/>
            <w:vAlign w:val="bottom"/>
            <w:tcBorders>
              <w:bottom w:val="single" w:sz="8" w:color="002E6D"/>
            </w:tcBorders>
            <w:gridSpan w:val="3"/>
            <w:shd w:val="clear" w:color="auto" w:fill="E5E7EF"/>
          </w:tcPr>
          <w:p>
            <w:pPr>
              <w:jc w:val="right"/>
              <w:ind w:right="209"/>
              <w:spacing w:after="0" w:line="171" w:lineRule="exact"/>
              <w:rPr>
                <w:sz w:val="20"/>
                <w:szCs w:val="20"/>
                <w:color w:val="auto"/>
              </w:rPr>
            </w:pPr>
            <w:r>
              <w:rPr>
                <w:rFonts w:ascii="Arial" w:cs="Arial" w:eastAsia="Arial" w:hAnsi="Arial"/>
                <w:sz w:val="13"/>
                <w:szCs w:val="13"/>
                <w:color w:val="auto"/>
              </w:rPr>
              <w:t>Non-Equity Incentive Plan Awards</w:t>
            </w:r>
            <w:r>
              <w:rPr>
                <w:rFonts w:ascii="Arial" w:cs="Arial" w:eastAsia="Arial" w:hAnsi="Arial"/>
                <w:sz w:val="16"/>
                <w:szCs w:val="16"/>
                <w:color w:val="auto"/>
                <w:vertAlign w:val="superscript"/>
              </w:rPr>
              <w:t>(1)</w:t>
            </w:r>
          </w:p>
        </w:tc>
        <w:tc>
          <w:tcPr>
            <w:tcW w:w="100" w:type="dxa"/>
            <w:vAlign w:val="bottom"/>
            <w:tcBorders>
              <w:bottom w:val="single" w:sz="8" w:color="E5E7EF"/>
            </w:tcBorders>
            <w:shd w:val="clear" w:color="auto" w:fill="E5E7EF"/>
          </w:tcPr>
          <w:p>
            <w:pPr>
              <w:spacing w:after="0"/>
              <w:rPr>
                <w:sz w:val="15"/>
                <w:szCs w:val="15"/>
                <w:color w:val="auto"/>
              </w:rPr>
            </w:pPr>
          </w:p>
        </w:tc>
        <w:tc>
          <w:tcPr>
            <w:tcW w:w="2460" w:type="dxa"/>
            <w:vAlign w:val="bottom"/>
            <w:tcBorders>
              <w:bottom w:val="single" w:sz="8" w:color="002E6D"/>
            </w:tcBorders>
            <w:gridSpan w:val="3"/>
            <w:shd w:val="clear" w:color="auto" w:fill="E5E7EF"/>
          </w:tcPr>
          <w:p>
            <w:pPr>
              <w:jc w:val="right"/>
              <w:ind w:right="289"/>
              <w:spacing w:after="0" w:line="171" w:lineRule="exact"/>
              <w:rPr>
                <w:sz w:val="20"/>
                <w:szCs w:val="20"/>
                <w:color w:val="auto"/>
              </w:rPr>
            </w:pPr>
            <w:r>
              <w:rPr>
                <w:rFonts w:ascii="Arial" w:cs="Arial" w:eastAsia="Arial" w:hAnsi="Arial"/>
                <w:sz w:val="13"/>
                <w:szCs w:val="13"/>
                <w:color w:val="auto"/>
              </w:rPr>
              <w:t>Equity Incentive Plan Awards</w:t>
            </w:r>
            <w:r>
              <w:rPr>
                <w:rFonts w:ascii="Arial" w:cs="Arial" w:eastAsia="Arial" w:hAnsi="Arial"/>
                <w:sz w:val="16"/>
                <w:szCs w:val="16"/>
                <w:color w:val="auto"/>
                <w:vertAlign w:val="superscript"/>
              </w:rPr>
              <w:t>(2)</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Number of</w:t>
            </w:r>
          </w:p>
        </w:tc>
        <w:tc>
          <w:tcPr>
            <w:tcW w:w="1100" w:type="dxa"/>
            <w:vAlign w:val="bottom"/>
            <w:tcBorders>
              <w:bottom w:val="single" w:sz="8" w:color="E5E7EF"/>
            </w:tcBorders>
            <w:shd w:val="clear" w:color="auto" w:fill="E5E7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20" w:type="dxa"/>
            <w:vAlign w:val="bottom"/>
            <w:shd w:val="clear" w:color="auto" w:fill="E5E7EF"/>
          </w:tcPr>
          <w:p>
            <w:pPr>
              <w:spacing w:after="0"/>
              <w:rPr>
                <w:sz w:val="10"/>
                <w:szCs w:val="10"/>
                <w:color w:val="auto"/>
              </w:rPr>
            </w:pPr>
          </w:p>
        </w:tc>
        <w:tc>
          <w:tcPr>
            <w:tcW w:w="900" w:type="dxa"/>
            <w:vAlign w:val="bottom"/>
            <w:shd w:val="clear" w:color="auto" w:fill="E5E7EF"/>
          </w:tcPr>
          <w:p>
            <w:pPr>
              <w:spacing w:after="0"/>
              <w:rPr>
                <w:sz w:val="10"/>
                <w:szCs w:val="10"/>
                <w:color w:val="auto"/>
              </w:rPr>
            </w:pPr>
          </w:p>
        </w:tc>
        <w:tc>
          <w:tcPr>
            <w:tcW w:w="820" w:type="dxa"/>
            <w:vAlign w:val="bottom"/>
            <w:shd w:val="clear" w:color="auto" w:fill="E5E7EF"/>
          </w:tcPr>
          <w:p>
            <w:pPr>
              <w:spacing w:after="0"/>
              <w:rPr>
                <w:sz w:val="10"/>
                <w:szCs w:val="10"/>
                <w:color w:val="auto"/>
              </w:rPr>
            </w:pPr>
          </w:p>
        </w:tc>
        <w:tc>
          <w:tcPr>
            <w:tcW w:w="820" w:type="dxa"/>
            <w:vAlign w:val="bottom"/>
            <w:shd w:val="clear" w:color="auto" w:fill="E5E7EF"/>
          </w:tcPr>
          <w:p>
            <w:pPr>
              <w:spacing w:after="0"/>
              <w:rPr>
                <w:sz w:val="10"/>
                <w:szCs w:val="10"/>
                <w:color w:val="auto"/>
              </w:rPr>
            </w:pPr>
          </w:p>
        </w:tc>
        <w:tc>
          <w:tcPr>
            <w:tcW w:w="880" w:type="dxa"/>
            <w:vAlign w:val="bottom"/>
            <w:shd w:val="clear" w:color="auto" w:fill="E5E7EF"/>
          </w:tcPr>
          <w:p>
            <w:pPr>
              <w:spacing w:after="0"/>
              <w:rPr>
                <w:sz w:val="10"/>
                <w:szCs w:val="10"/>
                <w:color w:val="auto"/>
              </w:rPr>
            </w:pPr>
          </w:p>
        </w:tc>
        <w:tc>
          <w:tcPr>
            <w:tcW w:w="860" w:type="dxa"/>
            <w:vAlign w:val="bottom"/>
            <w:shd w:val="clear" w:color="auto" w:fill="E5E7EF"/>
          </w:tcPr>
          <w:p>
            <w:pPr>
              <w:spacing w:after="0"/>
              <w:rPr>
                <w:sz w:val="10"/>
                <w:szCs w:val="10"/>
                <w:color w:val="auto"/>
              </w:rPr>
            </w:pPr>
          </w:p>
        </w:tc>
        <w:tc>
          <w:tcPr>
            <w:tcW w:w="100" w:type="dxa"/>
            <w:vAlign w:val="bottom"/>
            <w:shd w:val="clear" w:color="auto" w:fill="E5E7EF"/>
          </w:tcPr>
          <w:p>
            <w:pPr>
              <w:spacing w:after="0"/>
              <w:rPr>
                <w:sz w:val="10"/>
                <w:szCs w:val="10"/>
                <w:color w:val="auto"/>
              </w:rPr>
            </w:pPr>
          </w:p>
        </w:tc>
        <w:tc>
          <w:tcPr>
            <w:tcW w:w="1000" w:type="dxa"/>
            <w:vAlign w:val="bottom"/>
            <w:shd w:val="clear" w:color="auto" w:fill="E5E7EF"/>
          </w:tcPr>
          <w:p>
            <w:pPr>
              <w:spacing w:after="0"/>
              <w:rPr>
                <w:sz w:val="10"/>
                <w:szCs w:val="10"/>
                <w:color w:val="auto"/>
              </w:rPr>
            </w:pPr>
          </w:p>
        </w:tc>
        <w:tc>
          <w:tcPr>
            <w:tcW w:w="740" w:type="dxa"/>
            <w:vAlign w:val="bottom"/>
            <w:shd w:val="clear" w:color="auto" w:fill="E5E7EF"/>
          </w:tcPr>
          <w:p>
            <w:pPr>
              <w:spacing w:after="0"/>
              <w:rPr>
                <w:sz w:val="10"/>
                <w:szCs w:val="10"/>
                <w:color w:val="auto"/>
              </w:rPr>
            </w:pPr>
          </w:p>
        </w:tc>
        <w:tc>
          <w:tcPr>
            <w:tcW w:w="720" w:type="dxa"/>
            <w:vAlign w:val="bottom"/>
            <w:shd w:val="clear" w:color="auto" w:fill="E5E7EF"/>
          </w:tcPr>
          <w:p>
            <w:pPr>
              <w:spacing w:after="0"/>
              <w:rPr>
                <w:sz w:val="10"/>
                <w:szCs w:val="10"/>
                <w:color w:val="auto"/>
              </w:rPr>
            </w:pPr>
          </w:p>
        </w:tc>
        <w:tc>
          <w:tcPr>
            <w:tcW w:w="880" w:type="dxa"/>
            <w:vAlign w:val="bottom"/>
            <w:shd w:val="clear" w:color="auto" w:fill="E5E7EF"/>
          </w:tcPr>
          <w:p>
            <w:pPr>
              <w:jc w:val="right"/>
              <w:spacing w:after="0" w:line="117" w:lineRule="exact"/>
              <w:rPr>
                <w:sz w:val="20"/>
                <w:szCs w:val="20"/>
                <w:color w:val="auto"/>
              </w:rPr>
            </w:pPr>
            <w:r>
              <w:rPr>
                <w:rFonts w:ascii="Arial" w:cs="Arial" w:eastAsia="Arial" w:hAnsi="Arial"/>
                <w:sz w:val="13"/>
                <w:szCs w:val="13"/>
                <w:color w:val="auto"/>
              </w:rPr>
              <w:t>Shares of</w:t>
            </w:r>
          </w:p>
        </w:tc>
        <w:tc>
          <w:tcPr>
            <w:tcW w:w="1100" w:type="dxa"/>
            <w:vAlign w:val="bottom"/>
            <w:shd w:val="clear" w:color="auto" w:fill="E5E7EF"/>
          </w:tcPr>
          <w:p>
            <w:pPr>
              <w:jc w:val="right"/>
              <w:spacing w:after="0" w:line="117" w:lineRule="exact"/>
              <w:rPr>
                <w:sz w:val="20"/>
                <w:szCs w:val="20"/>
                <w:color w:val="auto"/>
              </w:rPr>
            </w:pPr>
            <w:r>
              <w:rPr>
                <w:rFonts w:ascii="Arial" w:cs="Arial" w:eastAsia="Arial" w:hAnsi="Arial"/>
                <w:sz w:val="13"/>
                <w:szCs w:val="13"/>
                <w:color w:val="auto"/>
              </w:rPr>
              <w:t>Grant Date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E5E7EF"/>
          </w:tcPr>
          <w:p>
            <w:pPr>
              <w:spacing w:after="0"/>
              <w:rPr>
                <w:sz w:val="12"/>
                <w:szCs w:val="12"/>
                <w:color w:val="auto"/>
              </w:rPr>
            </w:pPr>
          </w:p>
        </w:tc>
        <w:tc>
          <w:tcPr>
            <w:tcW w:w="900" w:type="dxa"/>
            <w:vAlign w:val="bottom"/>
            <w:shd w:val="clear" w:color="auto" w:fill="E5E7EF"/>
          </w:tcPr>
          <w:p>
            <w:pPr>
              <w:spacing w:after="0"/>
              <w:rPr>
                <w:sz w:val="12"/>
                <w:szCs w:val="12"/>
                <w:color w:val="auto"/>
              </w:rPr>
            </w:pPr>
          </w:p>
        </w:tc>
        <w:tc>
          <w:tcPr>
            <w:tcW w:w="820" w:type="dxa"/>
            <w:vAlign w:val="bottom"/>
            <w:shd w:val="clear" w:color="auto" w:fill="E5E7EF"/>
          </w:tcPr>
          <w:p>
            <w:pPr>
              <w:spacing w:after="0"/>
              <w:rPr>
                <w:sz w:val="12"/>
                <w:szCs w:val="12"/>
                <w:color w:val="auto"/>
              </w:rPr>
            </w:pPr>
          </w:p>
        </w:tc>
        <w:tc>
          <w:tcPr>
            <w:tcW w:w="820" w:type="dxa"/>
            <w:vAlign w:val="bottom"/>
            <w:shd w:val="clear" w:color="auto" w:fill="E5E7EF"/>
          </w:tcPr>
          <w:p>
            <w:pPr>
              <w:spacing w:after="0"/>
              <w:rPr>
                <w:sz w:val="12"/>
                <w:szCs w:val="12"/>
                <w:color w:val="auto"/>
              </w:rPr>
            </w:pPr>
          </w:p>
        </w:tc>
        <w:tc>
          <w:tcPr>
            <w:tcW w:w="880" w:type="dxa"/>
            <w:vAlign w:val="bottom"/>
            <w:shd w:val="clear" w:color="auto" w:fill="E5E7EF"/>
          </w:tcPr>
          <w:p>
            <w:pPr>
              <w:spacing w:after="0"/>
              <w:rPr>
                <w:sz w:val="12"/>
                <w:szCs w:val="12"/>
                <w:color w:val="auto"/>
              </w:rPr>
            </w:pPr>
          </w:p>
        </w:tc>
        <w:tc>
          <w:tcPr>
            <w:tcW w:w="860" w:type="dxa"/>
            <w:vAlign w:val="bottom"/>
            <w:shd w:val="clear" w:color="auto" w:fill="E5E7EF"/>
          </w:tcPr>
          <w:p>
            <w:pPr>
              <w:spacing w:after="0"/>
              <w:rPr>
                <w:sz w:val="12"/>
                <w:szCs w:val="12"/>
                <w:color w:val="auto"/>
              </w:rPr>
            </w:pPr>
          </w:p>
        </w:tc>
        <w:tc>
          <w:tcPr>
            <w:tcW w:w="100" w:type="dxa"/>
            <w:vAlign w:val="bottom"/>
            <w:shd w:val="clear" w:color="auto" w:fill="E5E7EF"/>
          </w:tcPr>
          <w:p>
            <w:pPr>
              <w:spacing w:after="0"/>
              <w:rPr>
                <w:sz w:val="12"/>
                <w:szCs w:val="12"/>
                <w:color w:val="auto"/>
              </w:rPr>
            </w:pPr>
          </w:p>
        </w:tc>
        <w:tc>
          <w:tcPr>
            <w:tcW w:w="1000" w:type="dxa"/>
            <w:vAlign w:val="bottom"/>
            <w:shd w:val="clear" w:color="auto" w:fill="E5E7EF"/>
          </w:tcPr>
          <w:p>
            <w:pPr>
              <w:spacing w:after="0"/>
              <w:rPr>
                <w:sz w:val="12"/>
                <w:szCs w:val="12"/>
                <w:color w:val="auto"/>
              </w:rPr>
            </w:pPr>
          </w:p>
        </w:tc>
        <w:tc>
          <w:tcPr>
            <w:tcW w:w="740" w:type="dxa"/>
            <w:vAlign w:val="bottom"/>
            <w:shd w:val="clear" w:color="auto" w:fill="E5E7EF"/>
          </w:tcPr>
          <w:p>
            <w:pPr>
              <w:spacing w:after="0"/>
              <w:rPr>
                <w:sz w:val="12"/>
                <w:szCs w:val="12"/>
                <w:color w:val="auto"/>
              </w:rPr>
            </w:pPr>
          </w:p>
        </w:tc>
        <w:tc>
          <w:tcPr>
            <w:tcW w:w="720" w:type="dxa"/>
            <w:vAlign w:val="bottom"/>
            <w:shd w:val="clear" w:color="auto" w:fill="E5E7EF"/>
          </w:tcPr>
          <w:p>
            <w:pPr>
              <w:spacing w:after="0"/>
              <w:rPr>
                <w:sz w:val="12"/>
                <w:szCs w:val="12"/>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Stock or</w:t>
            </w:r>
          </w:p>
        </w:tc>
        <w:tc>
          <w:tcPr>
            <w:tcW w:w="11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Fair Value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420" w:type="dxa"/>
            <w:vAlign w:val="bottom"/>
            <w:shd w:val="clear" w:color="auto" w:fill="E5E7EF"/>
          </w:tcPr>
          <w:p>
            <w:pPr>
              <w:spacing w:after="0"/>
              <w:rPr>
                <w:sz w:val="18"/>
                <w:szCs w:val="18"/>
                <w:color w:val="auto"/>
              </w:rPr>
            </w:pPr>
          </w:p>
        </w:tc>
        <w:tc>
          <w:tcPr>
            <w:tcW w:w="90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Grant</w:t>
            </w:r>
          </w:p>
        </w:tc>
        <w:tc>
          <w:tcPr>
            <w:tcW w:w="82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Award</w:t>
            </w:r>
          </w:p>
        </w:tc>
        <w:tc>
          <w:tcPr>
            <w:tcW w:w="8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Threshold</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Target</w:t>
            </w:r>
          </w:p>
        </w:tc>
        <w:tc>
          <w:tcPr>
            <w:tcW w:w="8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Maximum</w:t>
            </w:r>
          </w:p>
        </w:tc>
        <w:tc>
          <w:tcPr>
            <w:tcW w:w="100" w:type="dxa"/>
            <w:vAlign w:val="bottom"/>
            <w:shd w:val="clear" w:color="auto" w:fill="E5E7EF"/>
          </w:tcPr>
          <w:p>
            <w:pPr>
              <w:spacing w:after="0"/>
              <w:rPr>
                <w:sz w:val="18"/>
                <w:szCs w:val="18"/>
                <w:color w:val="auto"/>
              </w:rPr>
            </w:pPr>
          </w:p>
        </w:tc>
        <w:tc>
          <w:tcPr>
            <w:tcW w:w="1000" w:type="dxa"/>
            <w:vAlign w:val="bottom"/>
            <w:shd w:val="clear" w:color="auto" w:fill="E5E7EF"/>
          </w:tcPr>
          <w:p>
            <w:pPr>
              <w:jc w:val="right"/>
              <w:ind w:right="129"/>
              <w:spacing w:after="0"/>
              <w:rPr>
                <w:sz w:val="20"/>
                <w:szCs w:val="20"/>
                <w:color w:val="auto"/>
              </w:rPr>
            </w:pPr>
            <w:r>
              <w:rPr>
                <w:rFonts w:ascii="Arial" w:cs="Arial" w:eastAsia="Arial" w:hAnsi="Arial"/>
                <w:sz w:val="13"/>
                <w:szCs w:val="13"/>
                <w:color w:val="auto"/>
              </w:rPr>
              <w:t>Threshold</w:t>
            </w:r>
          </w:p>
        </w:tc>
        <w:tc>
          <w:tcPr>
            <w:tcW w:w="74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Target</w:t>
            </w:r>
          </w:p>
        </w:tc>
        <w:tc>
          <w:tcPr>
            <w:tcW w:w="7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Maximum</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Units</w:t>
            </w:r>
            <w:r>
              <w:rPr>
                <w:rFonts w:ascii="Arial" w:cs="Arial" w:eastAsia="Arial" w:hAnsi="Arial"/>
                <w:sz w:val="16"/>
                <w:szCs w:val="16"/>
                <w:color w:val="auto"/>
                <w:vertAlign w:val="superscript"/>
              </w:rPr>
              <w:t>(3)</w:t>
            </w:r>
          </w:p>
        </w:tc>
        <w:tc>
          <w:tcPr>
            <w:tcW w:w="11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Stock Awards</w:t>
            </w:r>
            <w:r>
              <w:rPr>
                <w:rFonts w:ascii="Arial" w:cs="Arial" w:eastAsia="Arial" w:hAnsi="Arial"/>
                <w:sz w:val="16"/>
                <w:szCs w:val="16"/>
                <w:color w:val="auto"/>
                <w:vertAlign w:val="superscript"/>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20" w:type="dxa"/>
            <w:vAlign w:val="bottom"/>
            <w:shd w:val="clear" w:color="auto" w:fill="E5E7EF"/>
          </w:tcPr>
          <w:p>
            <w:pPr>
              <w:spacing w:after="0" w:line="20" w:lineRule="exact"/>
              <w:rPr>
                <w:sz w:val="1"/>
                <w:szCs w:val="1"/>
                <w:color w:val="auto"/>
              </w:rPr>
            </w:pPr>
          </w:p>
        </w:tc>
        <w:tc>
          <w:tcPr>
            <w:tcW w:w="900" w:type="dxa"/>
            <w:vAlign w:val="bottom"/>
            <w:vMerge w:val="continue"/>
            <w:shd w:val="clear" w:color="auto" w:fill="E5E7EF"/>
          </w:tcPr>
          <w:p>
            <w:pPr>
              <w:spacing w:after="0" w:line="20" w:lineRule="exact"/>
              <w:rPr>
                <w:sz w:val="1"/>
                <w:szCs w:val="1"/>
                <w:color w:val="auto"/>
              </w:rPr>
            </w:pPr>
          </w:p>
        </w:tc>
        <w:tc>
          <w:tcPr>
            <w:tcW w:w="820" w:type="dxa"/>
            <w:vAlign w:val="bottom"/>
            <w:vMerge w:val="continue"/>
            <w:shd w:val="clear" w:color="auto" w:fill="E5E7EF"/>
          </w:tcPr>
          <w:p>
            <w:pPr>
              <w:spacing w:after="0" w:line="20" w:lineRule="exact"/>
              <w:rPr>
                <w:sz w:val="1"/>
                <w:szCs w:val="1"/>
                <w:color w:val="auto"/>
              </w:rPr>
            </w:pPr>
          </w:p>
        </w:tc>
        <w:tc>
          <w:tcPr>
            <w:tcW w:w="820" w:type="dxa"/>
            <w:vAlign w:val="bottom"/>
            <w:shd w:val="clear" w:color="auto" w:fill="E5E7EF"/>
          </w:tcPr>
          <w:p>
            <w:pPr>
              <w:spacing w:after="0" w:line="20" w:lineRule="exact"/>
              <w:rPr>
                <w:sz w:val="1"/>
                <w:szCs w:val="1"/>
                <w:color w:val="auto"/>
              </w:rPr>
            </w:pPr>
          </w:p>
        </w:tc>
        <w:tc>
          <w:tcPr>
            <w:tcW w:w="880" w:type="dxa"/>
            <w:vAlign w:val="bottom"/>
            <w:shd w:val="clear" w:color="auto" w:fill="E5E7EF"/>
          </w:tcPr>
          <w:p>
            <w:pPr>
              <w:spacing w:after="0" w:line="20" w:lineRule="exact"/>
              <w:rPr>
                <w:sz w:val="1"/>
                <w:szCs w:val="1"/>
                <w:color w:val="auto"/>
              </w:rPr>
            </w:pPr>
          </w:p>
        </w:tc>
        <w:tc>
          <w:tcPr>
            <w:tcW w:w="860" w:type="dxa"/>
            <w:vAlign w:val="bottom"/>
            <w:shd w:val="clear" w:color="auto" w:fill="E5E7EF"/>
          </w:tcPr>
          <w:p>
            <w:pPr>
              <w:spacing w:after="0" w:line="20" w:lineRule="exact"/>
              <w:rPr>
                <w:sz w:val="1"/>
                <w:szCs w:val="1"/>
                <w:color w:val="auto"/>
              </w:rPr>
            </w:pPr>
          </w:p>
        </w:tc>
        <w:tc>
          <w:tcPr>
            <w:tcW w:w="100" w:type="dxa"/>
            <w:vAlign w:val="bottom"/>
            <w:shd w:val="clear" w:color="auto" w:fill="E5E7EF"/>
          </w:tcPr>
          <w:p>
            <w:pPr>
              <w:spacing w:after="0" w:line="20" w:lineRule="exact"/>
              <w:rPr>
                <w:sz w:val="1"/>
                <w:szCs w:val="1"/>
                <w:color w:val="auto"/>
              </w:rPr>
            </w:pPr>
          </w:p>
        </w:tc>
        <w:tc>
          <w:tcPr>
            <w:tcW w:w="1000" w:type="dxa"/>
            <w:vAlign w:val="bottom"/>
            <w:shd w:val="clear" w:color="auto" w:fill="E5E7EF"/>
          </w:tcPr>
          <w:p>
            <w:pPr>
              <w:spacing w:after="0" w:line="20" w:lineRule="exact"/>
              <w:rPr>
                <w:sz w:val="1"/>
                <w:szCs w:val="1"/>
                <w:color w:val="auto"/>
              </w:rPr>
            </w:pPr>
          </w:p>
        </w:tc>
        <w:tc>
          <w:tcPr>
            <w:tcW w:w="740" w:type="dxa"/>
            <w:vAlign w:val="bottom"/>
            <w:shd w:val="clear" w:color="auto" w:fill="E5E7EF"/>
          </w:tcPr>
          <w:p>
            <w:pPr>
              <w:spacing w:after="0" w:line="20" w:lineRule="exact"/>
              <w:rPr>
                <w:sz w:val="1"/>
                <w:szCs w:val="1"/>
                <w:color w:val="auto"/>
              </w:rPr>
            </w:pPr>
          </w:p>
        </w:tc>
        <w:tc>
          <w:tcPr>
            <w:tcW w:w="720" w:type="dxa"/>
            <w:vAlign w:val="bottom"/>
            <w:shd w:val="clear" w:color="auto" w:fill="E5E7EF"/>
          </w:tcPr>
          <w:p>
            <w:pPr>
              <w:spacing w:after="0" w:line="20" w:lineRule="exact"/>
              <w:rPr>
                <w:sz w:val="1"/>
                <w:szCs w:val="1"/>
                <w:color w:val="auto"/>
              </w:rPr>
            </w:pPr>
          </w:p>
        </w:tc>
        <w:tc>
          <w:tcPr>
            <w:tcW w:w="880" w:type="dxa"/>
            <w:vAlign w:val="bottom"/>
            <w:shd w:val="clear" w:color="auto" w:fill="E5E7EF"/>
          </w:tcPr>
          <w:p>
            <w:pPr>
              <w:spacing w:after="0" w:line="20" w:lineRule="exact"/>
              <w:rPr>
                <w:sz w:val="1"/>
                <w:szCs w:val="1"/>
                <w:color w:val="auto"/>
              </w:rPr>
            </w:pPr>
          </w:p>
        </w:tc>
        <w:tc>
          <w:tcPr>
            <w:tcW w:w="1100" w:type="dxa"/>
            <w:vAlign w:val="bottom"/>
            <w:shd w:val="clear" w:color="auto" w:fill="E5E7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9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Date</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Type</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5E7EF"/>
            </w:tcBorders>
            <w:gridSpan w:val="2"/>
            <w:shd w:val="clear" w:color="auto" w:fill="E5E7EF"/>
          </w:tcPr>
          <w:p>
            <w:pPr>
              <w:jc w:val="right"/>
              <w:ind w:right="129"/>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5E7EF"/>
            </w:tcBorders>
            <w:shd w:val="clear" w:color="auto" w:fill="E5E7EF"/>
          </w:tcPr>
          <w:p>
            <w:pPr>
              <w:jc w:val="right"/>
              <w:ind w:right="89"/>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20" w:type="dxa"/>
            <w:vAlign w:val="bottom"/>
            <w:tcBorders>
              <w:top w:val="single" w:sz="8" w:color="002E6D"/>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90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820" w:type="dxa"/>
            <w:vAlign w:val="bottom"/>
            <w:tcBorders>
              <w:top w:val="single" w:sz="8" w:color="002E6D"/>
              <w:bottom w:val="single" w:sz="8" w:color="E5E7EF"/>
            </w:tcBorders>
            <w:shd w:val="clear" w:color="auto" w:fill="E5E7EF"/>
          </w:tcPr>
          <w:p>
            <w:pPr>
              <w:spacing w:after="0"/>
              <w:rPr>
                <w:sz w:val="17"/>
                <w:szCs w:val="17"/>
                <w:color w:val="auto"/>
              </w:rPr>
            </w:pPr>
          </w:p>
        </w:tc>
        <w:tc>
          <w:tcPr>
            <w:tcW w:w="82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(c)</w:t>
            </w:r>
          </w:p>
        </w:tc>
        <w:tc>
          <w:tcPr>
            <w:tcW w:w="88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(d)</w:t>
            </w:r>
          </w:p>
        </w:tc>
        <w:tc>
          <w:tcPr>
            <w:tcW w:w="86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(e)</w:t>
            </w:r>
          </w:p>
        </w:tc>
        <w:tc>
          <w:tcPr>
            <w:tcW w:w="100" w:type="dxa"/>
            <w:vAlign w:val="bottom"/>
            <w:tcBorders>
              <w:top w:val="single" w:sz="8" w:color="002E6D"/>
              <w:bottom w:val="single" w:sz="8" w:color="E5E7EF"/>
            </w:tcBorders>
            <w:shd w:val="clear" w:color="auto" w:fill="E5E7EF"/>
          </w:tcPr>
          <w:p>
            <w:pPr>
              <w:spacing w:after="0"/>
              <w:rPr>
                <w:sz w:val="17"/>
                <w:szCs w:val="17"/>
                <w:color w:val="auto"/>
              </w:rPr>
            </w:pPr>
          </w:p>
        </w:tc>
        <w:tc>
          <w:tcPr>
            <w:tcW w:w="1000" w:type="dxa"/>
            <w:vAlign w:val="bottom"/>
            <w:tcBorders>
              <w:top w:val="single" w:sz="8" w:color="002E6D"/>
              <w:bottom w:val="single" w:sz="8" w:color="E5E7EF"/>
            </w:tcBorders>
            <w:shd w:val="clear" w:color="auto" w:fill="E5E7EF"/>
          </w:tcPr>
          <w:p>
            <w:pPr>
              <w:jc w:val="right"/>
              <w:ind w:right="129"/>
              <w:spacing w:after="0"/>
              <w:rPr>
                <w:sz w:val="20"/>
                <w:szCs w:val="20"/>
                <w:color w:val="auto"/>
              </w:rPr>
            </w:pPr>
            <w:r>
              <w:rPr>
                <w:rFonts w:ascii="Arial" w:cs="Arial" w:eastAsia="Arial" w:hAnsi="Arial"/>
                <w:sz w:val="13"/>
                <w:szCs w:val="13"/>
                <w:color w:val="auto"/>
              </w:rPr>
              <w:t>(f)</w:t>
            </w:r>
          </w:p>
        </w:tc>
        <w:tc>
          <w:tcPr>
            <w:tcW w:w="740" w:type="dxa"/>
            <w:vAlign w:val="bottom"/>
            <w:tcBorders>
              <w:top w:val="single" w:sz="8" w:color="002E6D"/>
              <w:bottom w:val="single" w:sz="8" w:color="E5E7EF"/>
            </w:tcBorders>
            <w:shd w:val="clear" w:color="auto" w:fill="E5E7EF"/>
          </w:tcPr>
          <w:p>
            <w:pPr>
              <w:jc w:val="right"/>
              <w:ind w:right="89"/>
              <w:spacing w:after="0"/>
              <w:rPr>
                <w:sz w:val="20"/>
                <w:szCs w:val="20"/>
                <w:color w:val="auto"/>
              </w:rPr>
            </w:pPr>
            <w:r>
              <w:rPr>
                <w:rFonts w:ascii="Arial" w:cs="Arial" w:eastAsia="Arial" w:hAnsi="Arial"/>
                <w:sz w:val="13"/>
                <w:szCs w:val="13"/>
                <w:color w:val="auto"/>
              </w:rPr>
              <w:t>(g)</w:t>
            </w:r>
          </w:p>
        </w:tc>
        <w:tc>
          <w:tcPr>
            <w:tcW w:w="72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(h)</w:t>
            </w:r>
          </w:p>
        </w:tc>
        <w:tc>
          <w:tcPr>
            <w:tcW w:w="88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(i)</w:t>
            </w:r>
          </w:p>
        </w:tc>
        <w:tc>
          <w:tcPr>
            <w:tcW w:w="110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20" w:type="dxa"/>
            <w:vAlign w:val="bottom"/>
            <w:tcBorders>
              <w:top w:val="single" w:sz="8" w:color="003478"/>
            </w:tcBorders>
          </w:tcPr>
          <w:p>
            <w:pPr>
              <w:ind w:left="20"/>
              <w:spacing w:after="0" w:line="164" w:lineRule="exact"/>
              <w:rPr>
                <w:sz w:val="20"/>
                <w:szCs w:val="20"/>
                <w:color w:val="auto"/>
              </w:rPr>
            </w:pPr>
            <w:r>
              <w:rPr>
                <w:rFonts w:ascii="Calibri" w:cs="Calibri" w:eastAsia="Calibri" w:hAnsi="Calibri"/>
                <w:sz w:val="14"/>
                <w:szCs w:val="14"/>
                <w:b w:val="1"/>
                <w:bCs w:val="1"/>
                <w:color w:val="002E6D"/>
              </w:rPr>
              <w:t>James D. Taiclet</w:t>
            </w:r>
          </w:p>
        </w:tc>
        <w:tc>
          <w:tcPr>
            <w:tcW w:w="90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MICP</w:t>
            </w:r>
          </w:p>
        </w:tc>
        <w:tc>
          <w:tcPr>
            <w:tcW w:w="82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232,883</w:t>
            </w:r>
          </w:p>
        </w:tc>
        <w:tc>
          <w:tcPr>
            <w:tcW w:w="88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3,326,900</w:t>
            </w:r>
          </w:p>
        </w:tc>
        <w:tc>
          <w:tcPr>
            <w:tcW w:w="86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6,653,800</w:t>
            </w:r>
          </w:p>
        </w:tc>
        <w:tc>
          <w:tcPr>
            <w:tcW w:w="100" w:type="dxa"/>
            <w:vAlign w:val="bottom"/>
            <w:tcBorders>
              <w:top w:val="single" w:sz="8" w:color="002E6D"/>
              <w:bottom w:val="single" w:sz="8" w:color="E5E7EF"/>
            </w:tcBorders>
            <w:shd w:val="clear" w:color="auto" w:fill="E5E7EF"/>
          </w:tcPr>
          <w:p>
            <w:pPr>
              <w:spacing w:after="0"/>
              <w:rPr>
                <w:sz w:val="15"/>
                <w:szCs w:val="15"/>
                <w:color w:val="auto"/>
              </w:rPr>
            </w:pPr>
          </w:p>
        </w:tc>
        <w:tc>
          <w:tcPr>
            <w:tcW w:w="1000" w:type="dxa"/>
            <w:vAlign w:val="bottom"/>
            <w:tcBorders>
              <w:top w:val="single" w:sz="8" w:color="002E6D"/>
              <w:bottom w:val="single" w:sz="8" w:color="E5E7EF"/>
            </w:tcBorders>
            <w:shd w:val="clear" w:color="auto" w:fill="E5E7EF"/>
          </w:tcPr>
          <w:p>
            <w:pPr>
              <w:jc w:val="right"/>
              <w:ind w:right="129"/>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top w:val="single" w:sz="8" w:color="002E6D"/>
              <w:bottom w:val="single" w:sz="8" w:color="E5E7EF"/>
            </w:tcBorders>
            <w:shd w:val="clear" w:color="auto" w:fill="E5E7EF"/>
          </w:tcPr>
          <w:p>
            <w:pPr>
              <w:jc w:val="right"/>
              <w:ind w:right="89"/>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RSU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11,571</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4,490,358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420" w:type="dxa"/>
            <w:vAlign w:val="bottom"/>
          </w:tcPr>
          <w:p>
            <w:pPr>
              <w:spacing w:after="0"/>
              <w:rPr>
                <w:sz w:val="15"/>
                <w:szCs w:val="15"/>
                <w:color w:val="auto"/>
              </w:rPr>
            </w:pPr>
          </w:p>
        </w:tc>
        <w:tc>
          <w:tcPr>
            <w:tcW w:w="9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LTIP</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187,500</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3,000,000</w:t>
            </w:r>
          </w:p>
        </w:tc>
        <w:tc>
          <w:tcPr>
            <w:tcW w:w="86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6,000,000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PSU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gridSpan w:val="2"/>
          </w:tcPr>
          <w:p>
            <w:pPr>
              <w:jc w:val="right"/>
              <w:ind w:right="129"/>
              <w:spacing w:after="0"/>
              <w:rPr>
                <w:sz w:val="20"/>
                <w:szCs w:val="20"/>
                <w:color w:val="auto"/>
              </w:rPr>
            </w:pPr>
            <w:r>
              <w:rPr>
                <w:rFonts w:ascii="Calibri" w:cs="Calibri" w:eastAsia="Calibri" w:hAnsi="Calibri"/>
                <w:sz w:val="14"/>
                <w:szCs w:val="14"/>
                <w:color w:val="auto"/>
              </w:rPr>
              <w:t>1,206</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19,286</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38,572</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8,923,536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Borders>
              <w:bottom w:val="single" w:sz="8" w:color="939598"/>
            </w:tcBorders>
          </w:tcPr>
          <w:p>
            <w:pPr>
              <w:spacing w:after="0"/>
              <w:rPr>
                <w:sz w:val="2"/>
                <w:szCs w:val="2"/>
                <w:color w:val="auto"/>
              </w:rPr>
            </w:pPr>
          </w:p>
        </w:tc>
        <w:tc>
          <w:tcPr>
            <w:tcW w:w="90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86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Jesus Malave</w:t>
            </w:r>
          </w:p>
        </w:tc>
        <w:tc>
          <w:tcPr>
            <w:tcW w:w="9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MICP*</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70,928</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1,013,260</w:t>
            </w: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2,026,520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RSU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16,457</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6,394,491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Pr>
          <w:p>
            <w:pPr>
              <w:spacing w:after="0"/>
              <w:rPr>
                <w:sz w:val="15"/>
                <w:szCs w:val="15"/>
                <w:color w:val="auto"/>
              </w:rPr>
            </w:pPr>
          </w:p>
        </w:tc>
        <w:tc>
          <w:tcPr>
            <w:tcW w:w="9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LTIP</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100,000</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1,600,000</w:t>
            </w:r>
          </w:p>
        </w:tc>
        <w:tc>
          <w:tcPr>
            <w:tcW w:w="86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3,200,000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PSU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gridSpan w:val="2"/>
          </w:tcPr>
          <w:p>
            <w:pPr>
              <w:jc w:val="right"/>
              <w:ind w:right="129"/>
              <w:spacing w:after="0"/>
              <w:rPr>
                <w:sz w:val="20"/>
                <w:szCs w:val="20"/>
                <w:color w:val="auto"/>
              </w:rPr>
            </w:pPr>
            <w:r>
              <w:rPr>
                <w:rFonts w:ascii="Calibri" w:cs="Calibri" w:eastAsia="Calibri" w:hAnsi="Calibri"/>
                <w:sz w:val="14"/>
                <w:szCs w:val="14"/>
                <w:color w:val="auto"/>
              </w:rPr>
              <w:t>643</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10,286</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20,572</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4,759,281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Borders>
              <w:bottom w:val="single" w:sz="8" w:color="929292"/>
            </w:tcBorders>
          </w:tcPr>
          <w:p>
            <w:pPr>
              <w:spacing w:after="0"/>
              <w:rPr>
                <w:sz w:val="2"/>
                <w:szCs w:val="2"/>
                <w:color w:val="auto"/>
              </w:rPr>
            </w:pPr>
          </w:p>
        </w:tc>
        <w:tc>
          <w:tcPr>
            <w:tcW w:w="90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860" w:type="dxa"/>
            <w:vAlign w:val="bottom"/>
            <w:tcBorders>
              <w:bottom w:val="single" w:sz="8" w:color="929292"/>
            </w:tcBorders>
          </w:tcPr>
          <w:p>
            <w:pPr>
              <w:spacing w:after="0"/>
              <w:rPr>
                <w:sz w:val="2"/>
                <w:szCs w:val="2"/>
                <w:color w:val="auto"/>
              </w:rPr>
            </w:pPr>
          </w:p>
        </w:tc>
        <w:tc>
          <w:tcPr>
            <w:tcW w:w="100" w:type="dxa"/>
            <w:vAlign w:val="bottom"/>
            <w:tcBorders>
              <w:bottom w:val="single" w:sz="8" w:color="929292"/>
            </w:tcBorders>
          </w:tcPr>
          <w:p>
            <w:pPr>
              <w:spacing w:after="0"/>
              <w:rPr>
                <w:sz w:val="2"/>
                <w:szCs w:val="2"/>
                <w:color w:val="auto"/>
              </w:rPr>
            </w:pPr>
          </w:p>
        </w:tc>
        <w:tc>
          <w:tcPr>
            <w:tcW w:w="100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720" w:type="dxa"/>
            <w:vAlign w:val="bottom"/>
            <w:tcBorders>
              <w:bottom w:val="single" w:sz="8" w:color="929292"/>
            </w:tcBorders>
          </w:tcPr>
          <w:p>
            <w:pPr>
              <w:spacing w:after="0"/>
              <w:rPr>
                <w:sz w:val="2"/>
                <w:szCs w:val="2"/>
                <w:color w:val="auto"/>
              </w:rPr>
            </w:pPr>
          </w:p>
        </w:tc>
        <w:tc>
          <w:tcPr>
            <w:tcW w:w="88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John W. Mollard</w:t>
            </w:r>
          </w:p>
        </w:tc>
        <w:tc>
          <w:tcPr>
            <w:tcW w:w="9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MICP</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24,990</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357,000</w:t>
            </w: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714,000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RSU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2,314</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898,997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Pr>
          <w:p>
            <w:pPr>
              <w:spacing w:after="0"/>
              <w:rPr>
                <w:sz w:val="15"/>
                <w:szCs w:val="15"/>
                <w:color w:val="auto"/>
              </w:rPr>
            </w:pPr>
          </w:p>
        </w:tc>
        <w:tc>
          <w:tcPr>
            <w:tcW w:w="9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LTIP</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20,000</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320,000</w:t>
            </w:r>
          </w:p>
        </w:tc>
        <w:tc>
          <w:tcPr>
            <w:tcW w:w="86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640,000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PSU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gridSpan w:val="2"/>
          </w:tcPr>
          <w:p>
            <w:pPr>
              <w:jc w:val="right"/>
              <w:ind w:right="129"/>
              <w:spacing w:after="0"/>
              <w:rPr>
                <w:sz w:val="20"/>
                <w:szCs w:val="20"/>
                <w:color w:val="auto"/>
              </w:rPr>
            </w:pPr>
            <w:r>
              <w:rPr>
                <w:rFonts w:ascii="Calibri" w:cs="Calibri" w:eastAsia="Calibri" w:hAnsi="Calibri"/>
                <w:sz w:val="14"/>
                <w:szCs w:val="14"/>
                <w:color w:val="auto"/>
              </w:rPr>
              <w:t>13</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207</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414</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95,852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Frank A. St. John</w:t>
            </w:r>
          </w:p>
        </w:tc>
        <w:tc>
          <w:tcPr>
            <w:tcW w:w="9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MICP</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105,000</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1,500,000</w:t>
            </w: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3,000,000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RSU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4,628</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1,795,988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Pr>
          <w:p>
            <w:pPr>
              <w:spacing w:after="0"/>
              <w:rPr>
                <w:sz w:val="15"/>
                <w:szCs w:val="15"/>
                <w:color w:val="auto"/>
              </w:rPr>
            </w:pPr>
          </w:p>
        </w:tc>
        <w:tc>
          <w:tcPr>
            <w:tcW w:w="9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LTIP</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75,000</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1,200,000</w:t>
            </w:r>
          </w:p>
        </w:tc>
        <w:tc>
          <w:tcPr>
            <w:tcW w:w="86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2,400,000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PSU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gridSpan w:val="2"/>
          </w:tcPr>
          <w:p>
            <w:pPr>
              <w:jc w:val="right"/>
              <w:ind w:right="129"/>
              <w:spacing w:after="0"/>
              <w:rPr>
                <w:sz w:val="20"/>
                <w:szCs w:val="20"/>
                <w:color w:val="auto"/>
              </w:rPr>
            </w:pPr>
            <w:r>
              <w:rPr>
                <w:rFonts w:ascii="Calibri" w:cs="Calibri" w:eastAsia="Calibri" w:hAnsi="Calibri"/>
                <w:sz w:val="14"/>
                <w:szCs w:val="14"/>
                <w:color w:val="auto"/>
              </w:rPr>
              <w:t>483</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7,715</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15,430</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3,569,767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Scot T. Greene</w:t>
            </w:r>
          </w:p>
        </w:tc>
        <w:tc>
          <w:tcPr>
            <w:tcW w:w="9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MICP</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77,683</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1,109,750</w:t>
            </w: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2,219,500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RSU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3,085</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1,197,196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Pr>
          <w:p>
            <w:pPr>
              <w:spacing w:after="0"/>
              <w:rPr>
                <w:sz w:val="15"/>
                <w:szCs w:val="15"/>
                <w:color w:val="auto"/>
              </w:rPr>
            </w:pPr>
          </w:p>
        </w:tc>
        <w:tc>
          <w:tcPr>
            <w:tcW w:w="9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LTIP</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50,000</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800,000</w:t>
            </w:r>
          </w:p>
        </w:tc>
        <w:tc>
          <w:tcPr>
            <w:tcW w:w="86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1,600,000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PSU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gridSpan w:val="2"/>
          </w:tcPr>
          <w:p>
            <w:pPr>
              <w:jc w:val="right"/>
              <w:ind w:right="129"/>
              <w:spacing w:after="0"/>
              <w:rPr>
                <w:sz w:val="20"/>
                <w:szCs w:val="20"/>
                <w:color w:val="auto"/>
              </w:rPr>
            </w:pPr>
            <w:r>
              <w:rPr>
                <w:rFonts w:ascii="Calibri" w:cs="Calibri" w:eastAsia="Calibri" w:hAnsi="Calibri"/>
                <w:sz w:val="14"/>
                <w:szCs w:val="14"/>
                <w:color w:val="auto"/>
              </w:rPr>
              <w:t>322</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5,144</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10,288</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2,380,103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Maryanne R. Lavan</w:t>
            </w:r>
          </w:p>
        </w:tc>
        <w:tc>
          <w:tcPr>
            <w:tcW w:w="9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MICP</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69,300</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990,000</w:t>
            </w: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1,980,000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RSU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2,777</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1,077,670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Pr>
          <w:p>
            <w:pPr>
              <w:spacing w:after="0"/>
              <w:rPr>
                <w:sz w:val="15"/>
                <w:szCs w:val="15"/>
                <w:color w:val="auto"/>
              </w:rPr>
            </w:pPr>
          </w:p>
        </w:tc>
        <w:tc>
          <w:tcPr>
            <w:tcW w:w="9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LTIP</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45,000</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720,000</w:t>
            </w:r>
          </w:p>
        </w:tc>
        <w:tc>
          <w:tcPr>
            <w:tcW w:w="86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1,440,000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PSU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gridSpan w:val="2"/>
          </w:tcPr>
          <w:p>
            <w:pPr>
              <w:jc w:val="right"/>
              <w:ind w:right="129"/>
              <w:spacing w:after="0"/>
              <w:rPr>
                <w:sz w:val="20"/>
                <w:szCs w:val="20"/>
                <w:color w:val="auto"/>
              </w:rPr>
            </w:pPr>
            <w:r>
              <w:rPr>
                <w:rFonts w:ascii="Calibri" w:cs="Calibri" w:eastAsia="Calibri" w:hAnsi="Calibri"/>
                <w:sz w:val="14"/>
                <w:szCs w:val="14"/>
                <w:color w:val="auto"/>
              </w:rPr>
              <w:t>290</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4,629</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9,258</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2,141,890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Borders>
              <w:bottom w:val="single" w:sz="8" w:color="929292"/>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Gregory M. Ulmer</w:t>
            </w:r>
          </w:p>
        </w:tc>
        <w:tc>
          <w:tcPr>
            <w:tcW w:w="9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MICP</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77,683</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1,109,750</w:t>
            </w: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2,219,500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line="164" w:lineRule="exact"/>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line="164" w:lineRule="exact"/>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RSU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3,085</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1,197,196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420" w:type="dxa"/>
            <w:vAlign w:val="bottom"/>
          </w:tcPr>
          <w:p>
            <w:pPr>
              <w:spacing w:after="0"/>
              <w:rPr>
                <w:sz w:val="15"/>
                <w:szCs w:val="15"/>
                <w:color w:val="auto"/>
              </w:rPr>
            </w:pPr>
          </w:p>
        </w:tc>
        <w:tc>
          <w:tcPr>
            <w:tcW w:w="9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LTIP</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50,000</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800,000</w:t>
            </w:r>
          </w:p>
        </w:tc>
        <w:tc>
          <w:tcPr>
            <w:tcW w:w="86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1,600,000</w:t>
            </w:r>
          </w:p>
        </w:tc>
        <w:tc>
          <w:tcPr>
            <w:tcW w:w="100" w:type="dxa"/>
            <w:vAlign w:val="bottom"/>
            <w:tcBorders>
              <w:bottom w:val="single" w:sz="8" w:color="E4E6EF"/>
            </w:tcBorders>
            <w:shd w:val="clear" w:color="auto" w:fill="E4E6EF"/>
          </w:tcPr>
          <w:p>
            <w:pPr>
              <w:spacing w:after="0"/>
              <w:rPr>
                <w:sz w:val="15"/>
                <w:szCs w:val="15"/>
                <w:color w:val="auto"/>
              </w:rPr>
            </w:pPr>
          </w:p>
        </w:tc>
        <w:tc>
          <w:tcPr>
            <w:tcW w:w="1000" w:type="dxa"/>
            <w:vAlign w:val="bottom"/>
            <w:tcBorders>
              <w:bottom w:val="single" w:sz="8" w:color="E4E6EF"/>
            </w:tcBorders>
            <w:shd w:val="clear" w:color="auto" w:fill="E4E6EF"/>
          </w:tcPr>
          <w:p>
            <w:pPr>
              <w:jc w:val="right"/>
              <w:ind w:right="129"/>
              <w:spacing w:after="0"/>
              <w:rPr>
                <w:sz w:val="20"/>
                <w:szCs w:val="20"/>
                <w:color w:val="auto"/>
              </w:rPr>
            </w:pPr>
            <w:r>
              <w:rPr>
                <w:rFonts w:ascii="Calibri" w:cs="Calibri" w:eastAsia="Calibri" w:hAnsi="Calibri"/>
                <w:sz w:val="14"/>
                <w:szCs w:val="14"/>
                <w:color w:val="auto"/>
              </w:rPr>
              <w:t>—</w:t>
            </w:r>
          </w:p>
        </w:tc>
        <w:tc>
          <w:tcPr>
            <w:tcW w:w="740" w:type="dxa"/>
            <w:vAlign w:val="bottom"/>
            <w:tcBorders>
              <w:bottom w:val="single" w:sz="8" w:color="E4E6EF"/>
            </w:tcBorders>
            <w:shd w:val="clear" w:color="auto" w:fill="E4E6EF"/>
          </w:tcPr>
          <w:p>
            <w:pPr>
              <w:jc w:val="right"/>
              <w:ind w:right="89"/>
              <w:spacing w:after="0"/>
              <w:rPr>
                <w:sz w:val="20"/>
                <w:szCs w:val="20"/>
                <w:color w:val="auto"/>
              </w:rPr>
            </w:pPr>
            <w:r>
              <w:rPr>
                <w:rFonts w:ascii="Calibri" w:cs="Calibri" w:eastAsia="Calibri" w:hAnsi="Calibri"/>
                <w:sz w:val="14"/>
                <w:szCs w:val="14"/>
                <w:color w:val="auto"/>
              </w:rPr>
              <w:t>—</w:t>
            </w:r>
          </w:p>
        </w:tc>
        <w:tc>
          <w:tcPr>
            <w:tcW w:w="7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alibri" w:cs="Calibri" w:eastAsia="Calibri" w:hAnsi="Calibri"/>
                <w:sz w:val="14"/>
                <w:szCs w:val="14"/>
                <w:color w:val="auto"/>
              </w:rPr>
              <w:t>2/23/2022</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PSU</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gridSpan w:val="2"/>
          </w:tcPr>
          <w:p>
            <w:pPr>
              <w:jc w:val="right"/>
              <w:ind w:right="129"/>
              <w:spacing w:after="0"/>
              <w:rPr>
                <w:sz w:val="20"/>
                <w:szCs w:val="20"/>
                <w:color w:val="auto"/>
              </w:rPr>
            </w:pPr>
            <w:r>
              <w:rPr>
                <w:rFonts w:ascii="Calibri" w:cs="Calibri" w:eastAsia="Calibri" w:hAnsi="Calibri"/>
                <w:sz w:val="14"/>
                <w:szCs w:val="14"/>
                <w:color w:val="auto"/>
              </w:rPr>
              <w:t>322</w:t>
            </w:r>
          </w:p>
        </w:tc>
        <w:tc>
          <w:tcPr>
            <w:tcW w:w="740" w:type="dxa"/>
            <w:vAlign w:val="bottom"/>
          </w:tcPr>
          <w:p>
            <w:pPr>
              <w:jc w:val="right"/>
              <w:ind w:right="89"/>
              <w:spacing w:after="0"/>
              <w:rPr>
                <w:sz w:val="20"/>
                <w:szCs w:val="20"/>
                <w:color w:val="auto"/>
              </w:rPr>
            </w:pPr>
            <w:r>
              <w:rPr>
                <w:rFonts w:ascii="Calibri" w:cs="Calibri" w:eastAsia="Calibri" w:hAnsi="Calibri"/>
                <w:sz w:val="14"/>
                <w:szCs w:val="14"/>
                <w:color w:val="auto"/>
              </w:rPr>
              <w:t>5,144</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10,288</w:t>
            </w:r>
          </w:p>
        </w:tc>
        <w:tc>
          <w:tcPr>
            <w:tcW w:w="8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spacing w:after="0"/>
              <w:rPr>
                <w:sz w:val="20"/>
                <w:szCs w:val="20"/>
                <w:color w:val="auto"/>
              </w:rPr>
            </w:pPr>
            <w:r>
              <w:rPr>
                <w:rFonts w:ascii="Calibri" w:cs="Calibri" w:eastAsia="Calibri" w:hAnsi="Calibri"/>
                <w:sz w:val="14"/>
                <w:szCs w:val="14"/>
                <w:color w:val="auto"/>
              </w:rPr>
              <w:t>2,380,103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420" w:type="dxa"/>
            <w:vAlign w:val="bottom"/>
            <w:tcBorders>
              <w:bottom w:val="single" w:sz="8" w:color="9D9D9C"/>
            </w:tcBorders>
          </w:tcPr>
          <w:p>
            <w:pPr>
              <w:spacing w:after="0"/>
              <w:rPr>
                <w:sz w:val="2"/>
                <w:szCs w:val="2"/>
                <w:color w:val="auto"/>
              </w:rPr>
            </w:pPr>
          </w:p>
        </w:tc>
        <w:tc>
          <w:tcPr>
            <w:tcW w:w="900" w:type="dxa"/>
            <w:vAlign w:val="bottom"/>
            <w:tcBorders>
              <w:bottom w:val="single" w:sz="8" w:color="9D9D9C"/>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c>
          <w:tcPr>
            <w:tcW w:w="820" w:type="dxa"/>
            <w:vAlign w:val="bottom"/>
            <w:tcBorders>
              <w:bottom w:val="single" w:sz="8" w:color="9D9D9C"/>
            </w:tcBorders>
          </w:tcPr>
          <w:p>
            <w:pPr>
              <w:spacing w:after="0"/>
              <w:rPr>
                <w:sz w:val="2"/>
                <w:szCs w:val="2"/>
                <w:color w:val="auto"/>
              </w:rPr>
            </w:pPr>
          </w:p>
        </w:tc>
        <w:tc>
          <w:tcPr>
            <w:tcW w:w="880" w:type="dxa"/>
            <w:vAlign w:val="bottom"/>
            <w:tcBorders>
              <w:bottom w:val="single" w:sz="8" w:color="9D9D9C"/>
            </w:tcBorders>
          </w:tcPr>
          <w:p>
            <w:pPr>
              <w:spacing w:after="0"/>
              <w:rPr>
                <w:sz w:val="2"/>
                <w:szCs w:val="2"/>
                <w:color w:val="auto"/>
              </w:rPr>
            </w:pPr>
          </w:p>
        </w:tc>
        <w:tc>
          <w:tcPr>
            <w:tcW w:w="860" w:type="dxa"/>
            <w:vAlign w:val="bottom"/>
            <w:tcBorders>
              <w:bottom w:val="single" w:sz="8" w:color="9D9D9C"/>
            </w:tcBorders>
          </w:tcPr>
          <w:p>
            <w:pPr>
              <w:spacing w:after="0"/>
              <w:rPr>
                <w:sz w:val="2"/>
                <w:szCs w:val="2"/>
                <w:color w:val="auto"/>
              </w:rPr>
            </w:pPr>
          </w:p>
        </w:tc>
        <w:tc>
          <w:tcPr>
            <w:tcW w:w="100" w:type="dxa"/>
            <w:vAlign w:val="bottom"/>
            <w:tcBorders>
              <w:bottom w:val="single" w:sz="8" w:color="9D9D9C"/>
            </w:tcBorders>
          </w:tcPr>
          <w:p>
            <w:pPr>
              <w:spacing w:after="0"/>
              <w:rPr>
                <w:sz w:val="2"/>
                <w:szCs w:val="2"/>
                <w:color w:val="auto"/>
              </w:rPr>
            </w:pPr>
          </w:p>
        </w:tc>
        <w:tc>
          <w:tcPr>
            <w:tcW w:w="1000" w:type="dxa"/>
            <w:vAlign w:val="bottom"/>
            <w:tcBorders>
              <w:bottom w:val="single" w:sz="8" w:color="9D9D9C"/>
            </w:tcBorders>
          </w:tcPr>
          <w:p>
            <w:pPr>
              <w:spacing w:after="0"/>
              <w:rPr>
                <w:sz w:val="2"/>
                <w:szCs w:val="2"/>
                <w:color w:val="auto"/>
              </w:rPr>
            </w:pPr>
          </w:p>
        </w:tc>
        <w:tc>
          <w:tcPr>
            <w:tcW w:w="740" w:type="dxa"/>
            <w:vAlign w:val="bottom"/>
            <w:tcBorders>
              <w:bottom w:val="single" w:sz="8" w:color="9D9D9C"/>
            </w:tcBorders>
          </w:tcPr>
          <w:p>
            <w:pPr>
              <w:spacing w:after="0"/>
              <w:rPr>
                <w:sz w:val="2"/>
                <w:szCs w:val="2"/>
                <w:color w:val="auto"/>
              </w:rPr>
            </w:pPr>
          </w:p>
        </w:tc>
        <w:tc>
          <w:tcPr>
            <w:tcW w:w="720" w:type="dxa"/>
            <w:vAlign w:val="bottom"/>
            <w:tcBorders>
              <w:bottom w:val="single" w:sz="8" w:color="9D9D9C"/>
            </w:tcBorders>
          </w:tcPr>
          <w:p>
            <w:pPr>
              <w:spacing w:after="0"/>
              <w:rPr>
                <w:sz w:val="2"/>
                <w:szCs w:val="2"/>
                <w:color w:val="auto"/>
              </w:rPr>
            </w:pPr>
          </w:p>
        </w:tc>
        <w:tc>
          <w:tcPr>
            <w:tcW w:w="88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60" w:hanging="252"/>
        <w:spacing w:after="0"/>
        <w:tabs>
          <w:tab w:leader="none" w:pos="260" w:val="left"/>
        </w:tabs>
        <w:numPr>
          <w:ilvl w:val="0"/>
          <w:numId w:val="87"/>
        </w:numPr>
        <w:rPr>
          <w:rFonts w:ascii="Calibri" w:cs="Calibri" w:eastAsia="Calibri" w:hAnsi="Calibri"/>
          <w:sz w:val="14"/>
          <w:szCs w:val="14"/>
          <w:color w:val="auto"/>
        </w:rPr>
      </w:pPr>
      <w:r>
        <w:rPr>
          <w:rFonts w:ascii="Calibri" w:cs="Calibri" w:eastAsia="Calibri" w:hAnsi="Calibri"/>
          <w:sz w:val="14"/>
          <w:szCs w:val="14"/>
          <w:color w:val="auto"/>
        </w:rPr>
        <w:t>Mr. Malave’s MICP payout was prorated based on tme served during fscal year 2022.</w:t>
      </w:r>
    </w:p>
    <w:p>
      <w:pPr>
        <w:spacing w:after="0" w:line="73" w:lineRule="exact"/>
        <w:rPr>
          <w:sz w:val="20"/>
          <w:szCs w:val="20"/>
          <w:color w:val="auto"/>
        </w:rPr>
      </w:pPr>
    </w:p>
    <w:p>
      <w:pPr>
        <w:ind w:left="260" w:right="260" w:hanging="252"/>
        <w:spacing w:after="0" w:line="213" w:lineRule="auto"/>
        <w:tabs>
          <w:tab w:leader="none" w:pos="256" w:val="left"/>
        </w:tabs>
        <w:numPr>
          <w:ilvl w:val="0"/>
          <w:numId w:val="88"/>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The amounts reported in the </w:t>
      </w:r>
      <w:r>
        <w:rPr>
          <w:rFonts w:ascii="Calibri" w:cs="Calibri" w:eastAsia="Calibri" w:hAnsi="Calibri"/>
          <w:sz w:val="14"/>
          <w:szCs w:val="14"/>
          <w:b w:val="1"/>
          <w:bCs w:val="1"/>
          <w:color w:val="auto"/>
        </w:rPr>
        <w:t>Estmated Future Payouts Under Non-Equity Incentve Plan Awards</w:t>
      </w:r>
      <w:r>
        <w:rPr>
          <w:rFonts w:ascii="Calibri" w:cs="Calibri" w:eastAsia="Calibri" w:hAnsi="Calibri"/>
          <w:sz w:val="14"/>
          <w:szCs w:val="14"/>
          <w:color w:val="auto"/>
        </w:rPr>
        <w:t xml:space="preserve"> columns include annual incentve grants (MICP) for 2022 and LTIP grants for the 2022-2024 performance period ending December 31, 2024.</w:t>
      </w:r>
    </w:p>
    <w:p>
      <w:pPr>
        <w:spacing w:after="0" w:line="74" w:lineRule="exact"/>
        <w:rPr>
          <w:rFonts w:ascii="Calibri" w:cs="Calibri" w:eastAsia="Calibri" w:hAnsi="Calibri"/>
          <w:sz w:val="19"/>
          <w:szCs w:val="19"/>
          <w:color w:val="auto"/>
          <w:vertAlign w:val="superscript"/>
        </w:rPr>
      </w:pPr>
    </w:p>
    <w:p>
      <w:pPr>
        <w:ind w:left="260" w:right="160"/>
        <w:spacing w:after="0" w:line="264"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The MICP measures performance over a one-year period and is described under “2022 Annual Incentve” in the CD&amp;A. The threshold, or minimum amount payable (assuming an award is earned), is 7% of target while the maximum is 200% of target.</w:t>
      </w:r>
    </w:p>
    <w:p>
      <w:pPr>
        <w:spacing w:after="0" w:line="56" w:lineRule="exact"/>
        <w:rPr>
          <w:rFonts w:ascii="Calibri" w:cs="Calibri" w:eastAsia="Calibri" w:hAnsi="Calibri"/>
          <w:sz w:val="19"/>
          <w:szCs w:val="19"/>
          <w:color w:val="auto"/>
          <w:vertAlign w:val="superscript"/>
        </w:rPr>
      </w:pPr>
    </w:p>
    <w:p>
      <w:pPr>
        <w:ind w:left="260"/>
        <w:spacing w:after="0" w:line="261"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The LTIP award measures performance against three separate metrics described under “2022 Long-Term Incentve Compensaton” in the CD&amp;A. The threshold is the minimum amount payable for a specifed level of performance stated in the LTIP award agreement. For the 2022-2024 award, the threshold amount payable is 6.25% of the target award. The maximum award payable under the LTIP award is 200% of target value. Awards are subject to forfeiture upon terminaton of employment prior to the end of the performance period, except in the event of retrement or layof occurring afer six months from the date of grant or in the event of death, disability, or divestture. In any of these events, LTIP awards are paid at the end of the performance period on a prorated basis. Following a change in control, the 2022-2024 LTIP awards vest at the target amount upon involuntary terminaton without cause or voluntary terminaton with good reason or if the successor does not assume the LTIP awards.</w:t>
      </w:r>
    </w:p>
    <w:p>
      <w:pPr>
        <w:spacing w:after="0" w:line="59" w:lineRule="exact"/>
        <w:rPr>
          <w:rFonts w:ascii="Calibri" w:cs="Calibri" w:eastAsia="Calibri" w:hAnsi="Calibri"/>
          <w:sz w:val="19"/>
          <w:szCs w:val="19"/>
          <w:color w:val="auto"/>
          <w:vertAlign w:val="superscript"/>
        </w:rPr>
      </w:pPr>
    </w:p>
    <w:p>
      <w:pPr>
        <w:ind w:left="260" w:right="100" w:hanging="252"/>
        <w:spacing w:after="0" w:line="233" w:lineRule="auto"/>
        <w:tabs>
          <w:tab w:leader="none" w:pos="256" w:val="left"/>
        </w:tabs>
        <w:numPr>
          <w:ilvl w:val="0"/>
          <w:numId w:val="88"/>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The amounts reported in the </w:t>
      </w:r>
      <w:r>
        <w:rPr>
          <w:rFonts w:ascii="Calibri" w:cs="Calibri" w:eastAsia="Calibri" w:hAnsi="Calibri"/>
          <w:sz w:val="14"/>
          <w:szCs w:val="14"/>
          <w:b w:val="1"/>
          <w:bCs w:val="1"/>
          <w:color w:val="auto"/>
        </w:rPr>
        <w:t>Estmated Future Payouts Under Equity Incentve Plan Awards</w:t>
      </w:r>
      <w:r>
        <w:rPr>
          <w:rFonts w:ascii="Calibri" w:cs="Calibri" w:eastAsia="Calibri" w:hAnsi="Calibri"/>
          <w:sz w:val="14"/>
          <w:szCs w:val="14"/>
          <w:color w:val="auto"/>
        </w:rPr>
        <w:t xml:space="preserve"> columns of the table include PSU awards for the 2022-2024 performance period ending December 31, 2024. PSU awards typically have a three-year vestng period ending on the third anniversary of the date of grant (i.e., February 23, 2025 for the February 23, 2022 grants). At the end of the vestng period, the amount earned is payable in shares of stock and cash representng deferred dividend equivalents accrued on the earned shares during the three-year performance period. PSU awards are subject to forfeiture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7" w:name="page68"/>
    <w:bookmarkEnd w:id="67"/>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3" w:lineRule="exact"/>
        <w:rPr>
          <w:sz w:val="20"/>
          <w:szCs w:val="20"/>
          <w:color w:val="auto"/>
        </w:rPr>
      </w:pPr>
    </w:p>
    <w:p>
      <w:pPr>
        <w:ind w:left="260"/>
        <w:spacing w:after="0" w:line="264" w:lineRule="auto"/>
        <w:rPr>
          <w:sz w:val="20"/>
          <w:szCs w:val="20"/>
          <w:color w:val="auto"/>
        </w:rPr>
      </w:pPr>
      <w:r>
        <w:rPr>
          <w:rFonts w:ascii="Calibri" w:cs="Calibri" w:eastAsia="Calibri" w:hAnsi="Calibri"/>
          <w:sz w:val="14"/>
          <w:szCs w:val="14"/>
          <w:color w:val="auto"/>
        </w:rPr>
        <w:t>upon terminaton of employment prior to the end of the vestng period, except in the event of retrement or layof occurring afer six months from the date of grant or in the event of death, disability or divestture. In any of these events, PSU awards are paid out at the end of the vestng period on a prorated basis. Following a change in control, the PSUs vest at the target amount upon involuntary terminaton without cause or voluntary terminaton with good reason or if the successor does not assume the PSUs.</w:t>
      </w:r>
    </w:p>
    <w:p>
      <w:pPr>
        <w:spacing w:after="0" w:line="57" w:lineRule="exact"/>
        <w:rPr>
          <w:sz w:val="20"/>
          <w:szCs w:val="20"/>
          <w:color w:val="auto"/>
        </w:rPr>
      </w:pPr>
    </w:p>
    <w:p>
      <w:pPr>
        <w:ind w:left="260"/>
        <w:spacing w:after="0" w:line="255" w:lineRule="auto"/>
        <w:rPr>
          <w:sz w:val="20"/>
          <w:szCs w:val="20"/>
          <w:color w:val="auto"/>
        </w:rPr>
      </w:pPr>
      <w:r>
        <w:rPr>
          <w:rFonts w:ascii="Calibri" w:cs="Calibri" w:eastAsia="Calibri" w:hAnsi="Calibri"/>
          <w:sz w:val="14"/>
          <w:szCs w:val="14"/>
          <w:color w:val="auto"/>
        </w:rPr>
        <w:t>Shares are earned under the PSU awards based upon performance against three separate metrics described under “PSU Awards” in the CD&amp;A. If performance falls below the threshold level of performance, no shares would be earned. Assuming any payment is earned, the minimum amount payable under the PSU award is 6.25% of the target shares, the lowest level payable under any of these metrics. The maximum number of shares payable under the PSU is 200% of the number of target shares.</w:t>
      </w:r>
    </w:p>
    <w:p>
      <w:pPr>
        <w:spacing w:after="0" w:line="63" w:lineRule="exact"/>
        <w:rPr>
          <w:sz w:val="20"/>
          <w:szCs w:val="20"/>
          <w:color w:val="auto"/>
        </w:rPr>
      </w:pPr>
    </w:p>
    <w:p>
      <w:pPr>
        <w:ind w:left="260" w:right="120" w:hanging="252"/>
        <w:spacing w:after="0" w:line="237" w:lineRule="auto"/>
        <w:tabs>
          <w:tab w:leader="none" w:pos="256" w:val="left"/>
        </w:tabs>
        <w:numPr>
          <w:ilvl w:val="0"/>
          <w:numId w:val="89"/>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The amounts reported in the </w:t>
      </w:r>
      <w:r>
        <w:rPr>
          <w:rFonts w:ascii="Calibri" w:cs="Calibri" w:eastAsia="Calibri" w:hAnsi="Calibri"/>
          <w:sz w:val="14"/>
          <w:szCs w:val="14"/>
          <w:b w:val="1"/>
          <w:bCs w:val="1"/>
          <w:color w:val="auto"/>
        </w:rPr>
        <w:t>All Other Stock Awards: Number of Shares of Stock or Units</w:t>
      </w:r>
      <w:r>
        <w:rPr>
          <w:rFonts w:ascii="Calibri" w:cs="Calibri" w:eastAsia="Calibri" w:hAnsi="Calibri"/>
          <w:sz w:val="14"/>
          <w:szCs w:val="14"/>
          <w:color w:val="auto"/>
        </w:rPr>
        <w:t xml:space="preserve"> column show the number of RSUs granted on February 23, 2022. All RSU awards, other than Mr. Malave’s equity replacement award and Mr. Mollard’s one-tme special RSU grant, vest on the third anniversary of the date of grant. Mr. Malave’s equity replacement award vested on February 23, 2023 and Mr. Mollard’s vested on December 15, 2022. RSU awards are subject to forfeiture upon terminaton of employment prior to the end of the vestng period, except in the event of retrement or layof occurring afer six months from the date of grant or death, disability or divestture; however, Mr. Malave’s and Mr. Mollard’s one-tme RSU grants were</w:t>
      </w:r>
    </w:p>
    <w:p>
      <w:pPr>
        <w:spacing w:after="0" w:line="20" w:lineRule="exact"/>
        <w:rPr>
          <w:rFonts w:ascii="Calibri" w:cs="Calibri" w:eastAsia="Calibri" w:hAnsi="Calibri"/>
          <w:sz w:val="19"/>
          <w:szCs w:val="19"/>
          <w:color w:val="auto"/>
          <w:vertAlign w:val="superscript"/>
        </w:rPr>
      </w:pPr>
    </w:p>
    <w:p>
      <w:pPr>
        <w:ind w:left="260" w:right="80"/>
        <w:spacing w:after="0" w:line="261"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subject to forfeiture upon retrement. RSU awards vest in full immediately upon death or disability and, upon layof afer six months from the date of grant, pro rata vest (contnued vestng for Mr. Malave’s and Mr. Mollard’s one-tme awards) and are paid following the third anniversary of the grant date. RSU awards are prorated upon divestture if not assumed by the successor. Following a change in control, the RSUs vest upon involuntary terminaton without cause or voluntary terminaton for good reason or if the successor does not assume the RSUs. Except with respect to Mr. Malave’s and Mr. Mollard’s one-tme RSUs grants, if the employee retres afer six months from the date of grant, but prior to the third anniversary of the date of grant, the RSUs become nonforfeitable and are paid at the end of the vestng period. See footnote 3 to the “Potental Payments upon Terminaton or Change in Control Table” for a descripton of the terms of Mr. Malave’s equity replacement award and “CFO Transiton” in the CD&amp;A for a descripton of Mr. Mollard’s special one-tme RSU grant.</w:t>
      </w:r>
    </w:p>
    <w:p>
      <w:pPr>
        <w:spacing w:after="0" w:line="58" w:lineRule="exact"/>
        <w:rPr>
          <w:rFonts w:ascii="Calibri" w:cs="Calibri" w:eastAsia="Calibri" w:hAnsi="Calibri"/>
          <w:sz w:val="19"/>
          <w:szCs w:val="19"/>
          <w:color w:val="auto"/>
          <w:vertAlign w:val="superscript"/>
        </w:rPr>
      </w:pPr>
    </w:p>
    <w:p>
      <w:pPr>
        <w:ind w:left="260"/>
        <w:spacing w:after="0"/>
        <w:rPr>
          <w:rFonts w:ascii="Calibri" w:cs="Calibri" w:eastAsia="Calibri" w:hAnsi="Calibri"/>
          <w:sz w:val="19"/>
          <w:szCs w:val="19"/>
          <w:color w:val="auto"/>
          <w:vertAlign w:val="superscript"/>
        </w:rPr>
      </w:pPr>
      <w:r>
        <w:rPr>
          <w:rFonts w:ascii="Calibri" w:cs="Calibri" w:eastAsia="Calibri" w:hAnsi="Calibri"/>
          <w:sz w:val="14"/>
          <w:szCs w:val="14"/>
          <w:color w:val="auto"/>
        </w:rPr>
        <w:t>During the vestng period, deferred dividend equivalents are accrued and subject to the same vestng schedule as the underlying RSUs. At the end of the vestng period, the RSUs are paid in</w:t>
      </w:r>
    </w:p>
    <w:p>
      <w:pPr>
        <w:spacing w:after="0" w:line="19" w:lineRule="exact"/>
        <w:rPr>
          <w:rFonts w:ascii="Calibri" w:cs="Calibri" w:eastAsia="Calibri" w:hAnsi="Calibri"/>
          <w:sz w:val="19"/>
          <w:szCs w:val="19"/>
          <w:color w:val="auto"/>
          <w:vertAlign w:val="superscript"/>
        </w:rPr>
      </w:pPr>
    </w:p>
    <w:p>
      <w:pPr>
        <w:ind w:left="260" w:right="200"/>
        <w:spacing w:after="0" w:line="255"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shares of stock and the deferred dividend equivalents are paid in cash. If any tax withholding is required on the RSUs and deferred dividend equivalents during the vestng period (for example, on account of retrement eligibility), the RSUs provide for accelerated vestng of the number of shares and deferred dividend equivalents required to satsfy the tax withholding. The award is then reduced by the number of shares and deferred dividend equivalents subject to acceleraton of vestng for tax withholding.</w:t>
      </w:r>
    </w:p>
    <w:p>
      <w:pPr>
        <w:spacing w:after="0" w:line="62" w:lineRule="exact"/>
        <w:rPr>
          <w:rFonts w:ascii="Calibri" w:cs="Calibri" w:eastAsia="Calibri" w:hAnsi="Calibri"/>
          <w:sz w:val="19"/>
          <w:szCs w:val="19"/>
          <w:color w:val="auto"/>
          <w:vertAlign w:val="superscript"/>
        </w:rPr>
      </w:pPr>
    </w:p>
    <w:p>
      <w:pPr>
        <w:ind w:left="260" w:right="240" w:hanging="252"/>
        <w:spacing w:after="0" w:line="213" w:lineRule="auto"/>
        <w:tabs>
          <w:tab w:leader="none" w:pos="256" w:val="left"/>
        </w:tabs>
        <w:numPr>
          <w:ilvl w:val="0"/>
          <w:numId w:val="89"/>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The amounts reported in the </w:t>
      </w:r>
      <w:r>
        <w:rPr>
          <w:rFonts w:ascii="Calibri" w:cs="Calibri" w:eastAsia="Calibri" w:hAnsi="Calibri"/>
          <w:sz w:val="14"/>
          <w:szCs w:val="14"/>
          <w:b w:val="1"/>
          <w:bCs w:val="1"/>
          <w:color w:val="auto"/>
        </w:rPr>
        <w:t>Grant Date Fair Value of Stock Awards</w:t>
      </w:r>
      <w:r>
        <w:rPr>
          <w:rFonts w:ascii="Calibri" w:cs="Calibri" w:eastAsia="Calibri" w:hAnsi="Calibri"/>
          <w:sz w:val="14"/>
          <w:szCs w:val="14"/>
          <w:color w:val="auto"/>
        </w:rPr>
        <w:t xml:space="preserve"> column represent the aggregate grant date fair value computed in accordance with FASB ASC 718 for RSUs and PSUs granted in 2022, disregarding potental forfeitures based on service requirements.</w:t>
      </w:r>
    </w:p>
    <w:p>
      <w:pPr>
        <w:spacing w:after="0" w:line="74" w:lineRule="exact"/>
        <w:rPr>
          <w:rFonts w:ascii="Calibri" w:cs="Calibri" w:eastAsia="Calibri" w:hAnsi="Calibri"/>
          <w:sz w:val="19"/>
          <w:szCs w:val="19"/>
          <w:color w:val="auto"/>
          <w:vertAlign w:val="superscript"/>
        </w:rPr>
      </w:pPr>
    </w:p>
    <w:p>
      <w:pPr>
        <w:ind w:left="260" w:right="200"/>
        <w:spacing w:after="0" w:line="264"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The grant date fair value of the 2022 RSU grant is $388.07 per RSU, which is based on the closing price of one share of our common stock on the NYSE on the date of grant, discounted to take into account the deferred dividend equivalents accrued untl vestng.</w:t>
      </w:r>
    </w:p>
    <w:p>
      <w:pPr>
        <w:spacing w:after="0" w:line="56" w:lineRule="exact"/>
        <w:rPr>
          <w:rFonts w:ascii="Calibri" w:cs="Calibri" w:eastAsia="Calibri" w:hAnsi="Calibri"/>
          <w:sz w:val="19"/>
          <w:szCs w:val="19"/>
          <w:color w:val="auto"/>
          <w:vertAlign w:val="superscript"/>
        </w:rPr>
      </w:pPr>
    </w:p>
    <w:p>
      <w:pPr>
        <w:ind w:left="260" w:right="140"/>
        <w:spacing w:after="0" w:line="255"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The grant date fair value for the 2022 PSUs, which are subject to performance conditons, is based on the probable outcome of each of the three performance conditons. The grant date fair value of $537.32 for the Relatve TSR porton of the award is determined using a Monte Carlo simulaton model. The grant date fair value of $388.07 for the Free Cash Flow and ROIC portons of the awards is based on the closing price of one share of our stock on the date of grant, discounted to take into account the deferred dividend equivalents accrued untl vestng.</w:t>
      </w:r>
    </w:p>
    <w:p>
      <w:pPr>
        <w:spacing w:after="0" w:line="62" w:lineRule="exact"/>
        <w:rPr>
          <w:rFonts w:ascii="Calibri" w:cs="Calibri" w:eastAsia="Calibri" w:hAnsi="Calibri"/>
          <w:sz w:val="19"/>
          <w:szCs w:val="19"/>
          <w:color w:val="auto"/>
          <w:vertAlign w:val="superscript"/>
        </w:rPr>
      </w:pPr>
    </w:p>
    <w:p>
      <w:pPr>
        <w:ind w:left="260" w:right="20"/>
        <w:spacing w:after="0" w:line="264"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As described in the CD&amp;A, in determining 2022 awards of RSUs and PSUs, the closing price of Lockheed Martn common stock on the NYSE on the date of grant ($388.90 on February 23, 2022) was used as opposed to the grant date fair value. The use of the closing stock price versus the grant date fair value results in a diference between the amounts described in the CD&amp;A and the amount reported in this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294005</wp:posOffset>
            </wp:positionV>
            <wp:extent cx="1071880" cy="1797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8" w:name="page69"/>
    <w:bookmarkEnd w:id="68"/>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Outstanding Equity Awards at 2022 Fiscal Year-End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Borders>
              <w:bottom w:val="single" w:sz="8" w:color="E5E7EF"/>
            </w:tcBorders>
            <w:shd w:val="clear" w:color="auto" w:fill="E5E7EF"/>
          </w:tcPr>
          <w:p>
            <w:pPr>
              <w:spacing w:after="0"/>
              <w:rPr>
                <w:sz w:val="17"/>
                <w:szCs w:val="17"/>
                <w:color w:val="auto"/>
              </w:rPr>
            </w:pPr>
          </w:p>
        </w:tc>
        <w:tc>
          <w:tcPr>
            <w:tcW w:w="1540" w:type="dxa"/>
            <w:vAlign w:val="bottom"/>
            <w:tcBorders>
              <w:bottom w:val="single" w:sz="8" w:color="002E6D"/>
            </w:tcBorders>
            <w:shd w:val="clear" w:color="auto" w:fill="E5E7EF"/>
          </w:tcPr>
          <w:p>
            <w:pPr>
              <w:spacing w:after="0"/>
              <w:rPr>
                <w:sz w:val="17"/>
                <w:szCs w:val="17"/>
                <w:color w:val="auto"/>
              </w:rPr>
            </w:pPr>
          </w:p>
        </w:tc>
        <w:tc>
          <w:tcPr>
            <w:tcW w:w="300" w:type="dxa"/>
            <w:vAlign w:val="bottom"/>
            <w:tcBorders>
              <w:bottom w:val="single" w:sz="8" w:color="002E6D"/>
            </w:tcBorders>
            <w:shd w:val="clear" w:color="auto" w:fill="E5E7EF"/>
          </w:tcPr>
          <w:p>
            <w:pPr>
              <w:spacing w:after="0"/>
              <w:rPr>
                <w:sz w:val="17"/>
                <w:szCs w:val="17"/>
                <w:color w:val="auto"/>
              </w:rPr>
            </w:pPr>
          </w:p>
        </w:tc>
        <w:tc>
          <w:tcPr>
            <w:tcW w:w="1860" w:type="dxa"/>
            <w:vAlign w:val="bottom"/>
            <w:tcBorders>
              <w:bottom w:val="single" w:sz="8" w:color="002E6D"/>
            </w:tcBorders>
            <w:shd w:val="clear" w:color="auto" w:fill="E5E7EF"/>
          </w:tcPr>
          <w:p>
            <w:pPr>
              <w:jc w:val="right"/>
              <w:ind w:right="90"/>
              <w:spacing w:after="0"/>
              <w:rPr>
                <w:sz w:val="20"/>
                <w:szCs w:val="20"/>
                <w:color w:val="auto"/>
              </w:rPr>
            </w:pPr>
            <w:r>
              <w:rPr>
                <w:rFonts w:ascii="Arial" w:cs="Arial" w:eastAsia="Arial" w:hAnsi="Arial"/>
                <w:sz w:val="13"/>
                <w:szCs w:val="13"/>
                <w:color w:val="auto"/>
              </w:rPr>
              <w:t>Stock Awards</w:t>
            </w:r>
          </w:p>
        </w:tc>
        <w:tc>
          <w:tcPr>
            <w:tcW w:w="960" w:type="dxa"/>
            <w:vAlign w:val="bottom"/>
            <w:tcBorders>
              <w:bottom w:val="single" w:sz="8" w:color="002E6D"/>
            </w:tcBorders>
            <w:shd w:val="clear" w:color="auto" w:fill="E5E7EF"/>
          </w:tcPr>
          <w:p>
            <w:pPr>
              <w:spacing w:after="0"/>
              <w:rPr>
                <w:sz w:val="17"/>
                <w:szCs w:val="17"/>
                <w:color w:val="auto"/>
              </w:rPr>
            </w:pPr>
          </w:p>
        </w:tc>
        <w:tc>
          <w:tcPr>
            <w:tcW w:w="400" w:type="dxa"/>
            <w:vAlign w:val="bottom"/>
            <w:tcBorders>
              <w:bottom w:val="single" w:sz="8" w:color="002E6D"/>
            </w:tcBorders>
            <w:shd w:val="clear" w:color="auto" w:fill="E5E7EF"/>
          </w:tcPr>
          <w:p>
            <w:pPr>
              <w:spacing w:after="0"/>
              <w:rPr>
                <w:sz w:val="17"/>
                <w:szCs w:val="17"/>
                <w:color w:val="auto"/>
              </w:rPr>
            </w:pPr>
          </w:p>
        </w:tc>
        <w:tc>
          <w:tcPr>
            <w:tcW w:w="1260" w:type="dxa"/>
            <w:vAlign w:val="bottom"/>
            <w:tcBorders>
              <w:bottom w:val="single" w:sz="8" w:color="002E6D"/>
            </w:tcBorders>
            <w:shd w:val="clear" w:color="auto" w:fill="E5E7EF"/>
          </w:tcPr>
          <w:p>
            <w:pPr>
              <w:spacing w:after="0"/>
              <w:rPr>
                <w:sz w:val="17"/>
                <w:szCs w:val="17"/>
                <w:color w:val="auto"/>
              </w:rPr>
            </w:pPr>
          </w:p>
        </w:tc>
      </w:tr>
      <w:tr>
        <w:trPr>
          <w:trHeight w:val="171"/>
        </w:trPr>
        <w:tc>
          <w:tcPr>
            <w:tcW w:w="4920" w:type="dxa"/>
            <w:vAlign w:val="bottom"/>
            <w:shd w:val="clear" w:color="auto" w:fill="E5E7EF"/>
          </w:tcPr>
          <w:p>
            <w:pPr>
              <w:spacing w:after="0"/>
              <w:rPr>
                <w:sz w:val="14"/>
                <w:szCs w:val="14"/>
                <w:color w:val="auto"/>
              </w:rPr>
            </w:pPr>
          </w:p>
        </w:tc>
        <w:tc>
          <w:tcPr>
            <w:tcW w:w="1540" w:type="dxa"/>
            <w:vAlign w:val="bottom"/>
            <w:shd w:val="clear" w:color="auto" w:fill="E5E7EF"/>
          </w:tcPr>
          <w:p>
            <w:pPr>
              <w:spacing w:after="0"/>
              <w:rPr>
                <w:sz w:val="14"/>
                <w:szCs w:val="14"/>
                <w:color w:val="auto"/>
              </w:rPr>
            </w:pPr>
          </w:p>
        </w:tc>
        <w:tc>
          <w:tcPr>
            <w:tcW w:w="300" w:type="dxa"/>
            <w:vAlign w:val="bottom"/>
            <w:shd w:val="clear" w:color="auto" w:fill="E5E7EF"/>
          </w:tcPr>
          <w:p>
            <w:pPr>
              <w:spacing w:after="0"/>
              <w:rPr>
                <w:sz w:val="14"/>
                <w:szCs w:val="14"/>
                <w:color w:val="auto"/>
              </w:rPr>
            </w:pPr>
          </w:p>
        </w:tc>
        <w:tc>
          <w:tcPr>
            <w:tcW w:w="1860" w:type="dxa"/>
            <w:vAlign w:val="bottom"/>
            <w:shd w:val="clear" w:color="auto" w:fill="E5E7EF"/>
          </w:tcPr>
          <w:p>
            <w:pPr>
              <w:spacing w:after="0"/>
              <w:rPr>
                <w:sz w:val="14"/>
                <w:szCs w:val="14"/>
                <w:color w:val="auto"/>
              </w:rPr>
            </w:pPr>
          </w:p>
        </w:tc>
        <w:tc>
          <w:tcPr>
            <w:tcW w:w="1360" w:type="dxa"/>
            <w:vAlign w:val="bottom"/>
            <w:gridSpan w:val="2"/>
            <w:shd w:val="clear" w:color="auto" w:fill="E5E7EF"/>
          </w:tcPr>
          <w:p>
            <w:pPr>
              <w:jc w:val="right"/>
              <w:ind w:right="145"/>
              <w:spacing w:after="0"/>
              <w:rPr>
                <w:sz w:val="20"/>
                <w:szCs w:val="20"/>
                <w:color w:val="auto"/>
              </w:rPr>
            </w:pPr>
            <w:r>
              <w:rPr>
                <w:rFonts w:ascii="Arial" w:cs="Arial" w:eastAsia="Arial" w:hAnsi="Arial"/>
                <w:sz w:val="13"/>
                <w:szCs w:val="13"/>
                <w:color w:val="auto"/>
              </w:rPr>
              <w:t>Equity Incentive</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Equity Incentive</w:t>
            </w:r>
          </w:p>
        </w:tc>
      </w:tr>
      <w:tr>
        <w:trPr>
          <w:trHeight w:val="149"/>
        </w:trPr>
        <w:tc>
          <w:tcPr>
            <w:tcW w:w="4920" w:type="dxa"/>
            <w:vAlign w:val="bottom"/>
            <w:shd w:val="clear" w:color="auto" w:fill="E5E7EF"/>
          </w:tcPr>
          <w:p>
            <w:pPr>
              <w:spacing w:after="0"/>
              <w:rPr>
                <w:sz w:val="12"/>
                <w:szCs w:val="12"/>
                <w:color w:val="auto"/>
              </w:rPr>
            </w:pPr>
          </w:p>
        </w:tc>
        <w:tc>
          <w:tcPr>
            <w:tcW w:w="1540" w:type="dxa"/>
            <w:vAlign w:val="bottom"/>
            <w:shd w:val="clear" w:color="auto" w:fill="E5E7EF"/>
          </w:tcPr>
          <w:p>
            <w:pPr>
              <w:spacing w:after="0"/>
              <w:rPr>
                <w:sz w:val="12"/>
                <w:szCs w:val="12"/>
                <w:color w:val="auto"/>
              </w:rPr>
            </w:pPr>
          </w:p>
        </w:tc>
        <w:tc>
          <w:tcPr>
            <w:tcW w:w="300" w:type="dxa"/>
            <w:vAlign w:val="bottom"/>
            <w:shd w:val="clear" w:color="auto" w:fill="E5E7EF"/>
          </w:tcPr>
          <w:p>
            <w:pPr>
              <w:spacing w:after="0"/>
              <w:rPr>
                <w:sz w:val="12"/>
                <w:szCs w:val="12"/>
                <w:color w:val="auto"/>
              </w:rPr>
            </w:pPr>
          </w:p>
        </w:tc>
        <w:tc>
          <w:tcPr>
            <w:tcW w:w="1860" w:type="dxa"/>
            <w:vAlign w:val="bottom"/>
            <w:shd w:val="clear" w:color="auto" w:fill="E5E7EF"/>
          </w:tcPr>
          <w:p>
            <w:pPr>
              <w:spacing w:after="0"/>
              <w:rPr>
                <w:sz w:val="12"/>
                <w:szCs w:val="12"/>
                <w:color w:val="auto"/>
              </w:rPr>
            </w:pPr>
          </w:p>
        </w:tc>
        <w:tc>
          <w:tcPr>
            <w:tcW w:w="1360" w:type="dxa"/>
            <w:vAlign w:val="bottom"/>
            <w:gridSpan w:val="2"/>
            <w:shd w:val="clear" w:color="auto" w:fill="E5E7EF"/>
          </w:tcPr>
          <w:p>
            <w:pPr>
              <w:jc w:val="right"/>
              <w:ind w:right="145"/>
              <w:spacing w:after="0"/>
              <w:rPr>
                <w:sz w:val="20"/>
                <w:szCs w:val="20"/>
                <w:color w:val="auto"/>
              </w:rPr>
            </w:pPr>
            <w:r>
              <w:rPr>
                <w:rFonts w:ascii="Arial" w:cs="Arial" w:eastAsia="Arial" w:hAnsi="Arial"/>
                <w:sz w:val="13"/>
                <w:szCs w:val="13"/>
                <w:color w:val="auto"/>
              </w:rPr>
              <w:t>Plan Awards:</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Plan Awards:</w:t>
            </w:r>
          </w:p>
        </w:tc>
      </w:tr>
      <w:tr>
        <w:trPr>
          <w:trHeight w:val="148"/>
        </w:trPr>
        <w:tc>
          <w:tcPr>
            <w:tcW w:w="4920" w:type="dxa"/>
            <w:vAlign w:val="bottom"/>
            <w:shd w:val="clear" w:color="auto" w:fill="E5E7EF"/>
          </w:tcPr>
          <w:p>
            <w:pPr>
              <w:spacing w:after="0"/>
              <w:rPr>
                <w:sz w:val="12"/>
                <w:szCs w:val="12"/>
                <w:color w:val="auto"/>
              </w:rPr>
            </w:pPr>
          </w:p>
        </w:tc>
        <w:tc>
          <w:tcPr>
            <w:tcW w:w="1540" w:type="dxa"/>
            <w:vAlign w:val="bottom"/>
            <w:shd w:val="clear" w:color="auto" w:fill="E5E7EF"/>
          </w:tcPr>
          <w:p>
            <w:pPr>
              <w:spacing w:after="0"/>
              <w:rPr>
                <w:sz w:val="12"/>
                <w:szCs w:val="12"/>
                <w:color w:val="auto"/>
              </w:rPr>
            </w:pPr>
          </w:p>
        </w:tc>
        <w:tc>
          <w:tcPr>
            <w:tcW w:w="300" w:type="dxa"/>
            <w:vAlign w:val="bottom"/>
            <w:shd w:val="clear" w:color="auto" w:fill="E5E7EF"/>
          </w:tcPr>
          <w:p>
            <w:pPr>
              <w:spacing w:after="0"/>
              <w:rPr>
                <w:sz w:val="12"/>
                <w:szCs w:val="12"/>
                <w:color w:val="auto"/>
              </w:rPr>
            </w:pPr>
          </w:p>
        </w:tc>
        <w:tc>
          <w:tcPr>
            <w:tcW w:w="1860" w:type="dxa"/>
            <w:vAlign w:val="bottom"/>
            <w:shd w:val="clear" w:color="auto" w:fill="E5E7EF"/>
          </w:tcPr>
          <w:p>
            <w:pPr>
              <w:jc w:val="right"/>
              <w:ind w:right="410"/>
              <w:spacing w:after="0"/>
              <w:rPr>
                <w:sz w:val="20"/>
                <w:szCs w:val="20"/>
                <w:color w:val="auto"/>
              </w:rPr>
            </w:pPr>
            <w:r>
              <w:rPr>
                <w:rFonts w:ascii="Arial" w:cs="Arial" w:eastAsia="Arial" w:hAnsi="Arial"/>
                <w:sz w:val="13"/>
                <w:szCs w:val="13"/>
                <w:color w:val="auto"/>
              </w:rPr>
              <w:t>Market Value</w:t>
            </w:r>
          </w:p>
        </w:tc>
        <w:tc>
          <w:tcPr>
            <w:tcW w:w="1360" w:type="dxa"/>
            <w:vAlign w:val="bottom"/>
            <w:gridSpan w:val="2"/>
            <w:shd w:val="clear" w:color="auto" w:fill="E5E7EF"/>
          </w:tcPr>
          <w:p>
            <w:pPr>
              <w:jc w:val="right"/>
              <w:ind w:right="145"/>
              <w:spacing w:after="0"/>
              <w:rPr>
                <w:sz w:val="20"/>
                <w:szCs w:val="20"/>
                <w:color w:val="auto"/>
              </w:rPr>
            </w:pPr>
            <w:r>
              <w:rPr>
                <w:rFonts w:ascii="Arial" w:cs="Arial" w:eastAsia="Arial" w:hAnsi="Arial"/>
                <w:sz w:val="13"/>
                <w:szCs w:val="13"/>
                <w:color w:val="auto"/>
              </w:rPr>
              <w:t>Number of</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Market or Payout</w:t>
            </w:r>
          </w:p>
        </w:tc>
      </w:tr>
      <w:tr>
        <w:trPr>
          <w:trHeight w:val="148"/>
        </w:trPr>
        <w:tc>
          <w:tcPr>
            <w:tcW w:w="4920" w:type="dxa"/>
            <w:vAlign w:val="bottom"/>
            <w:shd w:val="clear" w:color="auto" w:fill="E5E7EF"/>
          </w:tcPr>
          <w:p>
            <w:pPr>
              <w:spacing w:after="0"/>
              <w:rPr>
                <w:sz w:val="12"/>
                <w:szCs w:val="12"/>
                <w:color w:val="auto"/>
              </w:rPr>
            </w:pPr>
          </w:p>
        </w:tc>
        <w:tc>
          <w:tcPr>
            <w:tcW w:w="1840" w:type="dxa"/>
            <w:vAlign w:val="bottom"/>
            <w:gridSpan w:val="2"/>
            <w:shd w:val="clear" w:color="auto" w:fill="E5E7EF"/>
          </w:tcPr>
          <w:p>
            <w:pPr>
              <w:jc w:val="right"/>
              <w:spacing w:after="0"/>
              <w:rPr>
                <w:sz w:val="20"/>
                <w:szCs w:val="20"/>
                <w:color w:val="auto"/>
              </w:rPr>
            </w:pPr>
            <w:r>
              <w:rPr>
                <w:rFonts w:ascii="Arial" w:cs="Arial" w:eastAsia="Arial" w:hAnsi="Arial"/>
                <w:sz w:val="13"/>
                <w:szCs w:val="13"/>
                <w:color w:val="auto"/>
              </w:rPr>
              <w:t>Number of</w:t>
            </w:r>
          </w:p>
        </w:tc>
        <w:tc>
          <w:tcPr>
            <w:tcW w:w="1860" w:type="dxa"/>
            <w:vAlign w:val="bottom"/>
            <w:shd w:val="clear" w:color="auto" w:fill="E5E7EF"/>
          </w:tcPr>
          <w:p>
            <w:pPr>
              <w:jc w:val="right"/>
              <w:ind w:right="410"/>
              <w:spacing w:after="0"/>
              <w:rPr>
                <w:sz w:val="20"/>
                <w:szCs w:val="20"/>
                <w:color w:val="auto"/>
              </w:rPr>
            </w:pPr>
            <w:r>
              <w:rPr>
                <w:rFonts w:ascii="Arial" w:cs="Arial" w:eastAsia="Arial" w:hAnsi="Arial"/>
                <w:sz w:val="13"/>
                <w:szCs w:val="13"/>
                <w:color w:val="auto"/>
              </w:rPr>
              <w:t>of Shares or</w:t>
            </w:r>
          </w:p>
        </w:tc>
        <w:tc>
          <w:tcPr>
            <w:tcW w:w="1360" w:type="dxa"/>
            <w:vAlign w:val="bottom"/>
            <w:gridSpan w:val="2"/>
            <w:shd w:val="clear" w:color="auto" w:fill="E5E7EF"/>
          </w:tcPr>
          <w:p>
            <w:pPr>
              <w:jc w:val="right"/>
              <w:ind w:right="145"/>
              <w:spacing w:after="0"/>
              <w:rPr>
                <w:sz w:val="20"/>
                <w:szCs w:val="20"/>
                <w:color w:val="auto"/>
              </w:rPr>
            </w:pPr>
            <w:r>
              <w:rPr>
                <w:rFonts w:ascii="Arial" w:cs="Arial" w:eastAsia="Arial" w:hAnsi="Arial"/>
                <w:sz w:val="13"/>
                <w:szCs w:val="13"/>
                <w:color w:val="auto"/>
              </w:rPr>
              <w:t>Unearned Shares,</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Value of Unearned</w:t>
            </w:r>
          </w:p>
        </w:tc>
      </w:tr>
      <w:tr>
        <w:trPr>
          <w:trHeight w:val="148"/>
        </w:trPr>
        <w:tc>
          <w:tcPr>
            <w:tcW w:w="4920" w:type="dxa"/>
            <w:vAlign w:val="bottom"/>
            <w:shd w:val="clear" w:color="auto" w:fill="E5E7EF"/>
          </w:tcPr>
          <w:p>
            <w:pPr>
              <w:spacing w:after="0"/>
              <w:rPr>
                <w:sz w:val="12"/>
                <w:szCs w:val="12"/>
                <w:color w:val="auto"/>
              </w:rPr>
            </w:pPr>
          </w:p>
        </w:tc>
        <w:tc>
          <w:tcPr>
            <w:tcW w:w="1840" w:type="dxa"/>
            <w:vAlign w:val="bottom"/>
            <w:gridSpan w:val="2"/>
            <w:shd w:val="clear" w:color="auto" w:fill="E5E7EF"/>
          </w:tcPr>
          <w:p>
            <w:pPr>
              <w:jc w:val="right"/>
              <w:spacing w:after="0"/>
              <w:rPr>
                <w:sz w:val="20"/>
                <w:szCs w:val="20"/>
                <w:color w:val="auto"/>
              </w:rPr>
            </w:pPr>
            <w:r>
              <w:rPr>
                <w:rFonts w:ascii="Arial" w:cs="Arial" w:eastAsia="Arial" w:hAnsi="Arial"/>
                <w:sz w:val="13"/>
                <w:szCs w:val="13"/>
                <w:color w:val="auto"/>
              </w:rPr>
              <w:t>Shares or Units</w:t>
            </w:r>
          </w:p>
        </w:tc>
        <w:tc>
          <w:tcPr>
            <w:tcW w:w="1860" w:type="dxa"/>
            <w:vAlign w:val="bottom"/>
            <w:shd w:val="clear" w:color="auto" w:fill="E5E7EF"/>
          </w:tcPr>
          <w:p>
            <w:pPr>
              <w:jc w:val="right"/>
              <w:ind w:right="410"/>
              <w:spacing w:after="0"/>
              <w:rPr>
                <w:sz w:val="20"/>
                <w:szCs w:val="20"/>
                <w:color w:val="auto"/>
              </w:rPr>
            </w:pPr>
            <w:r>
              <w:rPr>
                <w:rFonts w:ascii="Arial" w:cs="Arial" w:eastAsia="Arial" w:hAnsi="Arial"/>
                <w:sz w:val="13"/>
                <w:szCs w:val="13"/>
                <w:color w:val="auto"/>
              </w:rPr>
              <w:t>Units of Stock</w:t>
            </w:r>
          </w:p>
        </w:tc>
        <w:tc>
          <w:tcPr>
            <w:tcW w:w="1360" w:type="dxa"/>
            <w:vAlign w:val="bottom"/>
            <w:gridSpan w:val="2"/>
            <w:shd w:val="clear" w:color="auto" w:fill="E5E7EF"/>
          </w:tcPr>
          <w:p>
            <w:pPr>
              <w:jc w:val="right"/>
              <w:ind w:right="145"/>
              <w:spacing w:after="0"/>
              <w:rPr>
                <w:sz w:val="20"/>
                <w:szCs w:val="20"/>
                <w:color w:val="auto"/>
              </w:rPr>
            </w:pPr>
            <w:r>
              <w:rPr>
                <w:rFonts w:ascii="Arial" w:cs="Arial" w:eastAsia="Arial" w:hAnsi="Arial"/>
                <w:sz w:val="13"/>
                <w:szCs w:val="13"/>
                <w:color w:val="auto"/>
              </w:rPr>
              <w:t>Units or Other</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Shares, Units or</w:t>
            </w:r>
          </w:p>
        </w:tc>
      </w:tr>
      <w:tr>
        <w:trPr>
          <w:trHeight w:val="148"/>
        </w:trPr>
        <w:tc>
          <w:tcPr>
            <w:tcW w:w="4920" w:type="dxa"/>
            <w:vAlign w:val="bottom"/>
            <w:shd w:val="clear" w:color="auto" w:fill="E5E7EF"/>
          </w:tcPr>
          <w:p>
            <w:pPr>
              <w:spacing w:after="0"/>
              <w:rPr>
                <w:sz w:val="12"/>
                <w:szCs w:val="12"/>
                <w:color w:val="auto"/>
              </w:rPr>
            </w:pPr>
          </w:p>
        </w:tc>
        <w:tc>
          <w:tcPr>
            <w:tcW w:w="1840" w:type="dxa"/>
            <w:vAlign w:val="bottom"/>
            <w:gridSpan w:val="2"/>
            <w:shd w:val="clear" w:color="auto" w:fill="E5E7EF"/>
          </w:tcPr>
          <w:p>
            <w:pPr>
              <w:jc w:val="right"/>
              <w:spacing w:after="0"/>
              <w:rPr>
                <w:sz w:val="20"/>
                <w:szCs w:val="20"/>
                <w:color w:val="auto"/>
              </w:rPr>
            </w:pPr>
            <w:r>
              <w:rPr>
                <w:rFonts w:ascii="Arial" w:cs="Arial" w:eastAsia="Arial" w:hAnsi="Arial"/>
                <w:sz w:val="13"/>
                <w:szCs w:val="13"/>
                <w:color w:val="auto"/>
              </w:rPr>
              <w:t>of Stock That</w:t>
            </w:r>
          </w:p>
        </w:tc>
        <w:tc>
          <w:tcPr>
            <w:tcW w:w="1860" w:type="dxa"/>
            <w:vAlign w:val="bottom"/>
            <w:shd w:val="clear" w:color="auto" w:fill="E5E7EF"/>
          </w:tcPr>
          <w:p>
            <w:pPr>
              <w:jc w:val="right"/>
              <w:ind w:right="410"/>
              <w:spacing w:after="0"/>
              <w:rPr>
                <w:sz w:val="20"/>
                <w:szCs w:val="20"/>
                <w:color w:val="auto"/>
              </w:rPr>
            </w:pPr>
            <w:r>
              <w:rPr>
                <w:rFonts w:ascii="Arial" w:cs="Arial" w:eastAsia="Arial" w:hAnsi="Arial"/>
                <w:sz w:val="13"/>
                <w:szCs w:val="13"/>
                <w:color w:val="auto"/>
              </w:rPr>
              <w:t>That Have</w:t>
            </w:r>
          </w:p>
        </w:tc>
        <w:tc>
          <w:tcPr>
            <w:tcW w:w="1360" w:type="dxa"/>
            <w:vAlign w:val="bottom"/>
            <w:gridSpan w:val="2"/>
            <w:shd w:val="clear" w:color="auto" w:fill="E5E7EF"/>
          </w:tcPr>
          <w:p>
            <w:pPr>
              <w:jc w:val="right"/>
              <w:ind w:right="145"/>
              <w:spacing w:after="0"/>
              <w:rPr>
                <w:sz w:val="20"/>
                <w:szCs w:val="20"/>
                <w:color w:val="auto"/>
              </w:rPr>
            </w:pPr>
            <w:r>
              <w:rPr>
                <w:rFonts w:ascii="Arial" w:cs="Arial" w:eastAsia="Arial" w:hAnsi="Arial"/>
                <w:sz w:val="13"/>
                <w:szCs w:val="13"/>
                <w:color w:val="auto"/>
              </w:rPr>
              <w:t>Rights That Have</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Other Rights That</w:t>
            </w:r>
          </w:p>
        </w:tc>
      </w:tr>
      <w:tr>
        <w:trPr>
          <w:trHeight w:val="207"/>
        </w:trPr>
        <w:tc>
          <w:tcPr>
            <w:tcW w:w="4920" w:type="dxa"/>
            <w:vAlign w:val="bottom"/>
            <w:shd w:val="clear" w:color="auto" w:fill="E5E7EF"/>
          </w:tcPr>
          <w:p>
            <w:pPr>
              <w:spacing w:after="0"/>
              <w:rPr>
                <w:sz w:val="18"/>
                <w:szCs w:val="18"/>
                <w:color w:val="auto"/>
              </w:rPr>
            </w:pPr>
          </w:p>
        </w:tc>
        <w:tc>
          <w:tcPr>
            <w:tcW w:w="1840" w:type="dxa"/>
            <w:vAlign w:val="bottom"/>
            <w:gridSpan w:val="2"/>
            <w:shd w:val="clear" w:color="auto" w:fill="E5E7EF"/>
          </w:tcPr>
          <w:p>
            <w:pPr>
              <w:jc w:val="right"/>
              <w:spacing w:after="0"/>
              <w:rPr>
                <w:sz w:val="20"/>
                <w:szCs w:val="20"/>
                <w:color w:val="auto"/>
              </w:rPr>
            </w:pPr>
            <w:r>
              <w:rPr>
                <w:rFonts w:ascii="Arial" w:cs="Arial" w:eastAsia="Arial" w:hAnsi="Arial"/>
                <w:sz w:val="13"/>
                <w:szCs w:val="13"/>
                <w:color w:val="auto"/>
              </w:rPr>
              <w:t>Have Not Vested</w:t>
            </w:r>
            <w:r>
              <w:rPr>
                <w:rFonts w:ascii="Arial" w:cs="Arial" w:eastAsia="Arial" w:hAnsi="Arial"/>
                <w:sz w:val="16"/>
                <w:szCs w:val="16"/>
                <w:color w:val="auto"/>
                <w:vertAlign w:val="superscript"/>
              </w:rPr>
              <w:t>(1)</w:t>
            </w:r>
          </w:p>
        </w:tc>
        <w:tc>
          <w:tcPr>
            <w:tcW w:w="1860" w:type="dxa"/>
            <w:vAlign w:val="bottom"/>
            <w:shd w:val="clear" w:color="auto" w:fill="E5E7EF"/>
          </w:tcPr>
          <w:p>
            <w:pPr>
              <w:jc w:val="right"/>
              <w:ind w:right="410"/>
              <w:spacing w:after="0"/>
              <w:rPr>
                <w:sz w:val="20"/>
                <w:szCs w:val="20"/>
                <w:color w:val="auto"/>
              </w:rPr>
            </w:pPr>
            <w:r>
              <w:rPr>
                <w:rFonts w:ascii="Arial" w:cs="Arial" w:eastAsia="Arial" w:hAnsi="Arial"/>
                <w:sz w:val="13"/>
                <w:szCs w:val="13"/>
                <w:color w:val="auto"/>
              </w:rPr>
              <w:t>Not Vested</w:t>
            </w:r>
            <w:r>
              <w:rPr>
                <w:rFonts w:ascii="Arial" w:cs="Arial" w:eastAsia="Arial" w:hAnsi="Arial"/>
                <w:sz w:val="16"/>
                <w:szCs w:val="16"/>
                <w:color w:val="auto"/>
                <w:vertAlign w:val="superscript"/>
              </w:rPr>
              <w:t>(2)</w:t>
            </w:r>
          </w:p>
        </w:tc>
        <w:tc>
          <w:tcPr>
            <w:tcW w:w="1360" w:type="dxa"/>
            <w:vAlign w:val="bottom"/>
            <w:gridSpan w:val="2"/>
            <w:shd w:val="clear" w:color="auto" w:fill="E5E7EF"/>
          </w:tcPr>
          <w:p>
            <w:pPr>
              <w:jc w:val="right"/>
              <w:ind w:right="145"/>
              <w:spacing w:after="0"/>
              <w:rPr>
                <w:sz w:val="20"/>
                <w:szCs w:val="20"/>
                <w:color w:val="auto"/>
              </w:rPr>
            </w:pPr>
            <w:r>
              <w:rPr>
                <w:rFonts w:ascii="Arial" w:cs="Arial" w:eastAsia="Arial" w:hAnsi="Arial"/>
                <w:sz w:val="13"/>
                <w:szCs w:val="13"/>
                <w:color w:val="auto"/>
              </w:rPr>
              <w:t>Not Vested</w:t>
            </w:r>
            <w:r>
              <w:rPr>
                <w:rFonts w:ascii="Arial" w:cs="Arial" w:eastAsia="Arial" w:hAnsi="Arial"/>
                <w:sz w:val="16"/>
                <w:szCs w:val="16"/>
                <w:color w:val="auto"/>
                <w:vertAlign w:val="superscript"/>
              </w:rPr>
              <w:t>(3)</w:t>
            </w:r>
          </w:p>
        </w:tc>
        <w:tc>
          <w:tcPr>
            <w:tcW w:w="12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Have Not Vested</w:t>
            </w:r>
            <w:r>
              <w:rPr>
                <w:rFonts w:ascii="Arial" w:cs="Arial" w:eastAsia="Arial" w:hAnsi="Arial"/>
                <w:sz w:val="16"/>
                <w:szCs w:val="16"/>
                <w:color w:val="auto"/>
                <w:vertAlign w:val="superscript"/>
              </w:rPr>
              <w:t>(4)</w:t>
            </w:r>
          </w:p>
        </w:tc>
      </w:tr>
      <w:tr>
        <w:trPr>
          <w:trHeight w:val="221"/>
        </w:trPr>
        <w:tc>
          <w:tcPr>
            <w:tcW w:w="49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540" w:type="dxa"/>
            <w:vAlign w:val="bottom"/>
            <w:tcBorders>
              <w:bottom w:val="single" w:sz="8" w:color="E5E7EF"/>
            </w:tcBorders>
            <w:shd w:val="clear" w:color="auto" w:fill="E5E7EF"/>
          </w:tcPr>
          <w:p>
            <w:pPr>
              <w:spacing w:after="0"/>
              <w:rPr>
                <w:sz w:val="18"/>
                <w:szCs w:val="18"/>
                <w:color w:val="auto"/>
              </w:rPr>
            </w:pPr>
          </w:p>
        </w:tc>
        <w:tc>
          <w:tcPr>
            <w:tcW w:w="3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860" w:type="dxa"/>
            <w:vAlign w:val="bottom"/>
            <w:tcBorders>
              <w:bottom w:val="single" w:sz="8" w:color="E5E7EF"/>
            </w:tcBorders>
            <w:shd w:val="clear" w:color="auto" w:fill="E5E7EF"/>
          </w:tcPr>
          <w:p>
            <w:pPr>
              <w:jc w:val="right"/>
              <w:ind w:right="41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E5E7EF"/>
            </w:tcBorders>
            <w:shd w:val="clear" w:color="auto" w:fill="E5E7EF"/>
          </w:tcPr>
          <w:p>
            <w:pPr>
              <w:spacing w:after="0"/>
              <w:rPr>
                <w:sz w:val="18"/>
                <w:szCs w:val="18"/>
                <w:color w:val="auto"/>
              </w:rPr>
            </w:pPr>
          </w:p>
        </w:tc>
        <w:tc>
          <w:tcPr>
            <w:tcW w:w="400" w:type="dxa"/>
            <w:vAlign w:val="bottom"/>
            <w:tcBorders>
              <w:bottom w:val="single" w:sz="8" w:color="E5E7EF"/>
            </w:tcBorders>
            <w:shd w:val="clear" w:color="auto" w:fill="E5E7EF"/>
          </w:tcPr>
          <w:p>
            <w:pPr>
              <w:ind w:left="4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4920" w:type="dxa"/>
            <w:vAlign w:val="bottom"/>
            <w:tcBorders>
              <w:top w:val="single" w:sz="8" w:color="002E6D"/>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1540" w:type="dxa"/>
            <w:vAlign w:val="bottom"/>
            <w:tcBorders>
              <w:top w:val="single" w:sz="8" w:color="002E6D"/>
              <w:bottom w:val="single" w:sz="8" w:color="E5E7EF"/>
            </w:tcBorders>
            <w:shd w:val="clear" w:color="auto" w:fill="E5E7EF"/>
          </w:tcPr>
          <w:p>
            <w:pPr>
              <w:spacing w:after="0"/>
              <w:rPr>
                <w:sz w:val="17"/>
                <w:szCs w:val="17"/>
                <w:color w:val="auto"/>
              </w:rPr>
            </w:pPr>
          </w:p>
        </w:tc>
        <w:tc>
          <w:tcPr>
            <w:tcW w:w="30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(g)</w:t>
            </w:r>
          </w:p>
        </w:tc>
        <w:tc>
          <w:tcPr>
            <w:tcW w:w="1860" w:type="dxa"/>
            <w:vAlign w:val="bottom"/>
            <w:tcBorders>
              <w:top w:val="single" w:sz="8" w:color="002E6D"/>
              <w:bottom w:val="single" w:sz="8" w:color="E5E7EF"/>
            </w:tcBorders>
            <w:shd w:val="clear" w:color="auto" w:fill="E5E7EF"/>
          </w:tcPr>
          <w:p>
            <w:pPr>
              <w:jc w:val="right"/>
              <w:ind w:right="410"/>
              <w:spacing w:after="0"/>
              <w:rPr>
                <w:sz w:val="20"/>
                <w:szCs w:val="20"/>
                <w:color w:val="auto"/>
              </w:rPr>
            </w:pPr>
            <w:r>
              <w:rPr>
                <w:rFonts w:ascii="Arial" w:cs="Arial" w:eastAsia="Arial" w:hAnsi="Arial"/>
                <w:sz w:val="13"/>
                <w:szCs w:val="13"/>
                <w:color w:val="auto"/>
              </w:rPr>
              <w:t>(h)</w:t>
            </w:r>
          </w:p>
        </w:tc>
        <w:tc>
          <w:tcPr>
            <w:tcW w:w="960" w:type="dxa"/>
            <w:vAlign w:val="bottom"/>
            <w:tcBorders>
              <w:top w:val="single" w:sz="8" w:color="002E6D"/>
              <w:bottom w:val="single" w:sz="8" w:color="E5E7EF"/>
            </w:tcBorders>
            <w:shd w:val="clear" w:color="auto" w:fill="E5E7EF"/>
          </w:tcPr>
          <w:p>
            <w:pPr>
              <w:spacing w:after="0"/>
              <w:rPr>
                <w:sz w:val="17"/>
                <w:szCs w:val="17"/>
                <w:color w:val="auto"/>
              </w:rPr>
            </w:pPr>
          </w:p>
        </w:tc>
        <w:tc>
          <w:tcPr>
            <w:tcW w:w="400" w:type="dxa"/>
            <w:vAlign w:val="bottom"/>
            <w:tcBorders>
              <w:top w:val="single" w:sz="8" w:color="002E6D"/>
              <w:bottom w:val="single" w:sz="8" w:color="E5E7EF"/>
            </w:tcBorders>
            <w:shd w:val="clear" w:color="auto" w:fill="E5E7EF"/>
          </w:tcPr>
          <w:p>
            <w:pPr>
              <w:jc w:val="right"/>
              <w:ind w:right="145"/>
              <w:spacing w:after="0"/>
              <w:rPr>
                <w:sz w:val="20"/>
                <w:szCs w:val="20"/>
                <w:color w:val="auto"/>
              </w:rPr>
            </w:pPr>
            <w:r>
              <w:rPr>
                <w:rFonts w:ascii="Arial" w:cs="Arial" w:eastAsia="Arial" w:hAnsi="Arial"/>
                <w:sz w:val="13"/>
                <w:szCs w:val="13"/>
                <w:color w:val="auto"/>
              </w:rPr>
              <w:t>(i)</w:t>
            </w:r>
          </w:p>
        </w:tc>
        <w:tc>
          <w:tcPr>
            <w:tcW w:w="126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(j)</w:t>
            </w:r>
          </w:p>
        </w:tc>
      </w:tr>
      <w:tr>
        <w:trPr>
          <w:trHeight w:val="176"/>
        </w:trPr>
        <w:tc>
          <w:tcPr>
            <w:tcW w:w="4920" w:type="dxa"/>
            <w:vAlign w:val="bottom"/>
            <w:tcBorders>
              <w:top w:val="single" w:sz="8" w:color="002E6D"/>
            </w:tcBorders>
          </w:tcPr>
          <w:p>
            <w:pPr>
              <w:ind w:left="20"/>
              <w:spacing w:after="0" w:line="164" w:lineRule="exact"/>
              <w:rPr>
                <w:sz w:val="20"/>
                <w:szCs w:val="20"/>
                <w:color w:val="auto"/>
              </w:rPr>
            </w:pPr>
            <w:r>
              <w:rPr>
                <w:rFonts w:ascii="Calibri" w:cs="Calibri" w:eastAsia="Calibri" w:hAnsi="Calibri"/>
                <w:sz w:val="14"/>
                <w:szCs w:val="14"/>
                <w:b w:val="1"/>
                <w:bCs w:val="1"/>
                <w:color w:val="002E6D"/>
              </w:rPr>
              <w:t>James D. Taiclet</w:t>
            </w:r>
          </w:p>
        </w:tc>
        <w:tc>
          <w:tcPr>
            <w:tcW w:w="154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10,992</w:t>
            </w:r>
          </w:p>
        </w:tc>
        <w:tc>
          <w:tcPr>
            <w:tcW w:w="300" w:type="dxa"/>
            <w:vAlign w:val="bottom"/>
            <w:tcBorders>
              <w:top w:val="single" w:sz="8" w:color="002E6D"/>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5</w:t>
            </w:r>
          </w:p>
        </w:tc>
        <w:tc>
          <w:tcPr>
            <w:tcW w:w="1860" w:type="dxa"/>
            <w:vAlign w:val="bottom"/>
            <w:tcBorders>
              <w:top w:val="single" w:sz="8" w:color="002E6D"/>
              <w:bottom w:val="single" w:sz="8" w:color="E5E7EF"/>
            </w:tcBorders>
            <w:shd w:val="clear" w:color="auto" w:fill="E5E7EF"/>
          </w:tcPr>
          <w:p>
            <w:pPr>
              <w:jc w:val="right"/>
              <w:ind w:right="450"/>
              <w:spacing w:after="0" w:line="164" w:lineRule="exact"/>
              <w:rPr>
                <w:sz w:val="20"/>
                <w:szCs w:val="20"/>
                <w:color w:val="auto"/>
              </w:rPr>
            </w:pPr>
            <w:r>
              <w:rPr>
                <w:rFonts w:ascii="Calibri" w:cs="Calibri" w:eastAsia="Calibri" w:hAnsi="Calibri"/>
                <w:sz w:val="14"/>
                <w:szCs w:val="14"/>
                <w:color w:val="auto"/>
              </w:rPr>
              <w:t>5,347,498</w:t>
            </w:r>
          </w:p>
        </w:tc>
        <w:tc>
          <w:tcPr>
            <w:tcW w:w="96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26,577</w:t>
            </w:r>
          </w:p>
        </w:tc>
        <w:tc>
          <w:tcPr>
            <w:tcW w:w="400" w:type="dxa"/>
            <w:vAlign w:val="bottom"/>
            <w:tcBorders>
              <w:top w:val="single" w:sz="8" w:color="002E6D"/>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6</w:t>
            </w:r>
          </w:p>
        </w:tc>
        <w:tc>
          <w:tcPr>
            <w:tcW w:w="126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12,929,445</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27,024</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7</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13,146,906</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30,200</w:t>
            </w:r>
          </w:p>
        </w:tc>
        <w:tc>
          <w:tcPr>
            <w:tcW w:w="400" w:type="dxa"/>
            <w:vAlign w:val="bottom"/>
          </w:tcPr>
          <w:p>
            <w:pPr>
              <w:ind w:left="40"/>
              <w:spacing w:after="0"/>
              <w:rPr>
                <w:sz w:val="20"/>
                <w:szCs w:val="20"/>
                <w:color w:val="auto"/>
              </w:rPr>
            </w:pPr>
            <w:r>
              <w:rPr>
                <w:rFonts w:ascii="Calibri" w:cs="Calibri" w:eastAsia="Calibri" w:hAnsi="Calibri"/>
                <w:sz w:val="11"/>
                <w:szCs w:val="11"/>
                <w:color w:val="auto"/>
              </w:rPr>
              <w:t>8</w:t>
            </w:r>
          </w:p>
        </w:tc>
        <w:tc>
          <w:tcPr>
            <w:tcW w:w="1260" w:type="dxa"/>
            <w:vAlign w:val="bottom"/>
          </w:tcPr>
          <w:p>
            <w:pPr>
              <w:jc w:val="right"/>
              <w:spacing w:after="0"/>
              <w:rPr>
                <w:sz w:val="20"/>
                <w:szCs w:val="20"/>
                <w:color w:val="auto"/>
              </w:rPr>
            </w:pPr>
            <w:r>
              <w:rPr>
                <w:rFonts w:ascii="Calibri" w:cs="Calibri" w:eastAsia="Calibri" w:hAnsi="Calibri"/>
                <w:sz w:val="14"/>
                <w:szCs w:val="14"/>
                <w:color w:val="auto"/>
              </w:rPr>
              <w:t>14,691,998</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3"/>
        </w:trPr>
        <w:tc>
          <w:tcPr>
            <w:tcW w:w="4920" w:type="dxa"/>
            <w:vAlign w:val="bottom"/>
          </w:tcPr>
          <w:p>
            <w:pPr>
              <w:spacing w:after="0"/>
              <w:rPr>
                <w:sz w:val="15"/>
                <w:szCs w:val="15"/>
                <w:color w:val="auto"/>
              </w:rPr>
            </w:pPr>
          </w:p>
        </w:tc>
        <w:tc>
          <w:tcPr>
            <w:tcW w:w="154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11,571</w:t>
            </w:r>
          </w:p>
        </w:tc>
        <w:tc>
          <w:tcPr>
            <w:tcW w:w="300" w:type="dxa"/>
            <w:vAlign w:val="bottom"/>
            <w:tcBorders>
              <w:bottom w:val="single" w:sz="8" w:color="E5E7EF"/>
            </w:tcBorders>
            <w:shd w:val="clear" w:color="auto" w:fill="E5E7EF"/>
          </w:tcPr>
          <w:p>
            <w:pPr>
              <w:ind w:left="40"/>
              <w:spacing w:after="0"/>
              <w:rPr>
                <w:sz w:val="20"/>
                <w:szCs w:val="20"/>
                <w:color w:val="auto"/>
              </w:rPr>
            </w:pPr>
            <w:r>
              <w:rPr>
                <w:rFonts w:ascii="Calibri" w:cs="Calibri" w:eastAsia="Calibri" w:hAnsi="Calibri"/>
                <w:sz w:val="11"/>
                <w:szCs w:val="11"/>
                <w:color w:val="auto"/>
              </w:rPr>
              <w:t>9</w:t>
            </w:r>
          </w:p>
        </w:tc>
        <w:tc>
          <w:tcPr>
            <w:tcW w:w="1860" w:type="dxa"/>
            <w:vAlign w:val="bottom"/>
            <w:tcBorders>
              <w:bottom w:val="single" w:sz="8" w:color="E5E7EF"/>
            </w:tcBorders>
            <w:shd w:val="clear" w:color="auto" w:fill="E5E7EF"/>
          </w:tcPr>
          <w:p>
            <w:pPr>
              <w:jc w:val="right"/>
              <w:ind w:right="450"/>
              <w:spacing w:after="0"/>
              <w:rPr>
                <w:sz w:val="20"/>
                <w:szCs w:val="20"/>
                <w:color w:val="auto"/>
              </w:rPr>
            </w:pPr>
            <w:r>
              <w:rPr>
                <w:rFonts w:ascii="Calibri" w:cs="Calibri" w:eastAsia="Calibri" w:hAnsi="Calibri"/>
                <w:sz w:val="14"/>
                <w:szCs w:val="14"/>
                <w:color w:val="auto"/>
              </w:rPr>
              <w:t>5,629,176</w:t>
            </w:r>
          </w:p>
        </w:tc>
        <w:tc>
          <w:tcPr>
            <w:tcW w:w="9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Borders>
              <w:bottom w:val="single" w:sz="8" w:color="E5E7EF"/>
            </w:tcBorders>
            <w:shd w:val="clear" w:color="auto" w:fill="E5E7EF"/>
          </w:tcPr>
          <w:p>
            <w:pPr>
              <w:spacing w:after="0"/>
              <w:rPr>
                <w:sz w:val="15"/>
                <w:szCs w:val="15"/>
                <w:color w:val="auto"/>
              </w:rPr>
            </w:pPr>
          </w:p>
        </w:tc>
        <w:tc>
          <w:tcPr>
            <w:tcW w:w="12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12,291</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10</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5,979,449</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33"/>
        </w:trPr>
        <w:tc>
          <w:tcPr>
            <w:tcW w:w="4920" w:type="dxa"/>
            <w:vAlign w:val="bottom"/>
            <w:tcBorders>
              <w:bottom w:val="single" w:sz="8" w:color="9D9D9C"/>
            </w:tcBorders>
          </w:tcPr>
          <w:p>
            <w:pPr>
              <w:spacing w:after="0"/>
              <w:rPr>
                <w:sz w:val="2"/>
                <w:szCs w:val="2"/>
                <w:color w:val="auto"/>
              </w:rPr>
            </w:pPr>
          </w:p>
        </w:tc>
        <w:tc>
          <w:tcPr>
            <w:tcW w:w="1540" w:type="dxa"/>
            <w:vAlign w:val="bottom"/>
            <w:tcBorders>
              <w:bottom w:val="single" w:sz="8" w:color="9D9D9C"/>
            </w:tcBorders>
          </w:tcPr>
          <w:p>
            <w:pPr>
              <w:spacing w:after="0"/>
              <w:rPr>
                <w:sz w:val="2"/>
                <w:szCs w:val="2"/>
                <w:color w:val="auto"/>
              </w:rPr>
            </w:pPr>
          </w:p>
        </w:tc>
        <w:tc>
          <w:tcPr>
            <w:tcW w:w="300" w:type="dxa"/>
            <w:vAlign w:val="bottom"/>
            <w:tcBorders>
              <w:bottom w:val="single" w:sz="8" w:color="9D9D9C"/>
            </w:tcBorders>
          </w:tcPr>
          <w:p>
            <w:pPr>
              <w:spacing w:after="0"/>
              <w:rPr>
                <w:sz w:val="2"/>
                <w:szCs w:val="2"/>
                <w:color w:val="auto"/>
              </w:rPr>
            </w:pPr>
          </w:p>
        </w:tc>
        <w:tc>
          <w:tcPr>
            <w:tcW w:w="186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c>
          <w:tcPr>
            <w:tcW w:w="400" w:type="dxa"/>
            <w:vAlign w:val="bottom"/>
            <w:tcBorders>
              <w:bottom w:val="single" w:sz="8" w:color="9D9D9C"/>
            </w:tcBorders>
          </w:tcPr>
          <w:p>
            <w:pPr>
              <w:spacing w:after="0"/>
              <w:rPr>
                <w:sz w:val="2"/>
                <w:szCs w:val="2"/>
                <w:color w:val="auto"/>
              </w:rPr>
            </w:pPr>
          </w:p>
        </w:tc>
        <w:tc>
          <w:tcPr>
            <w:tcW w:w="1260" w:type="dxa"/>
            <w:vAlign w:val="bottom"/>
            <w:tcBorders>
              <w:bottom w:val="single" w:sz="8" w:color="9D9D9C"/>
            </w:tcBorders>
          </w:tcPr>
          <w:p>
            <w:pPr>
              <w:spacing w:after="0"/>
              <w:rPr>
                <w:sz w:val="2"/>
                <w:szCs w:val="2"/>
                <w:color w:val="auto"/>
              </w:rPr>
            </w:pPr>
          </w:p>
        </w:tc>
      </w:tr>
      <w:tr>
        <w:trPr>
          <w:trHeight w:val="176"/>
        </w:trPr>
        <w:tc>
          <w:tcPr>
            <w:tcW w:w="49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Jesus Malave</w:t>
            </w:r>
          </w:p>
        </w:tc>
        <w:tc>
          <w:tcPr>
            <w:tcW w:w="154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10,286</w:t>
            </w:r>
          </w:p>
        </w:tc>
        <w:tc>
          <w:tcPr>
            <w:tcW w:w="3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11</w:t>
            </w:r>
          </w:p>
        </w:tc>
        <w:tc>
          <w:tcPr>
            <w:tcW w:w="1860" w:type="dxa"/>
            <w:vAlign w:val="bottom"/>
            <w:tcBorders>
              <w:bottom w:val="single" w:sz="8" w:color="E5E7EF"/>
            </w:tcBorders>
            <w:shd w:val="clear" w:color="auto" w:fill="E5E7EF"/>
          </w:tcPr>
          <w:p>
            <w:pPr>
              <w:jc w:val="right"/>
              <w:ind w:right="450"/>
              <w:spacing w:after="0" w:line="164" w:lineRule="exact"/>
              <w:rPr>
                <w:sz w:val="20"/>
                <w:szCs w:val="20"/>
                <w:color w:val="auto"/>
              </w:rPr>
            </w:pPr>
            <w:r>
              <w:rPr>
                <w:rFonts w:ascii="Calibri" w:cs="Calibri" w:eastAsia="Calibri" w:hAnsi="Calibri"/>
                <w:sz w:val="14"/>
                <w:szCs w:val="14"/>
                <w:color w:val="auto"/>
              </w:rPr>
              <w:t>5,004,036</w:t>
            </w:r>
          </w:p>
        </w:tc>
        <w:tc>
          <w:tcPr>
            <w:tcW w:w="9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14,175</w:t>
            </w:r>
          </w:p>
        </w:tc>
        <w:tc>
          <w:tcPr>
            <w:tcW w:w="4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6</w:t>
            </w:r>
          </w:p>
        </w:tc>
        <w:tc>
          <w:tcPr>
            <w:tcW w:w="12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6,895,996</w:t>
            </w:r>
          </w:p>
        </w:tc>
      </w:tr>
      <w:tr>
        <w:trPr>
          <w:trHeight w:val="193"/>
        </w:trPr>
        <w:tc>
          <w:tcPr>
            <w:tcW w:w="49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6,171</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9</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3,002,130</w:t>
            </w: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40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4920" w:type="dxa"/>
            <w:vAlign w:val="bottom"/>
            <w:tcBorders>
              <w:bottom w:val="single" w:sz="8" w:color="939598"/>
            </w:tcBorders>
          </w:tcPr>
          <w:p>
            <w:pPr>
              <w:spacing w:after="0" w:line="20" w:lineRule="exact"/>
              <w:rPr>
                <w:sz w:val="1"/>
                <w:szCs w:val="1"/>
                <w:color w:val="auto"/>
              </w:rPr>
            </w:pPr>
          </w:p>
        </w:tc>
        <w:tc>
          <w:tcPr>
            <w:tcW w:w="1540" w:type="dxa"/>
            <w:vAlign w:val="bottom"/>
            <w:tcBorders>
              <w:bottom w:val="single" w:sz="8" w:color="9D9D9C"/>
            </w:tcBorders>
          </w:tcPr>
          <w:p>
            <w:pPr>
              <w:spacing w:after="0" w:line="20" w:lineRule="exact"/>
              <w:rPr>
                <w:sz w:val="1"/>
                <w:szCs w:val="1"/>
                <w:color w:val="auto"/>
              </w:rPr>
            </w:pPr>
          </w:p>
        </w:tc>
        <w:tc>
          <w:tcPr>
            <w:tcW w:w="300" w:type="dxa"/>
            <w:vAlign w:val="bottom"/>
            <w:tcBorders>
              <w:bottom w:val="single" w:sz="8" w:color="9D9D9C"/>
            </w:tcBorders>
          </w:tcPr>
          <w:p>
            <w:pPr>
              <w:spacing w:after="0" w:line="20" w:lineRule="exact"/>
              <w:rPr>
                <w:sz w:val="1"/>
                <w:szCs w:val="1"/>
                <w:color w:val="auto"/>
              </w:rPr>
            </w:pPr>
          </w:p>
        </w:tc>
        <w:tc>
          <w:tcPr>
            <w:tcW w:w="1860" w:type="dxa"/>
            <w:vAlign w:val="bottom"/>
            <w:tcBorders>
              <w:bottom w:val="single" w:sz="8" w:color="9D9D9C"/>
            </w:tcBorders>
          </w:tcPr>
          <w:p>
            <w:pPr>
              <w:spacing w:after="0" w:line="20" w:lineRule="exact"/>
              <w:rPr>
                <w:sz w:val="1"/>
                <w:szCs w:val="1"/>
                <w:color w:val="auto"/>
              </w:rPr>
            </w:pPr>
          </w:p>
        </w:tc>
        <w:tc>
          <w:tcPr>
            <w:tcW w:w="960" w:type="dxa"/>
            <w:vAlign w:val="bottom"/>
            <w:tcBorders>
              <w:bottom w:val="single" w:sz="8" w:color="9D9D9C"/>
            </w:tcBorders>
          </w:tcPr>
          <w:p>
            <w:pPr>
              <w:spacing w:after="0" w:line="20" w:lineRule="exact"/>
              <w:rPr>
                <w:sz w:val="1"/>
                <w:szCs w:val="1"/>
                <w:color w:val="auto"/>
              </w:rPr>
            </w:pPr>
          </w:p>
        </w:tc>
        <w:tc>
          <w:tcPr>
            <w:tcW w:w="400" w:type="dxa"/>
            <w:vAlign w:val="bottom"/>
            <w:tcBorders>
              <w:bottom w:val="single" w:sz="8" w:color="9D9D9C"/>
            </w:tcBorders>
          </w:tcPr>
          <w:p>
            <w:pPr>
              <w:spacing w:after="0" w:line="20" w:lineRule="exact"/>
              <w:rPr>
                <w:sz w:val="1"/>
                <w:szCs w:val="1"/>
                <w:color w:val="auto"/>
              </w:rPr>
            </w:pPr>
          </w:p>
        </w:tc>
        <w:tc>
          <w:tcPr>
            <w:tcW w:w="1260" w:type="dxa"/>
            <w:vAlign w:val="bottom"/>
            <w:tcBorders>
              <w:bottom w:val="single" w:sz="8" w:color="9D9D9C"/>
            </w:tcBorders>
          </w:tcPr>
          <w:p>
            <w:pPr>
              <w:spacing w:after="0" w:line="20" w:lineRule="exact"/>
              <w:rPr>
                <w:sz w:val="1"/>
                <w:szCs w:val="1"/>
                <w:color w:val="auto"/>
              </w:rPr>
            </w:pPr>
          </w:p>
        </w:tc>
      </w:tr>
      <w:tr>
        <w:trPr>
          <w:trHeight w:val="176"/>
        </w:trPr>
        <w:tc>
          <w:tcPr>
            <w:tcW w:w="49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John W. Mollard</w:t>
            </w:r>
          </w:p>
        </w:tc>
        <w:tc>
          <w:tcPr>
            <w:tcW w:w="154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1,016</w:t>
            </w:r>
          </w:p>
        </w:tc>
        <w:tc>
          <w:tcPr>
            <w:tcW w:w="3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9</w:t>
            </w:r>
          </w:p>
        </w:tc>
        <w:tc>
          <w:tcPr>
            <w:tcW w:w="1860" w:type="dxa"/>
            <w:vAlign w:val="bottom"/>
            <w:tcBorders>
              <w:bottom w:val="single" w:sz="8" w:color="E5E7EF"/>
            </w:tcBorders>
            <w:shd w:val="clear" w:color="auto" w:fill="E5E7EF"/>
          </w:tcPr>
          <w:p>
            <w:pPr>
              <w:jc w:val="right"/>
              <w:ind w:right="450"/>
              <w:spacing w:after="0" w:line="164" w:lineRule="exact"/>
              <w:rPr>
                <w:sz w:val="20"/>
                <w:szCs w:val="20"/>
                <w:color w:val="auto"/>
              </w:rPr>
            </w:pPr>
            <w:r>
              <w:rPr>
                <w:rFonts w:ascii="Calibri" w:cs="Calibri" w:eastAsia="Calibri" w:hAnsi="Calibri"/>
                <w:sz w:val="14"/>
                <w:szCs w:val="14"/>
                <w:color w:val="auto"/>
              </w:rPr>
              <w:t>494,274</w:t>
            </w:r>
          </w:p>
        </w:tc>
        <w:tc>
          <w:tcPr>
            <w:tcW w:w="9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286</w:t>
            </w:r>
          </w:p>
        </w:tc>
        <w:tc>
          <w:tcPr>
            <w:tcW w:w="4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6</w:t>
            </w:r>
          </w:p>
        </w:tc>
        <w:tc>
          <w:tcPr>
            <w:tcW w:w="12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139,136</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1,131</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10</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550,220</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347</w:t>
            </w:r>
          </w:p>
        </w:tc>
        <w:tc>
          <w:tcPr>
            <w:tcW w:w="400" w:type="dxa"/>
            <w:vAlign w:val="bottom"/>
          </w:tcPr>
          <w:p>
            <w:pPr>
              <w:ind w:left="40"/>
              <w:spacing w:after="0"/>
              <w:rPr>
                <w:sz w:val="20"/>
                <w:szCs w:val="20"/>
                <w:color w:val="auto"/>
              </w:rPr>
            </w:pPr>
            <w:r>
              <w:rPr>
                <w:rFonts w:ascii="Calibri" w:cs="Calibri" w:eastAsia="Calibri" w:hAnsi="Calibri"/>
                <w:sz w:val="11"/>
                <w:szCs w:val="11"/>
                <w:color w:val="auto"/>
              </w:rPr>
              <w:t>8</w:t>
            </w:r>
          </w:p>
        </w:tc>
        <w:tc>
          <w:tcPr>
            <w:tcW w:w="1260" w:type="dxa"/>
            <w:vAlign w:val="bottom"/>
          </w:tcPr>
          <w:p>
            <w:pPr>
              <w:jc w:val="right"/>
              <w:spacing w:after="0"/>
              <w:rPr>
                <w:sz w:val="20"/>
                <w:szCs w:val="20"/>
                <w:color w:val="auto"/>
              </w:rPr>
            </w:pPr>
            <w:r>
              <w:rPr>
                <w:rFonts w:ascii="Calibri" w:cs="Calibri" w:eastAsia="Calibri" w:hAnsi="Calibri"/>
                <w:sz w:val="14"/>
                <w:szCs w:val="14"/>
                <w:color w:val="auto"/>
              </w:rPr>
              <w:t>168,812</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3"/>
        </w:trPr>
        <w:tc>
          <w:tcPr>
            <w:tcW w:w="4920" w:type="dxa"/>
            <w:vAlign w:val="bottom"/>
          </w:tcPr>
          <w:p>
            <w:pPr>
              <w:spacing w:after="0"/>
              <w:rPr>
                <w:sz w:val="15"/>
                <w:szCs w:val="15"/>
                <w:color w:val="auto"/>
              </w:rPr>
            </w:pPr>
          </w:p>
        </w:tc>
        <w:tc>
          <w:tcPr>
            <w:tcW w:w="154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943</w:t>
            </w:r>
          </w:p>
        </w:tc>
        <w:tc>
          <w:tcPr>
            <w:tcW w:w="300" w:type="dxa"/>
            <w:vAlign w:val="bottom"/>
            <w:tcBorders>
              <w:bottom w:val="single" w:sz="8" w:color="E5E7EF"/>
            </w:tcBorders>
            <w:shd w:val="clear" w:color="auto" w:fill="E5E7EF"/>
          </w:tcPr>
          <w:p>
            <w:pPr>
              <w:ind w:left="40"/>
              <w:spacing w:after="0"/>
              <w:rPr>
                <w:sz w:val="20"/>
                <w:szCs w:val="20"/>
                <w:color w:val="auto"/>
              </w:rPr>
            </w:pPr>
            <w:r>
              <w:rPr>
                <w:rFonts w:ascii="Calibri" w:cs="Calibri" w:eastAsia="Calibri" w:hAnsi="Calibri"/>
                <w:sz w:val="11"/>
                <w:szCs w:val="11"/>
                <w:color w:val="auto"/>
              </w:rPr>
              <w:t>12</w:t>
            </w:r>
          </w:p>
        </w:tc>
        <w:tc>
          <w:tcPr>
            <w:tcW w:w="1860" w:type="dxa"/>
            <w:vAlign w:val="bottom"/>
            <w:tcBorders>
              <w:bottom w:val="single" w:sz="8" w:color="E5E7EF"/>
            </w:tcBorders>
            <w:shd w:val="clear" w:color="auto" w:fill="E5E7EF"/>
          </w:tcPr>
          <w:p>
            <w:pPr>
              <w:jc w:val="right"/>
              <w:ind w:right="450"/>
              <w:spacing w:after="0"/>
              <w:rPr>
                <w:sz w:val="20"/>
                <w:szCs w:val="20"/>
                <w:color w:val="auto"/>
              </w:rPr>
            </w:pPr>
            <w:r>
              <w:rPr>
                <w:rFonts w:ascii="Calibri" w:cs="Calibri" w:eastAsia="Calibri" w:hAnsi="Calibri"/>
                <w:sz w:val="14"/>
                <w:szCs w:val="14"/>
                <w:color w:val="auto"/>
              </w:rPr>
              <w:t>458,760</w:t>
            </w:r>
          </w:p>
        </w:tc>
        <w:tc>
          <w:tcPr>
            <w:tcW w:w="9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Borders>
              <w:bottom w:val="single" w:sz="8" w:color="E5E7EF"/>
            </w:tcBorders>
            <w:shd w:val="clear" w:color="auto" w:fill="E5E7EF"/>
          </w:tcPr>
          <w:p>
            <w:pPr>
              <w:spacing w:after="0"/>
              <w:rPr>
                <w:sz w:val="15"/>
                <w:szCs w:val="15"/>
                <w:color w:val="auto"/>
              </w:rPr>
            </w:pPr>
          </w:p>
        </w:tc>
        <w:tc>
          <w:tcPr>
            <w:tcW w:w="12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290</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13</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141,082</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33"/>
        </w:trPr>
        <w:tc>
          <w:tcPr>
            <w:tcW w:w="4920" w:type="dxa"/>
            <w:vAlign w:val="bottom"/>
            <w:tcBorders>
              <w:bottom w:val="single" w:sz="8" w:color="939598"/>
            </w:tcBorders>
          </w:tcPr>
          <w:p>
            <w:pPr>
              <w:spacing w:after="0"/>
              <w:rPr>
                <w:sz w:val="2"/>
                <w:szCs w:val="2"/>
                <w:color w:val="auto"/>
              </w:rPr>
            </w:pPr>
          </w:p>
        </w:tc>
        <w:tc>
          <w:tcPr>
            <w:tcW w:w="1540" w:type="dxa"/>
            <w:vAlign w:val="bottom"/>
            <w:tcBorders>
              <w:bottom w:val="single" w:sz="8" w:color="9D9D9C"/>
            </w:tcBorders>
          </w:tcPr>
          <w:p>
            <w:pPr>
              <w:spacing w:after="0"/>
              <w:rPr>
                <w:sz w:val="2"/>
                <w:szCs w:val="2"/>
                <w:color w:val="auto"/>
              </w:rPr>
            </w:pPr>
          </w:p>
        </w:tc>
        <w:tc>
          <w:tcPr>
            <w:tcW w:w="300" w:type="dxa"/>
            <w:vAlign w:val="bottom"/>
            <w:tcBorders>
              <w:bottom w:val="single" w:sz="8" w:color="9D9D9C"/>
            </w:tcBorders>
          </w:tcPr>
          <w:p>
            <w:pPr>
              <w:spacing w:after="0"/>
              <w:rPr>
                <w:sz w:val="2"/>
                <w:szCs w:val="2"/>
                <w:color w:val="auto"/>
              </w:rPr>
            </w:pPr>
          </w:p>
        </w:tc>
        <w:tc>
          <w:tcPr>
            <w:tcW w:w="186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c>
          <w:tcPr>
            <w:tcW w:w="400" w:type="dxa"/>
            <w:vAlign w:val="bottom"/>
            <w:tcBorders>
              <w:bottom w:val="single" w:sz="8" w:color="9D9D9C"/>
            </w:tcBorders>
          </w:tcPr>
          <w:p>
            <w:pPr>
              <w:spacing w:after="0"/>
              <w:rPr>
                <w:sz w:val="2"/>
                <w:szCs w:val="2"/>
                <w:color w:val="auto"/>
              </w:rPr>
            </w:pPr>
          </w:p>
        </w:tc>
        <w:tc>
          <w:tcPr>
            <w:tcW w:w="1260" w:type="dxa"/>
            <w:vAlign w:val="bottom"/>
            <w:tcBorders>
              <w:bottom w:val="single" w:sz="8" w:color="9D9D9C"/>
            </w:tcBorders>
          </w:tcPr>
          <w:p>
            <w:pPr>
              <w:spacing w:after="0"/>
              <w:rPr>
                <w:sz w:val="2"/>
                <w:szCs w:val="2"/>
                <w:color w:val="auto"/>
              </w:rPr>
            </w:pPr>
          </w:p>
        </w:tc>
      </w:tr>
      <w:tr>
        <w:trPr>
          <w:trHeight w:val="176"/>
        </w:trPr>
        <w:tc>
          <w:tcPr>
            <w:tcW w:w="49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Frank A. St. John</w:t>
            </w:r>
          </w:p>
        </w:tc>
        <w:tc>
          <w:tcPr>
            <w:tcW w:w="154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112</w:t>
            </w:r>
          </w:p>
        </w:tc>
        <w:tc>
          <w:tcPr>
            <w:tcW w:w="3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5</w:t>
            </w:r>
          </w:p>
        </w:tc>
        <w:tc>
          <w:tcPr>
            <w:tcW w:w="1860" w:type="dxa"/>
            <w:vAlign w:val="bottom"/>
            <w:tcBorders>
              <w:bottom w:val="single" w:sz="8" w:color="E5E7EF"/>
            </w:tcBorders>
            <w:shd w:val="clear" w:color="auto" w:fill="E5E7EF"/>
          </w:tcPr>
          <w:p>
            <w:pPr>
              <w:jc w:val="right"/>
              <w:ind w:right="450"/>
              <w:spacing w:after="0" w:line="164" w:lineRule="exact"/>
              <w:rPr>
                <w:sz w:val="20"/>
                <w:szCs w:val="20"/>
                <w:color w:val="auto"/>
              </w:rPr>
            </w:pPr>
            <w:r>
              <w:rPr>
                <w:rFonts w:ascii="Calibri" w:cs="Calibri" w:eastAsia="Calibri" w:hAnsi="Calibri"/>
                <w:sz w:val="14"/>
                <w:szCs w:val="14"/>
                <w:color w:val="auto"/>
              </w:rPr>
              <w:t>54,487</w:t>
            </w:r>
          </w:p>
        </w:tc>
        <w:tc>
          <w:tcPr>
            <w:tcW w:w="9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10,632</w:t>
            </w:r>
          </w:p>
        </w:tc>
        <w:tc>
          <w:tcPr>
            <w:tcW w:w="4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6</w:t>
            </w:r>
          </w:p>
        </w:tc>
        <w:tc>
          <w:tcPr>
            <w:tcW w:w="12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5,172,362</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293</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7</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142,542</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11,866</w:t>
            </w:r>
          </w:p>
        </w:tc>
        <w:tc>
          <w:tcPr>
            <w:tcW w:w="400" w:type="dxa"/>
            <w:vAlign w:val="bottom"/>
          </w:tcPr>
          <w:p>
            <w:pPr>
              <w:ind w:left="40"/>
              <w:spacing w:after="0"/>
              <w:rPr>
                <w:sz w:val="20"/>
                <w:szCs w:val="20"/>
                <w:color w:val="auto"/>
              </w:rPr>
            </w:pPr>
            <w:r>
              <w:rPr>
                <w:rFonts w:ascii="Calibri" w:cs="Calibri" w:eastAsia="Calibri" w:hAnsi="Calibri"/>
                <w:sz w:val="11"/>
                <w:szCs w:val="11"/>
                <w:color w:val="auto"/>
              </w:rPr>
              <w:t>8</w:t>
            </w:r>
          </w:p>
        </w:tc>
        <w:tc>
          <w:tcPr>
            <w:tcW w:w="1260" w:type="dxa"/>
            <w:vAlign w:val="bottom"/>
          </w:tcPr>
          <w:p>
            <w:pPr>
              <w:jc w:val="right"/>
              <w:spacing w:after="0"/>
              <w:rPr>
                <w:sz w:val="20"/>
                <w:szCs w:val="20"/>
                <w:color w:val="auto"/>
              </w:rPr>
            </w:pPr>
            <w:r>
              <w:rPr>
                <w:rFonts w:ascii="Calibri" w:cs="Calibri" w:eastAsia="Calibri" w:hAnsi="Calibri"/>
                <w:sz w:val="14"/>
                <w:szCs w:val="14"/>
                <w:color w:val="auto"/>
              </w:rPr>
              <w:t>5,772,690</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3"/>
        </w:trPr>
        <w:tc>
          <w:tcPr>
            <w:tcW w:w="4920" w:type="dxa"/>
            <w:vAlign w:val="bottom"/>
          </w:tcPr>
          <w:p>
            <w:pPr>
              <w:spacing w:after="0"/>
              <w:rPr>
                <w:sz w:val="15"/>
                <w:szCs w:val="15"/>
                <w:color w:val="auto"/>
              </w:rPr>
            </w:pPr>
          </w:p>
        </w:tc>
        <w:tc>
          <w:tcPr>
            <w:tcW w:w="154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4,573</w:t>
            </w:r>
          </w:p>
        </w:tc>
        <w:tc>
          <w:tcPr>
            <w:tcW w:w="300" w:type="dxa"/>
            <w:vAlign w:val="bottom"/>
            <w:tcBorders>
              <w:bottom w:val="single" w:sz="8" w:color="E5E7EF"/>
            </w:tcBorders>
            <w:shd w:val="clear" w:color="auto" w:fill="E5E7EF"/>
          </w:tcPr>
          <w:p>
            <w:pPr>
              <w:ind w:left="40"/>
              <w:spacing w:after="0"/>
              <w:rPr>
                <w:sz w:val="20"/>
                <w:szCs w:val="20"/>
                <w:color w:val="auto"/>
              </w:rPr>
            </w:pPr>
            <w:r>
              <w:rPr>
                <w:rFonts w:ascii="Calibri" w:cs="Calibri" w:eastAsia="Calibri" w:hAnsi="Calibri"/>
                <w:sz w:val="11"/>
                <w:szCs w:val="11"/>
                <w:color w:val="auto"/>
              </w:rPr>
              <w:t>9</w:t>
            </w:r>
          </w:p>
        </w:tc>
        <w:tc>
          <w:tcPr>
            <w:tcW w:w="1860" w:type="dxa"/>
            <w:vAlign w:val="bottom"/>
            <w:tcBorders>
              <w:bottom w:val="single" w:sz="8" w:color="E5E7EF"/>
            </w:tcBorders>
            <w:shd w:val="clear" w:color="auto" w:fill="E5E7EF"/>
          </w:tcPr>
          <w:p>
            <w:pPr>
              <w:jc w:val="right"/>
              <w:ind w:right="450"/>
              <w:spacing w:after="0"/>
              <w:rPr>
                <w:sz w:val="20"/>
                <w:szCs w:val="20"/>
                <w:color w:val="auto"/>
              </w:rPr>
            </w:pPr>
            <w:r>
              <w:rPr>
                <w:rFonts w:ascii="Calibri" w:cs="Calibri" w:eastAsia="Calibri" w:hAnsi="Calibri"/>
                <w:sz w:val="14"/>
                <w:szCs w:val="14"/>
                <w:color w:val="auto"/>
              </w:rPr>
              <w:t>2,224,719</w:t>
            </w:r>
          </w:p>
        </w:tc>
        <w:tc>
          <w:tcPr>
            <w:tcW w:w="9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Borders>
              <w:bottom w:val="single" w:sz="8" w:color="E5E7EF"/>
            </w:tcBorders>
            <w:shd w:val="clear" w:color="auto" w:fill="E5E7EF"/>
          </w:tcPr>
          <w:p>
            <w:pPr>
              <w:spacing w:after="0"/>
              <w:rPr>
                <w:sz w:val="15"/>
                <w:szCs w:val="15"/>
                <w:color w:val="auto"/>
              </w:rPr>
            </w:pPr>
          </w:p>
        </w:tc>
        <w:tc>
          <w:tcPr>
            <w:tcW w:w="12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4,629</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10</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2,251,962</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2"/>
        </w:trPr>
        <w:tc>
          <w:tcPr>
            <w:tcW w:w="4920" w:type="dxa"/>
            <w:vAlign w:val="bottom"/>
          </w:tcPr>
          <w:p>
            <w:pPr>
              <w:spacing w:after="0"/>
              <w:rPr>
                <w:sz w:val="15"/>
                <w:szCs w:val="15"/>
                <w:color w:val="auto"/>
              </w:rPr>
            </w:pPr>
          </w:p>
        </w:tc>
        <w:tc>
          <w:tcPr>
            <w:tcW w:w="154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3,365</w:t>
            </w:r>
          </w:p>
        </w:tc>
        <w:tc>
          <w:tcPr>
            <w:tcW w:w="300" w:type="dxa"/>
            <w:vAlign w:val="bottom"/>
            <w:tcBorders>
              <w:bottom w:val="single" w:sz="8" w:color="E4E6EF"/>
            </w:tcBorders>
            <w:shd w:val="clear" w:color="auto" w:fill="E4E6EF"/>
          </w:tcPr>
          <w:p>
            <w:pPr>
              <w:ind w:left="40"/>
              <w:spacing w:after="0"/>
              <w:rPr>
                <w:sz w:val="20"/>
                <w:szCs w:val="20"/>
                <w:color w:val="auto"/>
              </w:rPr>
            </w:pPr>
            <w:r>
              <w:rPr>
                <w:rFonts w:ascii="Calibri" w:cs="Calibri" w:eastAsia="Calibri" w:hAnsi="Calibri"/>
                <w:sz w:val="11"/>
                <w:szCs w:val="11"/>
                <w:color w:val="auto"/>
              </w:rPr>
              <w:t>12</w:t>
            </w:r>
          </w:p>
        </w:tc>
        <w:tc>
          <w:tcPr>
            <w:tcW w:w="1860" w:type="dxa"/>
            <w:vAlign w:val="bottom"/>
            <w:tcBorders>
              <w:bottom w:val="single" w:sz="8" w:color="E4E6EF"/>
            </w:tcBorders>
            <w:shd w:val="clear" w:color="auto" w:fill="E4E6EF"/>
          </w:tcPr>
          <w:p>
            <w:pPr>
              <w:jc w:val="right"/>
              <w:ind w:right="450"/>
              <w:spacing w:after="0"/>
              <w:rPr>
                <w:sz w:val="20"/>
                <w:szCs w:val="20"/>
                <w:color w:val="auto"/>
              </w:rPr>
            </w:pPr>
            <w:r>
              <w:rPr>
                <w:rFonts w:ascii="Calibri" w:cs="Calibri" w:eastAsia="Calibri" w:hAnsi="Calibri"/>
                <w:sz w:val="14"/>
                <w:szCs w:val="14"/>
                <w:color w:val="auto"/>
              </w:rPr>
              <w:t>1,637,039</w:t>
            </w:r>
          </w:p>
        </w:tc>
        <w:tc>
          <w:tcPr>
            <w:tcW w:w="96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Borders>
              <w:bottom w:val="single" w:sz="8" w:color="E4E6EF"/>
            </w:tcBorders>
            <w:shd w:val="clear" w:color="auto" w:fill="E4E6EF"/>
          </w:tcPr>
          <w:p>
            <w:pPr>
              <w:spacing w:after="0"/>
              <w:rPr>
                <w:sz w:val="15"/>
                <w:szCs w:val="15"/>
                <w:color w:val="auto"/>
              </w:rPr>
            </w:pPr>
          </w:p>
        </w:tc>
        <w:tc>
          <w:tcPr>
            <w:tcW w:w="126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8,631</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13</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4,198,895</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33"/>
        </w:trPr>
        <w:tc>
          <w:tcPr>
            <w:tcW w:w="4920" w:type="dxa"/>
            <w:vAlign w:val="bottom"/>
            <w:tcBorders>
              <w:bottom w:val="single" w:sz="8" w:color="9D9D9C"/>
            </w:tcBorders>
          </w:tcPr>
          <w:p>
            <w:pPr>
              <w:spacing w:after="0"/>
              <w:rPr>
                <w:sz w:val="2"/>
                <w:szCs w:val="2"/>
                <w:color w:val="auto"/>
              </w:rPr>
            </w:pPr>
          </w:p>
        </w:tc>
        <w:tc>
          <w:tcPr>
            <w:tcW w:w="1540" w:type="dxa"/>
            <w:vAlign w:val="bottom"/>
            <w:tcBorders>
              <w:bottom w:val="single" w:sz="8" w:color="9D9D9C"/>
            </w:tcBorders>
          </w:tcPr>
          <w:p>
            <w:pPr>
              <w:spacing w:after="0"/>
              <w:rPr>
                <w:sz w:val="2"/>
                <w:szCs w:val="2"/>
                <w:color w:val="auto"/>
              </w:rPr>
            </w:pPr>
          </w:p>
        </w:tc>
        <w:tc>
          <w:tcPr>
            <w:tcW w:w="300" w:type="dxa"/>
            <w:vAlign w:val="bottom"/>
            <w:tcBorders>
              <w:bottom w:val="single" w:sz="8" w:color="9D9D9C"/>
            </w:tcBorders>
          </w:tcPr>
          <w:p>
            <w:pPr>
              <w:spacing w:after="0"/>
              <w:rPr>
                <w:sz w:val="2"/>
                <w:szCs w:val="2"/>
                <w:color w:val="auto"/>
              </w:rPr>
            </w:pPr>
          </w:p>
        </w:tc>
        <w:tc>
          <w:tcPr>
            <w:tcW w:w="186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c>
          <w:tcPr>
            <w:tcW w:w="400" w:type="dxa"/>
            <w:vAlign w:val="bottom"/>
            <w:tcBorders>
              <w:bottom w:val="single" w:sz="8" w:color="9D9D9C"/>
            </w:tcBorders>
          </w:tcPr>
          <w:p>
            <w:pPr>
              <w:spacing w:after="0"/>
              <w:rPr>
                <w:sz w:val="2"/>
                <w:szCs w:val="2"/>
                <w:color w:val="auto"/>
              </w:rPr>
            </w:pPr>
          </w:p>
        </w:tc>
        <w:tc>
          <w:tcPr>
            <w:tcW w:w="1260" w:type="dxa"/>
            <w:vAlign w:val="bottom"/>
            <w:tcBorders>
              <w:bottom w:val="single" w:sz="8" w:color="9D9D9C"/>
            </w:tcBorders>
          </w:tcPr>
          <w:p>
            <w:pPr>
              <w:spacing w:after="0"/>
              <w:rPr>
                <w:sz w:val="2"/>
                <w:szCs w:val="2"/>
                <w:color w:val="auto"/>
              </w:rPr>
            </w:pPr>
          </w:p>
        </w:tc>
      </w:tr>
      <w:tr>
        <w:trPr>
          <w:trHeight w:val="176"/>
        </w:trPr>
        <w:tc>
          <w:tcPr>
            <w:tcW w:w="49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Scot T. Greene</w:t>
            </w:r>
          </w:p>
        </w:tc>
        <w:tc>
          <w:tcPr>
            <w:tcW w:w="154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3,052</w:t>
            </w:r>
          </w:p>
        </w:tc>
        <w:tc>
          <w:tcPr>
            <w:tcW w:w="3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9</w:t>
            </w:r>
          </w:p>
        </w:tc>
        <w:tc>
          <w:tcPr>
            <w:tcW w:w="1860" w:type="dxa"/>
            <w:vAlign w:val="bottom"/>
            <w:tcBorders>
              <w:bottom w:val="single" w:sz="8" w:color="E5E7EF"/>
            </w:tcBorders>
            <w:shd w:val="clear" w:color="auto" w:fill="E5E7EF"/>
          </w:tcPr>
          <w:p>
            <w:pPr>
              <w:jc w:val="right"/>
              <w:ind w:right="450"/>
              <w:spacing w:after="0" w:line="164" w:lineRule="exact"/>
              <w:rPr>
                <w:sz w:val="20"/>
                <w:szCs w:val="20"/>
                <w:color w:val="auto"/>
              </w:rPr>
            </w:pPr>
            <w:r>
              <w:rPr>
                <w:rFonts w:ascii="Calibri" w:cs="Calibri" w:eastAsia="Calibri" w:hAnsi="Calibri"/>
                <w:sz w:val="14"/>
                <w:szCs w:val="14"/>
                <w:color w:val="auto"/>
              </w:rPr>
              <w:t>1,484,767</w:t>
            </w:r>
          </w:p>
        </w:tc>
        <w:tc>
          <w:tcPr>
            <w:tcW w:w="9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7,089</w:t>
            </w:r>
          </w:p>
        </w:tc>
        <w:tc>
          <w:tcPr>
            <w:tcW w:w="4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6</w:t>
            </w:r>
          </w:p>
        </w:tc>
        <w:tc>
          <w:tcPr>
            <w:tcW w:w="12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3,448,728</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3,380</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10</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1,644,336</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8,631</w:t>
            </w:r>
          </w:p>
        </w:tc>
        <w:tc>
          <w:tcPr>
            <w:tcW w:w="400" w:type="dxa"/>
            <w:vAlign w:val="bottom"/>
          </w:tcPr>
          <w:p>
            <w:pPr>
              <w:ind w:left="40"/>
              <w:spacing w:after="0"/>
              <w:rPr>
                <w:sz w:val="20"/>
                <w:szCs w:val="20"/>
                <w:color w:val="auto"/>
              </w:rPr>
            </w:pPr>
            <w:r>
              <w:rPr>
                <w:rFonts w:ascii="Calibri" w:cs="Calibri" w:eastAsia="Calibri" w:hAnsi="Calibri"/>
                <w:sz w:val="11"/>
                <w:szCs w:val="11"/>
                <w:color w:val="auto"/>
              </w:rPr>
              <w:t>8</w:t>
            </w:r>
          </w:p>
        </w:tc>
        <w:tc>
          <w:tcPr>
            <w:tcW w:w="1260" w:type="dxa"/>
            <w:vAlign w:val="bottom"/>
          </w:tcPr>
          <w:p>
            <w:pPr>
              <w:jc w:val="right"/>
              <w:spacing w:after="0"/>
              <w:rPr>
                <w:sz w:val="20"/>
                <w:szCs w:val="20"/>
                <w:color w:val="auto"/>
              </w:rPr>
            </w:pPr>
            <w:r>
              <w:rPr>
                <w:rFonts w:ascii="Calibri" w:cs="Calibri" w:eastAsia="Calibri" w:hAnsi="Calibri"/>
                <w:sz w:val="14"/>
                <w:szCs w:val="14"/>
                <w:color w:val="auto"/>
              </w:rPr>
              <w:t>4,198,895</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3"/>
        </w:trPr>
        <w:tc>
          <w:tcPr>
            <w:tcW w:w="4920" w:type="dxa"/>
            <w:vAlign w:val="bottom"/>
          </w:tcPr>
          <w:p>
            <w:pPr>
              <w:spacing w:after="0"/>
              <w:rPr>
                <w:sz w:val="15"/>
                <w:szCs w:val="15"/>
                <w:color w:val="auto"/>
              </w:rPr>
            </w:pPr>
          </w:p>
        </w:tc>
        <w:tc>
          <w:tcPr>
            <w:tcW w:w="154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3,026</w:t>
            </w:r>
          </w:p>
        </w:tc>
        <w:tc>
          <w:tcPr>
            <w:tcW w:w="300" w:type="dxa"/>
            <w:vAlign w:val="bottom"/>
            <w:tcBorders>
              <w:bottom w:val="single" w:sz="8" w:color="E5E7EF"/>
            </w:tcBorders>
            <w:shd w:val="clear" w:color="auto" w:fill="E5E7EF"/>
          </w:tcPr>
          <w:p>
            <w:pPr>
              <w:ind w:left="40"/>
              <w:spacing w:after="0"/>
              <w:rPr>
                <w:sz w:val="20"/>
                <w:szCs w:val="20"/>
                <w:color w:val="auto"/>
              </w:rPr>
            </w:pPr>
            <w:r>
              <w:rPr>
                <w:rFonts w:ascii="Calibri" w:cs="Calibri" w:eastAsia="Calibri" w:hAnsi="Calibri"/>
                <w:sz w:val="11"/>
                <w:szCs w:val="11"/>
                <w:color w:val="auto"/>
              </w:rPr>
              <w:t>12</w:t>
            </w:r>
          </w:p>
        </w:tc>
        <w:tc>
          <w:tcPr>
            <w:tcW w:w="1860" w:type="dxa"/>
            <w:vAlign w:val="bottom"/>
            <w:tcBorders>
              <w:bottom w:val="single" w:sz="8" w:color="E5E7EF"/>
            </w:tcBorders>
            <w:shd w:val="clear" w:color="auto" w:fill="E5E7EF"/>
          </w:tcPr>
          <w:p>
            <w:pPr>
              <w:jc w:val="right"/>
              <w:ind w:right="450"/>
              <w:spacing w:after="0"/>
              <w:rPr>
                <w:sz w:val="20"/>
                <w:szCs w:val="20"/>
                <w:color w:val="auto"/>
              </w:rPr>
            </w:pPr>
            <w:r>
              <w:rPr>
                <w:rFonts w:ascii="Calibri" w:cs="Calibri" w:eastAsia="Calibri" w:hAnsi="Calibri"/>
                <w:sz w:val="14"/>
                <w:szCs w:val="14"/>
                <w:color w:val="auto"/>
              </w:rPr>
              <w:t>1,472,119</w:t>
            </w:r>
          </w:p>
        </w:tc>
        <w:tc>
          <w:tcPr>
            <w:tcW w:w="9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Borders>
              <w:bottom w:val="single" w:sz="8" w:color="E5E7EF"/>
            </w:tcBorders>
            <w:shd w:val="clear" w:color="auto" w:fill="E5E7EF"/>
          </w:tcPr>
          <w:p>
            <w:pPr>
              <w:spacing w:after="0"/>
              <w:rPr>
                <w:sz w:val="15"/>
                <w:szCs w:val="15"/>
                <w:color w:val="auto"/>
              </w:rPr>
            </w:pPr>
          </w:p>
        </w:tc>
        <w:tc>
          <w:tcPr>
            <w:tcW w:w="12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7,672</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13</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3,732,351</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33"/>
        </w:trPr>
        <w:tc>
          <w:tcPr>
            <w:tcW w:w="4920" w:type="dxa"/>
            <w:vAlign w:val="bottom"/>
            <w:tcBorders>
              <w:bottom w:val="single" w:sz="8" w:color="939598"/>
            </w:tcBorders>
          </w:tcPr>
          <w:p>
            <w:pPr>
              <w:spacing w:after="0"/>
              <w:rPr>
                <w:sz w:val="2"/>
                <w:szCs w:val="2"/>
                <w:color w:val="auto"/>
              </w:rPr>
            </w:pPr>
          </w:p>
        </w:tc>
        <w:tc>
          <w:tcPr>
            <w:tcW w:w="1540" w:type="dxa"/>
            <w:vAlign w:val="bottom"/>
            <w:tcBorders>
              <w:bottom w:val="single" w:sz="8" w:color="9D9D9C"/>
            </w:tcBorders>
          </w:tcPr>
          <w:p>
            <w:pPr>
              <w:spacing w:after="0"/>
              <w:rPr>
                <w:sz w:val="2"/>
                <w:szCs w:val="2"/>
                <w:color w:val="auto"/>
              </w:rPr>
            </w:pPr>
          </w:p>
        </w:tc>
        <w:tc>
          <w:tcPr>
            <w:tcW w:w="300" w:type="dxa"/>
            <w:vAlign w:val="bottom"/>
            <w:tcBorders>
              <w:bottom w:val="single" w:sz="8" w:color="9D9D9C"/>
            </w:tcBorders>
          </w:tcPr>
          <w:p>
            <w:pPr>
              <w:spacing w:after="0"/>
              <w:rPr>
                <w:sz w:val="2"/>
                <w:szCs w:val="2"/>
                <w:color w:val="auto"/>
              </w:rPr>
            </w:pPr>
          </w:p>
        </w:tc>
        <w:tc>
          <w:tcPr>
            <w:tcW w:w="186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c>
          <w:tcPr>
            <w:tcW w:w="400" w:type="dxa"/>
            <w:vAlign w:val="bottom"/>
            <w:tcBorders>
              <w:bottom w:val="single" w:sz="8" w:color="9D9D9C"/>
            </w:tcBorders>
          </w:tcPr>
          <w:p>
            <w:pPr>
              <w:spacing w:after="0"/>
              <w:rPr>
                <w:sz w:val="2"/>
                <w:szCs w:val="2"/>
                <w:color w:val="auto"/>
              </w:rPr>
            </w:pPr>
          </w:p>
        </w:tc>
        <w:tc>
          <w:tcPr>
            <w:tcW w:w="1260" w:type="dxa"/>
            <w:vAlign w:val="bottom"/>
            <w:tcBorders>
              <w:bottom w:val="single" w:sz="8" w:color="9D9D9C"/>
            </w:tcBorders>
          </w:tcPr>
          <w:p>
            <w:pPr>
              <w:spacing w:after="0"/>
              <w:rPr>
                <w:sz w:val="2"/>
                <w:szCs w:val="2"/>
                <w:color w:val="auto"/>
              </w:rPr>
            </w:pPr>
          </w:p>
        </w:tc>
      </w:tr>
      <w:tr>
        <w:trPr>
          <w:trHeight w:val="176"/>
        </w:trPr>
        <w:tc>
          <w:tcPr>
            <w:tcW w:w="49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Maryanne R. Lavan</w:t>
            </w:r>
          </w:p>
        </w:tc>
        <w:tc>
          <w:tcPr>
            <w:tcW w:w="154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2,742</w:t>
            </w:r>
          </w:p>
        </w:tc>
        <w:tc>
          <w:tcPr>
            <w:tcW w:w="3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9</w:t>
            </w:r>
          </w:p>
        </w:tc>
        <w:tc>
          <w:tcPr>
            <w:tcW w:w="1860" w:type="dxa"/>
            <w:vAlign w:val="bottom"/>
            <w:tcBorders>
              <w:bottom w:val="single" w:sz="8" w:color="E5E7EF"/>
            </w:tcBorders>
            <w:shd w:val="clear" w:color="auto" w:fill="E5E7EF"/>
          </w:tcPr>
          <w:p>
            <w:pPr>
              <w:jc w:val="right"/>
              <w:ind w:right="450"/>
              <w:spacing w:after="0" w:line="164" w:lineRule="exact"/>
              <w:rPr>
                <w:sz w:val="20"/>
                <w:szCs w:val="20"/>
                <w:color w:val="auto"/>
              </w:rPr>
            </w:pPr>
            <w:r>
              <w:rPr>
                <w:rFonts w:ascii="Calibri" w:cs="Calibri" w:eastAsia="Calibri" w:hAnsi="Calibri"/>
                <w:sz w:val="14"/>
                <w:szCs w:val="14"/>
                <w:color w:val="auto"/>
              </w:rPr>
              <w:t>1,333,956</w:t>
            </w:r>
          </w:p>
        </w:tc>
        <w:tc>
          <w:tcPr>
            <w:tcW w:w="9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6,379</w:t>
            </w:r>
          </w:p>
        </w:tc>
        <w:tc>
          <w:tcPr>
            <w:tcW w:w="4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6</w:t>
            </w:r>
          </w:p>
        </w:tc>
        <w:tc>
          <w:tcPr>
            <w:tcW w:w="12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3,103,320</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2,981</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10</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1,450,227</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7,659</w:t>
            </w:r>
          </w:p>
        </w:tc>
        <w:tc>
          <w:tcPr>
            <w:tcW w:w="400" w:type="dxa"/>
            <w:vAlign w:val="bottom"/>
          </w:tcPr>
          <w:p>
            <w:pPr>
              <w:ind w:left="40"/>
              <w:spacing w:after="0"/>
              <w:rPr>
                <w:sz w:val="20"/>
                <w:szCs w:val="20"/>
                <w:color w:val="auto"/>
              </w:rPr>
            </w:pPr>
            <w:r>
              <w:rPr>
                <w:rFonts w:ascii="Calibri" w:cs="Calibri" w:eastAsia="Calibri" w:hAnsi="Calibri"/>
                <w:sz w:val="11"/>
                <w:szCs w:val="11"/>
                <w:color w:val="auto"/>
              </w:rPr>
              <w:t>8</w:t>
            </w:r>
          </w:p>
        </w:tc>
        <w:tc>
          <w:tcPr>
            <w:tcW w:w="1260" w:type="dxa"/>
            <w:vAlign w:val="bottom"/>
          </w:tcPr>
          <w:p>
            <w:pPr>
              <w:jc w:val="right"/>
              <w:spacing w:after="0"/>
              <w:rPr>
                <w:sz w:val="20"/>
                <w:szCs w:val="20"/>
                <w:color w:val="auto"/>
              </w:rPr>
            </w:pPr>
            <w:r>
              <w:rPr>
                <w:rFonts w:ascii="Calibri" w:cs="Calibri" w:eastAsia="Calibri" w:hAnsi="Calibri"/>
                <w:sz w:val="14"/>
                <w:szCs w:val="14"/>
                <w:color w:val="auto"/>
              </w:rPr>
              <w:t>3,726,027</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3"/>
        </w:trPr>
        <w:tc>
          <w:tcPr>
            <w:tcW w:w="4920" w:type="dxa"/>
            <w:vAlign w:val="bottom"/>
          </w:tcPr>
          <w:p>
            <w:pPr>
              <w:spacing w:after="0"/>
              <w:rPr>
                <w:sz w:val="15"/>
                <w:szCs w:val="15"/>
                <w:color w:val="auto"/>
              </w:rPr>
            </w:pPr>
          </w:p>
        </w:tc>
        <w:tc>
          <w:tcPr>
            <w:tcW w:w="154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2,425</w:t>
            </w:r>
          </w:p>
        </w:tc>
        <w:tc>
          <w:tcPr>
            <w:tcW w:w="300" w:type="dxa"/>
            <w:vAlign w:val="bottom"/>
            <w:tcBorders>
              <w:bottom w:val="single" w:sz="8" w:color="E5E7EF"/>
            </w:tcBorders>
            <w:shd w:val="clear" w:color="auto" w:fill="E5E7EF"/>
          </w:tcPr>
          <w:p>
            <w:pPr>
              <w:ind w:left="40"/>
              <w:spacing w:after="0"/>
              <w:rPr>
                <w:sz w:val="20"/>
                <w:szCs w:val="20"/>
                <w:color w:val="auto"/>
              </w:rPr>
            </w:pPr>
            <w:r>
              <w:rPr>
                <w:rFonts w:ascii="Calibri" w:cs="Calibri" w:eastAsia="Calibri" w:hAnsi="Calibri"/>
                <w:sz w:val="11"/>
                <w:szCs w:val="11"/>
                <w:color w:val="auto"/>
              </w:rPr>
              <w:t>12</w:t>
            </w:r>
          </w:p>
        </w:tc>
        <w:tc>
          <w:tcPr>
            <w:tcW w:w="1860" w:type="dxa"/>
            <w:vAlign w:val="bottom"/>
            <w:tcBorders>
              <w:bottom w:val="single" w:sz="8" w:color="E5E7EF"/>
            </w:tcBorders>
            <w:shd w:val="clear" w:color="auto" w:fill="E5E7EF"/>
          </w:tcPr>
          <w:p>
            <w:pPr>
              <w:jc w:val="right"/>
              <w:ind w:right="450"/>
              <w:spacing w:after="0"/>
              <w:rPr>
                <w:sz w:val="20"/>
                <w:szCs w:val="20"/>
                <w:color w:val="auto"/>
              </w:rPr>
            </w:pPr>
            <w:r>
              <w:rPr>
                <w:rFonts w:ascii="Calibri" w:cs="Calibri" w:eastAsia="Calibri" w:hAnsi="Calibri"/>
                <w:sz w:val="14"/>
                <w:szCs w:val="14"/>
                <w:color w:val="auto"/>
              </w:rPr>
              <w:t>1,179,738</w:t>
            </w:r>
          </w:p>
        </w:tc>
        <w:tc>
          <w:tcPr>
            <w:tcW w:w="9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Borders>
              <w:bottom w:val="single" w:sz="8" w:color="E5E7EF"/>
            </w:tcBorders>
            <w:shd w:val="clear" w:color="auto" w:fill="E5E7EF"/>
          </w:tcPr>
          <w:p>
            <w:pPr>
              <w:spacing w:after="0"/>
              <w:rPr>
                <w:sz w:val="15"/>
                <w:szCs w:val="15"/>
                <w:color w:val="auto"/>
              </w:rPr>
            </w:pPr>
          </w:p>
        </w:tc>
        <w:tc>
          <w:tcPr>
            <w:tcW w:w="12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6,234</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13</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3,032,779</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33"/>
        </w:trPr>
        <w:tc>
          <w:tcPr>
            <w:tcW w:w="4920" w:type="dxa"/>
            <w:vAlign w:val="bottom"/>
            <w:tcBorders>
              <w:bottom w:val="single" w:sz="8" w:color="939598"/>
            </w:tcBorders>
          </w:tcPr>
          <w:p>
            <w:pPr>
              <w:spacing w:after="0"/>
              <w:rPr>
                <w:sz w:val="2"/>
                <w:szCs w:val="2"/>
                <w:color w:val="auto"/>
              </w:rPr>
            </w:pPr>
          </w:p>
        </w:tc>
        <w:tc>
          <w:tcPr>
            <w:tcW w:w="1540" w:type="dxa"/>
            <w:vAlign w:val="bottom"/>
            <w:tcBorders>
              <w:bottom w:val="single" w:sz="8" w:color="9D9D9C"/>
            </w:tcBorders>
          </w:tcPr>
          <w:p>
            <w:pPr>
              <w:spacing w:after="0"/>
              <w:rPr>
                <w:sz w:val="2"/>
                <w:szCs w:val="2"/>
                <w:color w:val="auto"/>
              </w:rPr>
            </w:pPr>
          </w:p>
        </w:tc>
        <w:tc>
          <w:tcPr>
            <w:tcW w:w="300" w:type="dxa"/>
            <w:vAlign w:val="bottom"/>
            <w:tcBorders>
              <w:bottom w:val="single" w:sz="8" w:color="9D9D9C"/>
            </w:tcBorders>
          </w:tcPr>
          <w:p>
            <w:pPr>
              <w:spacing w:after="0"/>
              <w:rPr>
                <w:sz w:val="2"/>
                <w:szCs w:val="2"/>
                <w:color w:val="auto"/>
              </w:rPr>
            </w:pPr>
          </w:p>
        </w:tc>
        <w:tc>
          <w:tcPr>
            <w:tcW w:w="186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c>
          <w:tcPr>
            <w:tcW w:w="400" w:type="dxa"/>
            <w:vAlign w:val="bottom"/>
            <w:tcBorders>
              <w:bottom w:val="single" w:sz="8" w:color="9D9D9C"/>
            </w:tcBorders>
          </w:tcPr>
          <w:p>
            <w:pPr>
              <w:spacing w:after="0"/>
              <w:rPr>
                <w:sz w:val="2"/>
                <w:szCs w:val="2"/>
                <w:color w:val="auto"/>
              </w:rPr>
            </w:pPr>
          </w:p>
        </w:tc>
        <w:tc>
          <w:tcPr>
            <w:tcW w:w="1260" w:type="dxa"/>
            <w:vAlign w:val="bottom"/>
            <w:tcBorders>
              <w:bottom w:val="single" w:sz="8" w:color="9D9D9C"/>
            </w:tcBorders>
          </w:tcPr>
          <w:p>
            <w:pPr>
              <w:spacing w:after="0"/>
              <w:rPr>
                <w:sz w:val="2"/>
                <w:szCs w:val="2"/>
                <w:color w:val="auto"/>
              </w:rPr>
            </w:pPr>
          </w:p>
        </w:tc>
      </w:tr>
      <w:tr>
        <w:trPr>
          <w:trHeight w:val="176"/>
        </w:trPr>
        <w:tc>
          <w:tcPr>
            <w:tcW w:w="49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Gregory M. Ulmer</w:t>
            </w:r>
          </w:p>
        </w:tc>
        <w:tc>
          <w:tcPr>
            <w:tcW w:w="154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3,052</w:t>
            </w:r>
          </w:p>
        </w:tc>
        <w:tc>
          <w:tcPr>
            <w:tcW w:w="3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9</w:t>
            </w:r>
          </w:p>
        </w:tc>
        <w:tc>
          <w:tcPr>
            <w:tcW w:w="1860" w:type="dxa"/>
            <w:vAlign w:val="bottom"/>
            <w:tcBorders>
              <w:bottom w:val="single" w:sz="8" w:color="E5E7EF"/>
            </w:tcBorders>
            <w:shd w:val="clear" w:color="auto" w:fill="E5E7EF"/>
          </w:tcPr>
          <w:p>
            <w:pPr>
              <w:jc w:val="right"/>
              <w:ind w:right="450"/>
              <w:spacing w:after="0" w:line="164" w:lineRule="exact"/>
              <w:rPr>
                <w:sz w:val="20"/>
                <w:szCs w:val="20"/>
                <w:color w:val="auto"/>
              </w:rPr>
            </w:pPr>
            <w:r>
              <w:rPr>
                <w:rFonts w:ascii="Calibri" w:cs="Calibri" w:eastAsia="Calibri" w:hAnsi="Calibri"/>
                <w:sz w:val="14"/>
                <w:szCs w:val="14"/>
                <w:color w:val="auto"/>
              </w:rPr>
              <w:t>1,484,767</w:t>
            </w:r>
          </w:p>
        </w:tc>
        <w:tc>
          <w:tcPr>
            <w:tcW w:w="9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7,089</w:t>
            </w:r>
          </w:p>
        </w:tc>
        <w:tc>
          <w:tcPr>
            <w:tcW w:w="40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6</w:t>
            </w:r>
          </w:p>
        </w:tc>
        <w:tc>
          <w:tcPr>
            <w:tcW w:w="12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3,448,728</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3,380</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10</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1,644,336</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8,631</w:t>
            </w:r>
          </w:p>
        </w:tc>
        <w:tc>
          <w:tcPr>
            <w:tcW w:w="400" w:type="dxa"/>
            <w:vAlign w:val="bottom"/>
          </w:tcPr>
          <w:p>
            <w:pPr>
              <w:ind w:left="40"/>
              <w:spacing w:after="0"/>
              <w:rPr>
                <w:sz w:val="20"/>
                <w:szCs w:val="20"/>
                <w:color w:val="auto"/>
              </w:rPr>
            </w:pPr>
            <w:r>
              <w:rPr>
                <w:rFonts w:ascii="Calibri" w:cs="Calibri" w:eastAsia="Calibri" w:hAnsi="Calibri"/>
                <w:sz w:val="11"/>
                <w:szCs w:val="11"/>
                <w:color w:val="auto"/>
              </w:rPr>
              <w:t>8</w:t>
            </w:r>
          </w:p>
        </w:tc>
        <w:tc>
          <w:tcPr>
            <w:tcW w:w="1260" w:type="dxa"/>
            <w:vAlign w:val="bottom"/>
          </w:tcPr>
          <w:p>
            <w:pPr>
              <w:jc w:val="right"/>
              <w:spacing w:after="0"/>
              <w:rPr>
                <w:sz w:val="20"/>
                <w:szCs w:val="20"/>
                <w:color w:val="auto"/>
              </w:rPr>
            </w:pPr>
            <w:r>
              <w:rPr>
                <w:rFonts w:ascii="Calibri" w:cs="Calibri" w:eastAsia="Calibri" w:hAnsi="Calibri"/>
                <w:sz w:val="14"/>
                <w:szCs w:val="14"/>
                <w:color w:val="auto"/>
              </w:rPr>
              <w:t>4,198,895</w:t>
            </w:r>
          </w:p>
        </w:tc>
      </w:tr>
      <w:tr>
        <w:trPr>
          <w:trHeight w:val="33"/>
        </w:trPr>
        <w:tc>
          <w:tcPr>
            <w:tcW w:w="4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3"/>
        </w:trPr>
        <w:tc>
          <w:tcPr>
            <w:tcW w:w="4920" w:type="dxa"/>
            <w:vAlign w:val="bottom"/>
          </w:tcPr>
          <w:p>
            <w:pPr>
              <w:spacing w:after="0"/>
              <w:rPr>
                <w:sz w:val="15"/>
                <w:szCs w:val="15"/>
                <w:color w:val="auto"/>
              </w:rPr>
            </w:pPr>
          </w:p>
        </w:tc>
        <w:tc>
          <w:tcPr>
            <w:tcW w:w="154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1,159</w:t>
            </w:r>
          </w:p>
        </w:tc>
        <w:tc>
          <w:tcPr>
            <w:tcW w:w="300" w:type="dxa"/>
            <w:vAlign w:val="bottom"/>
            <w:tcBorders>
              <w:bottom w:val="single" w:sz="8" w:color="E5E7EF"/>
            </w:tcBorders>
            <w:shd w:val="clear" w:color="auto" w:fill="E5E7EF"/>
          </w:tcPr>
          <w:p>
            <w:pPr>
              <w:ind w:left="40"/>
              <w:spacing w:after="0"/>
              <w:rPr>
                <w:sz w:val="20"/>
                <w:szCs w:val="20"/>
                <w:color w:val="auto"/>
              </w:rPr>
            </w:pPr>
            <w:r>
              <w:rPr>
                <w:rFonts w:ascii="Calibri" w:cs="Calibri" w:eastAsia="Calibri" w:hAnsi="Calibri"/>
                <w:sz w:val="11"/>
                <w:szCs w:val="11"/>
                <w:color w:val="auto"/>
              </w:rPr>
              <w:t>12</w:t>
            </w:r>
          </w:p>
        </w:tc>
        <w:tc>
          <w:tcPr>
            <w:tcW w:w="1860" w:type="dxa"/>
            <w:vAlign w:val="bottom"/>
            <w:tcBorders>
              <w:bottom w:val="single" w:sz="8" w:color="E5E7EF"/>
            </w:tcBorders>
            <w:shd w:val="clear" w:color="auto" w:fill="E5E7EF"/>
          </w:tcPr>
          <w:p>
            <w:pPr>
              <w:jc w:val="right"/>
              <w:ind w:right="450"/>
              <w:spacing w:after="0"/>
              <w:rPr>
                <w:sz w:val="20"/>
                <w:szCs w:val="20"/>
                <w:color w:val="auto"/>
              </w:rPr>
            </w:pPr>
            <w:r>
              <w:rPr>
                <w:rFonts w:ascii="Calibri" w:cs="Calibri" w:eastAsia="Calibri" w:hAnsi="Calibri"/>
                <w:sz w:val="14"/>
                <w:szCs w:val="14"/>
                <w:color w:val="auto"/>
              </w:rPr>
              <w:t>563,842</w:t>
            </w:r>
          </w:p>
        </w:tc>
        <w:tc>
          <w:tcPr>
            <w:tcW w:w="9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Borders>
              <w:bottom w:val="single" w:sz="8" w:color="E5E7EF"/>
            </w:tcBorders>
            <w:shd w:val="clear" w:color="auto" w:fill="E5E7EF"/>
          </w:tcPr>
          <w:p>
            <w:pPr>
              <w:spacing w:after="0"/>
              <w:rPr>
                <w:sz w:val="15"/>
                <w:szCs w:val="15"/>
                <w:color w:val="auto"/>
              </w:rPr>
            </w:pPr>
          </w:p>
        </w:tc>
        <w:tc>
          <w:tcPr>
            <w:tcW w:w="12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49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auto"/>
              </w:rPr>
              <w:t>354</w:t>
            </w:r>
          </w:p>
        </w:tc>
        <w:tc>
          <w:tcPr>
            <w:tcW w:w="300" w:type="dxa"/>
            <w:vAlign w:val="bottom"/>
          </w:tcPr>
          <w:p>
            <w:pPr>
              <w:ind w:left="40"/>
              <w:spacing w:after="0"/>
              <w:rPr>
                <w:sz w:val="20"/>
                <w:szCs w:val="20"/>
                <w:color w:val="auto"/>
              </w:rPr>
            </w:pPr>
            <w:r>
              <w:rPr>
                <w:rFonts w:ascii="Calibri" w:cs="Calibri" w:eastAsia="Calibri" w:hAnsi="Calibri"/>
                <w:sz w:val="11"/>
                <w:szCs w:val="11"/>
                <w:color w:val="auto"/>
              </w:rPr>
              <w:t>13</w:t>
            </w:r>
          </w:p>
        </w:tc>
        <w:tc>
          <w:tcPr>
            <w:tcW w:w="1860" w:type="dxa"/>
            <w:vAlign w:val="bottom"/>
          </w:tcPr>
          <w:p>
            <w:pPr>
              <w:jc w:val="right"/>
              <w:ind w:right="450"/>
              <w:spacing w:after="0"/>
              <w:rPr>
                <w:sz w:val="20"/>
                <w:szCs w:val="20"/>
                <w:color w:val="auto"/>
              </w:rPr>
            </w:pPr>
            <w:r>
              <w:rPr>
                <w:rFonts w:ascii="Calibri" w:cs="Calibri" w:eastAsia="Calibri" w:hAnsi="Calibri"/>
                <w:sz w:val="14"/>
                <w:szCs w:val="14"/>
                <w:color w:val="auto"/>
              </w:rPr>
              <w:t>172,217</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33"/>
        </w:trPr>
        <w:tc>
          <w:tcPr>
            <w:tcW w:w="4920" w:type="dxa"/>
            <w:vAlign w:val="bottom"/>
            <w:tcBorders>
              <w:bottom w:val="single" w:sz="8" w:color="9D9D9C"/>
            </w:tcBorders>
          </w:tcPr>
          <w:p>
            <w:pPr>
              <w:spacing w:after="0"/>
              <w:rPr>
                <w:sz w:val="2"/>
                <w:szCs w:val="2"/>
                <w:color w:val="auto"/>
              </w:rPr>
            </w:pPr>
          </w:p>
        </w:tc>
        <w:tc>
          <w:tcPr>
            <w:tcW w:w="1540" w:type="dxa"/>
            <w:vAlign w:val="bottom"/>
            <w:tcBorders>
              <w:bottom w:val="single" w:sz="8" w:color="9D9D9C"/>
            </w:tcBorders>
          </w:tcPr>
          <w:p>
            <w:pPr>
              <w:spacing w:after="0"/>
              <w:rPr>
                <w:sz w:val="2"/>
                <w:szCs w:val="2"/>
                <w:color w:val="auto"/>
              </w:rPr>
            </w:pPr>
          </w:p>
        </w:tc>
        <w:tc>
          <w:tcPr>
            <w:tcW w:w="300" w:type="dxa"/>
            <w:vAlign w:val="bottom"/>
            <w:tcBorders>
              <w:bottom w:val="single" w:sz="8" w:color="9D9D9C"/>
            </w:tcBorders>
          </w:tcPr>
          <w:p>
            <w:pPr>
              <w:spacing w:after="0"/>
              <w:rPr>
                <w:sz w:val="2"/>
                <w:szCs w:val="2"/>
                <w:color w:val="auto"/>
              </w:rPr>
            </w:pPr>
          </w:p>
        </w:tc>
        <w:tc>
          <w:tcPr>
            <w:tcW w:w="186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c>
          <w:tcPr>
            <w:tcW w:w="400" w:type="dxa"/>
            <w:vAlign w:val="bottom"/>
            <w:tcBorders>
              <w:bottom w:val="single" w:sz="8" w:color="9D9D9C"/>
            </w:tcBorders>
          </w:tcPr>
          <w:p>
            <w:pPr>
              <w:spacing w:after="0"/>
              <w:rPr>
                <w:sz w:val="2"/>
                <w:szCs w:val="2"/>
                <w:color w:val="auto"/>
              </w:rPr>
            </w:pPr>
          </w:p>
        </w:tc>
        <w:tc>
          <w:tcPr>
            <w:tcW w:w="1260" w:type="dxa"/>
            <w:vAlign w:val="bottom"/>
            <w:tcBorders>
              <w:bottom w:val="single" w:sz="8" w:color="9D9D9C"/>
            </w:tcBorders>
          </w:tcPr>
          <w:p>
            <w:pPr>
              <w:spacing w:after="0"/>
              <w:rPr>
                <w:sz w:val="2"/>
                <w:szCs w:val="2"/>
                <w:color w:val="auto"/>
              </w:rPr>
            </w:pPr>
          </w:p>
        </w:tc>
      </w:tr>
    </w:tbl>
    <w:p>
      <w:pPr>
        <w:spacing w:after="0" w:line="175" w:lineRule="exact"/>
        <w:rPr>
          <w:sz w:val="20"/>
          <w:szCs w:val="20"/>
          <w:color w:val="auto"/>
        </w:rPr>
      </w:pPr>
    </w:p>
    <w:p>
      <w:pPr>
        <w:ind w:left="260" w:right="60" w:hanging="252"/>
        <w:spacing w:after="0" w:line="213" w:lineRule="auto"/>
        <w:tabs>
          <w:tab w:leader="none" w:pos="256" w:val="left"/>
        </w:tabs>
        <w:numPr>
          <w:ilvl w:val="0"/>
          <w:numId w:val="90"/>
        </w:numPr>
        <w:rPr>
          <w:rFonts w:ascii="Calibri" w:cs="Calibri" w:eastAsia="Calibri" w:hAnsi="Calibri"/>
          <w:sz w:val="19"/>
          <w:szCs w:val="19"/>
          <w:color w:val="auto"/>
          <w:vertAlign w:val="superscript"/>
        </w:rPr>
      </w:pPr>
      <w:r>
        <w:rPr>
          <w:rFonts w:ascii="Calibri" w:cs="Calibri" w:eastAsia="Calibri" w:hAnsi="Calibri"/>
          <w:sz w:val="14"/>
          <w:szCs w:val="14"/>
          <w:color w:val="auto"/>
        </w:rPr>
        <w:t>Includes all unvested RSUs. Also includes the PSUs granted on February 27, 2020 and July 27, 2020, which had a performance period ending December 31, 2022 and a vest date of February 27, 2023. The number of shares shown in this column for the 2020-2022 PSUs is the number of shares earned based on the performance period and that were paid upon vestng.</w:t>
      </w:r>
    </w:p>
    <w:p>
      <w:pPr>
        <w:spacing w:after="0" w:line="74" w:lineRule="exact"/>
        <w:rPr>
          <w:rFonts w:ascii="Calibri" w:cs="Calibri" w:eastAsia="Calibri" w:hAnsi="Calibri"/>
          <w:sz w:val="19"/>
          <w:szCs w:val="19"/>
          <w:color w:val="auto"/>
          <w:vertAlign w:val="superscript"/>
        </w:rPr>
      </w:pPr>
    </w:p>
    <w:p>
      <w:pPr>
        <w:jc w:val="both"/>
        <w:ind w:left="260" w:right="300" w:hanging="252"/>
        <w:spacing w:after="0" w:line="213" w:lineRule="auto"/>
        <w:tabs>
          <w:tab w:leader="none" w:pos="256" w:val="left"/>
        </w:tabs>
        <w:numPr>
          <w:ilvl w:val="0"/>
          <w:numId w:val="90"/>
        </w:numPr>
        <w:rPr>
          <w:rFonts w:ascii="Calibri" w:cs="Calibri" w:eastAsia="Calibri" w:hAnsi="Calibri"/>
          <w:sz w:val="19"/>
          <w:szCs w:val="19"/>
          <w:color w:val="auto"/>
          <w:vertAlign w:val="superscript"/>
        </w:rPr>
      </w:pPr>
      <w:r>
        <w:rPr>
          <w:rFonts w:ascii="Calibri" w:cs="Calibri" w:eastAsia="Calibri" w:hAnsi="Calibri"/>
          <w:sz w:val="14"/>
          <w:szCs w:val="14"/>
          <w:color w:val="auto"/>
        </w:rPr>
        <w:t>The market value shown in this column is calculated by multplying the number of shares shown in the preceding column by the December 30, 2022 per share closing price of our stock ($486.49). NEOs also receive a cash payment for deferred dividend equivalents accrued through the end of the performance period for PSUs and the end of the vestng period for RSUs.</w:t>
      </w:r>
    </w:p>
    <w:p>
      <w:pPr>
        <w:spacing w:after="0" w:line="74" w:lineRule="exact"/>
        <w:rPr>
          <w:rFonts w:ascii="Calibri" w:cs="Calibri" w:eastAsia="Calibri" w:hAnsi="Calibri"/>
          <w:sz w:val="19"/>
          <w:szCs w:val="19"/>
          <w:color w:val="auto"/>
          <w:vertAlign w:val="superscript"/>
        </w:rPr>
      </w:pPr>
    </w:p>
    <w:p>
      <w:pPr>
        <w:jc w:val="both"/>
        <w:ind w:left="260" w:right="100" w:hanging="252"/>
        <w:spacing w:after="0" w:line="223" w:lineRule="auto"/>
        <w:tabs>
          <w:tab w:leader="none" w:pos="256" w:val="left"/>
        </w:tabs>
        <w:numPr>
          <w:ilvl w:val="0"/>
          <w:numId w:val="90"/>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PSUs granted on February 23, 2022 for the 2022-2024 performance period and on February 25, 2021 for the 2021-2023 performance period; the PSUs are earned and paid out in shares of our common stock at the end of the three-year vestng period based upon performance on three separate metrics (Relatve TSR, Free Cash Flow (2022 awards) or Performance Cash (2021 awards), and ROIC). The number of shares of stock shown in this column is based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69" w:name="page70"/>
    <w:bookmarkEnd w:id="69"/>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3" w:lineRule="exact"/>
        <w:rPr>
          <w:sz w:val="20"/>
          <w:szCs w:val="20"/>
          <w:color w:val="auto"/>
        </w:rPr>
      </w:pPr>
    </w:p>
    <w:p>
      <w:pPr>
        <w:ind w:left="260" w:right="240"/>
        <w:spacing w:after="0" w:line="264" w:lineRule="auto"/>
        <w:rPr>
          <w:sz w:val="20"/>
          <w:szCs w:val="20"/>
          <w:color w:val="auto"/>
        </w:rPr>
      </w:pPr>
      <w:r>
        <w:rPr>
          <w:rFonts w:ascii="Calibri" w:cs="Calibri" w:eastAsia="Calibri" w:hAnsi="Calibri"/>
          <w:sz w:val="14"/>
          <w:szCs w:val="14"/>
          <w:color w:val="auto"/>
        </w:rPr>
        <w:t>upon the threshold level of performance for each of the three metrics or, if performance on the metric has exceeded the threshold level as of December 31, 2022, the estmated level of performance as of December 31, 2022.</w:t>
      </w:r>
    </w:p>
    <w:p>
      <w:pPr>
        <w:spacing w:after="0" w:line="56" w:lineRule="exact"/>
        <w:rPr>
          <w:sz w:val="20"/>
          <w:szCs w:val="20"/>
          <w:color w:val="auto"/>
        </w:rPr>
      </w:pPr>
    </w:p>
    <w:p>
      <w:pPr>
        <w:ind w:left="260" w:right="280" w:hanging="252"/>
        <w:spacing w:after="0" w:line="213" w:lineRule="auto"/>
        <w:tabs>
          <w:tab w:leader="none" w:pos="256" w:val="left"/>
        </w:tabs>
        <w:numPr>
          <w:ilvl w:val="0"/>
          <w:numId w:val="91"/>
        </w:numPr>
        <w:rPr>
          <w:rFonts w:ascii="Calibri" w:cs="Calibri" w:eastAsia="Calibri" w:hAnsi="Calibri"/>
          <w:sz w:val="19"/>
          <w:szCs w:val="19"/>
          <w:color w:val="auto"/>
          <w:vertAlign w:val="superscript"/>
        </w:rPr>
      </w:pPr>
      <w:r>
        <w:rPr>
          <w:rFonts w:ascii="Calibri" w:cs="Calibri" w:eastAsia="Calibri" w:hAnsi="Calibri"/>
          <w:sz w:val="14"/>
          <w:szCs w:val="14"/>
          <w:color w:val="auto"/>
        </w:rPr>
        <w:t>The market value shown in this column is calculated by multplying the number of PSUs reported in the preceding column by the December 30, 2022 per share closing price of our stock ($486.49). NEOs also receive cash payment for deferred dividend equivalents accrued through the end of the performance period.</w:t>
      </w:r>
    </w:p>
    <w:p>
      <w:pPr>
        <w:spacing w:after="0" w:line="1" w:lineRule="exact"/>
        <w:rPr>
          <w:rFonts w:ascii="Calibri" w:cs="Calibri" w:eastAsia="Calibri" w:hAnsi="Calibri"/>
          <w:sz w:val="19"/>
          <w:szCs w:val="19"/>
          <w:color w:val="auto"/>
          <w:vertAlign w:val="superscript"/>
        </w:rPr>
      </w:pPr>
    </w:p>
    <w:p>
      <w:pPr>
        <w:ind w:left="240" w:hanging="232"/>
        <w:spacing w:after="0" w:line="237" w:lineRule="auto"/>
        <w:tabs>
          <w:tab w:leader="none" w:pos="240" w:val="left"/>
        </w:tabs>
        <w:numPr>
          <w:ilvl w:val="0"/>
          <w:numId w:val="91"/>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RSUs granted on July 27, 2020, which vest on July 27, 2023.</w:t>
      </w:r>
    </w:p>
    <w:p>
      <w:pPr>
        <w:spacing w:after="0" w:line="53" w:lineRule="exact"/>
        <w:rPr>
          <w:rFonts w:ascii="Calibri" w:cs="Calibri" w:eastAsia="Calibri" w:hAnsi="Calibri"/>
          <w:sz w:val="19"/>
          <w:szCs w:val="19"/>
          <w:color w:val="auto"/>
          <w:vertAlign w:val="superscript"/>
        </w:rPr>
      </w:pPr>
    </w:p>
    <w:p>
      <w:pPr>
        <w:ind w:left="240" w:hanging="232"/>
        <w:spacing w:after="0" w:line="196" w:lineRule="auto"/>
        <w:tabs>
          <w:tab w:leader="none" w:pos="240" w:val="left"/>
        </w:tabs>
        <w:numPr>
          <w:ilvl w:val="0"/>
          <w:numId w:val="91"/>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PSUs granted on February 23, 2022 and which vest on February 23, 2025.</w:t>
      </w:r>
    </w:p>
    <w:p>
      <w:pPr>
        <w:spacing w:after="0" w:line="53" w:lineRule="exact"/>
        <w:rPr>
          <w:rFonts w:ascii="Calibri" w:cs="Calibri" w:eastAsia="Calibri" w:hAnsi="Calibri"/>
          <w:sz w:val="19"/>
          <w:szCs w:val="19"/>
          <w:color w:val="auto"/>
          <w:vertAlign w:val="superscript"/>
        </w:rPr>
      </w:pPr>
    </w:p>
    <w:p>
      <w:pPr>
        <w:ind w:left="240" w:hanging="232"/>
        <w:spacing w:after="0" w:line="196" w:lineRule="auto"/>
        <w:tabs>
          <w:tab w:leader="none" w:pos="240" w:val="left"/>
        </w:tabs>
        <w:numPr>
          <w:ilvl w:val="0"/>
          <w:numId w:val="91"/>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PSUs granted on July 27, 2020 that had a performance period through December 31, 2022 and vested on February 27, 2023.</w:t>
      </w:r>
    </w:p>
    <w:p>
      <w:pPr>
        <w:spacing w:after="0" w:line="40" w:lineRule="exact"/>
        <w:rPr>
          <w:rFonts w:ascii="Calibri" w:cs="Calibri" w:eastAsia="Calibri" w:hAnsi="Calibri"/>
          <w:sz w:val="19"/>
          <w:szCs w:val="19"/>
          <w:color w:val="auto"/>
          <w:vertAlign w:val="superscript"/>
        </w:rPr>
      </w:pPr>
    </w:p>
    <w:p>
      <w:pPr>
        <w:ind w:left="240" w:hanging="232"/>
        <w:spacing w:after="0" w:line="210" w:lineRule="auto"/>
        <w:tabs>
          <w:tab w:leader="none" w:pos="240" w:val="left"/>
        </w:tabs>
        <w:numPr>
          <w:ilvl w:val="0"/>
          <w:numId w:val="91"/>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PSUs granted on February 25, 2021 and which vest on February 25, 2024.</w:t>
      </w:r>
    </w:p>
    <w:p>
      <w:pPr>
        <w:spacing w:after="0" w:line="40" w:lineRule="exact"/>
        <w:rPr>
          <w:rFonts w:ascii="Calibri" w:cs="Calibri" w:eastAsia="Calibri" w:hAnsi="Calibri"/>
          <w:sz w:val="19"/>
          <w:szCs w:val="19"/>
          <w:color w:val="auto"/>
          <w:vertAlign w:val="superscript"/>
        </w:rPr>
      </w:pPr>
    </w:p>
    <w:p>
      <w:pPr>
        <w:ind w:left="240" w:hanging="232"/>
        <w:spacing w:after="0" w:line="210" w:lineRule="auto"/>
        <w:tabs>
          <w:tab w:leader="none" w:pos="240" w:val="left"/>
        </w:tabs>
        <w:numPr>
          <w:ilvl w:val="0"/>
          <w:numId w:val="91"/>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RSUs granted on February 23, 2022, which vest February 23, 2025.</w:t>
      </w:r>
    </w:p>
    <w:p>
      <w:pPr>
        <w:spacing w:after="0" w:line="40" w:lineRule="exact"/>
        <w:rPr>
          <w:rFonts w:ascii="Calibri" w:cs="Calibri" w:eastAsia="Calibri" w:hAnsi="Calibri"/>
          <w:sz w:val="19"/>
          <w:szCs w:val="19"/>
          <w:color w:val="auto"/>
          <w:vertAlign w:val="superscript"/>
        </w:rPr>
      </w:pPr>
    </w:p>
    <w:p>
      <w:pPr>
        <w:ind w:left="240" w:hanging="232"/>
        <w:spacing w:after="0" w:line="210" w:lineRule="auto"/>
        <w:tabs>
          <w:tab w:leader="none" w:pos="240" w:val="left"/>
        </w:tabs>
        <w:numPr>
          <w:ilvl w:val="0"/>
          <w:numId w:val="91"/>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RSUs granted on February 25, 2021, which vest February 25, 2024.</w:t>
      </w:r>
    </w:p>
    <w:p>
      <w:pPr>
        <w:spacing w:after="0" w:line="40" w:lineRule="exact"/>
        <w:rPr>
          <w:rFonts w:ascii="Calibri" w:cs="Calibri" w:eastAsia="Calibri" w:hAnsi="Calibri"/>
          <w:sz w:val="19"/>
          <w:szCs w:val="19"/>
          <w:color w:val="auto"/>
          <w:vertAlign w:val="superscript"/>
        </w:rPr>
      </w:pPr>
    </w:p>
    <w:p>
      <w:pPr>
        <w:ind w:left="240" w:hanging="232"/>
        <w:spacing w:after="0" w:line="210" w:lineRule="auto"/>
        <w:tabs>
          <w:tab w:leader="none" w:pos="240" w:val="left"/>
        </w:tabs>
        <w:numPr>
          <w:ilvl w:val="0"/>
          <w:numId w:val="91"/>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RSUs granted to Mr. Malave as an equity replacement award to ofset forfeited unvested incentves from his former employer, and which vested on February 23, 2023.</w:t>
      </w:r>
    </w:p>
    <w:p>
      <w:pPr>
        <w:spacing w:after="0" w:line="40" w:lineRule="exact"/>
        <w:rPr>
          <w:rFonts w:ascii="Calibri" w:cs="Calibri" w:eastAsia="Calibri" w:hAnsi="Calibri"/>
          <w:sz w:val="19"/>
          <w:szCs w:val="19"/>
          <w:color w:val="auto"/>
          <w:vertAlign w:val="superscript"/>
        </w:rPr>
      </w:pPr>
    </w:p>
    <w:p>
      <w:pPr>
        <w:ind w:left="240" w:hanging="232"/>
        <w:spacing w:after="0" w:line="196" w:lineRule="auto"/>
        <w:tabs>
          <w:tab w:leader="none" w:pos="240" w:val="left"/>
        </w:tabs>
        <w:numPr>
          <w:ilvl w:val="0"/>
          <w:numId w:val="91"/>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RSUs granted on February 27, 2020, which vested on February 27, 2023.</w:t>
      </w:r>
    </w:p>
    <w:p>
      <w:pPr>
        <w:spacing w:after="0" w:line="53" w:lineRule="exact"/>
        <w:rPr>
          <w:rFonts w:ascii="Calibri" w:cs="Calibri" w:eastAsia="Calibri" w:hAnsi="Calibri"/>
          <w:sz w:val="19"/>
          <w:szCs w:val="19"/>
          <w:color w:val="auto"/>
          <w:vertAlign w:val="superscript"/>
        </w:rPr>
      </w:pPr>
    </w:p>
    <w:p>
      <w:pPr>
        <w:ind w:left="240" w:hanging="232"/>
        <w:spacing w:after="0" w:line="196" w:lineRule="auto"/>
        <w:tabs>
          <w:tab w:leader="none" w:pos="240" w:val="left"/>
        </w:tabs>
        <w:numPr>
          <w:ilvl w:val="0"/>
          <w:numId w:val="91"/>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PSUs granted on February 27, 2020, which vested on February 27, 2023.</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003478"/>
        </w:rPr>
        <w:t>Stock Vested During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Borders>
              <w:bottom w:val="single" w:sz="8" w:color="E5E7EF"/>
            </w:tcBorders>
            <w:shd w:val="clear" w:color="auto" w:fill="E5E7EF"/>
          </w:tcPr>
          <w:p>
            <w:pPr>
              <w:spacing w:after="0"/>
              <w:rPr>
                <w:sz w:val="17"/>
                <w:szCs w:val="17"/>
                <w:color w:val="auto"/>
              </w:rPr>
            </w:pPr>
          </w:p>
        </w:tc>
        <w:tc>
          <w:tcPr>
            <w:tcW w:w="2100" w:type="dxa"/>
            <w:vAlign w:val="bottom"/>
            <w:tcBorders>
              <w:bottom w:val="single" w:sz="8" w:color="002E6D"/>
            </w:tcBorders>
            <w:shd w:val="clear" w:color="auto" w:fill="E5E7EF"/>
          </w:tcPr>
          <w:p>
            <w:pPr>
              <w:jc w:val="right"/>
              <w:ind w:right="92"/>
              <w:spacing w:after="0"/>
              <w:rPr>
                <w:sz w:val="20"/>
                <w:szCs w:val="20"/>
                <w:color w:val="auto"/>
              </w:rPr>
            </w:pPr>
            <w:r>
              <w:rPr>
                <w:rFonts w:ascii="Arial" w:cs="Arial" w:eastAsia="Arial" w:hAnsi="Arial"/>
                <w:sz w:val="13"/>
                <w:szCs w:val="13"/>
                <w:color w:val="auto"/>
              </w:rPr>
              <w:t>Stock Awards</w:t>
            </w:r>
          </w:p>
        </w:tc>
        <w:tc>
          <w:tcPr>
            <w:tcW w:w="1000" w:type="dxa"/>
            <w:vAlign w:val="bottom"/>
            <w:tcBorders>
              <w:bottom w:val="single" w:sz="8" w:color="002E6D"/>
            </w:tcBorders>
            <w:shd w:val="clear" w:color="auto" w:fill="E5E7EF"/>
          </w:tcPr>
          <w:p>
            <w:pPr>
              <w:spacing w:after="0"/>
              <w:rPr>
                <w:sz w:val="17"/>
                <w:szCs w:val="17"/>
                <w:color w:val="auto"/>
              </w:rPr>
            </w:pPr>
          </w:p>
        </w:tc>
      </w:tr>
      <w:tr>
        <w:trPr>
          <w:trHeight w:val="158"/>
        </w:trPr>
        <w:tc>
          <w:tcPr>
            <w:tcW w:w="8140" w:type="dxa"/>
            <w:vAlign w:val="bottom"/>
            <w:shd w:val="clear" w:color="auto" w:fill="E5E7EF"/>
          </w:tcPr>
          <w:p>
            <w:pPr>
              <w:spacing w:after="0"/>
              <w:rPr>
                <w:sz w:val="13"/>
                <w:szCs w:val="13"/>
                <w:color w:val="auto"/>
              </w:rPr>
            </w:pPr>
          </w:p>
        </w:tc>
        <w:tc>
          <w:tcPr>
            <w:tcW w:w="2100" w:type="dxa"/>
            <w:vAlign w:val="bottom"/>
            <w:shd w:val="clear" w:color="auto" w:fill="E5E7EF"/>
          </w:tcPr>
          <w:p>
            <w:pPr>
              <w:jc w:val="right"/>
              <w:ind w:right="412"/>
              <w:spacing w:after="0"/>
              <w:rPr>
                <w:sz w:val="20"/>
                <w:szCs w:val="20"/>
                <w:color w:val="auto"/>
              </w:rPr>
            </w:pPr>
            <w:r>
              <w:rPr>
                <w:rFonts w:ascii="Arial" w:cs="Arial" w:eastAsia="Arial" w:hAnsi="Arial"/>
                <w:sz w:val="13"/>
                <w:szCs w:val="13"/>
                <w:color w:val="auto"/>
              </w:rPr>
              <w:t>Number of Shares</w:t>
            </w:r>
          </w:p>
        </w:tc>
        <w:tc>
          <w:tcPr>
            <w:tcW w:w="10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Value Realized</w:t>
            </w:r>
          </w:p>
        </w:tc>
      </w:tr>
      <w:tr>
        <w:trPr>
          <w:trHeight w:val="193"/>
        </w:trPr>
        <w:tc>
          <w:tcPr>
            <w:tcW w:w="8140" w:type="dxa"/>
            <w:vAlign w:val="bottom"/>
            <w:shd w:val="clear" w:color="auto" w:fill="E5E7EF"/>
          </w:tcPr>
          <w:p>
            <w:pPr>
              <w:spacing w:after="0"/>
              <w:rPr>
                <w:sz w:val="16"/>
                <w:szCs w:val="16"/>
                <w:color w:val="auto"/>
              </w:rPr>
            </w:pPr>
          </w:p>
        </w:tc>
        <w:tc>
          <w:tcPr>
            <w:tcW w:w="2100" w:type="dxa"/>
            <w:vAlign w:val="bottom"/>
            <w:shd w:val="clear" w:color="auto" w:fill="E5E7EF"/>
          </w:tcPr>
          <w:p>
            <w:pPr>
              <w:jc w:val="right"/>
              <w:ind w:right="412"/>
              <w:spacing w:after="0"/>
              <w:rPr>
                <w:sz w:val="20"/>
                <w:szCs w:val="20"/>
                <w:color w:val="auto"/>
              </w:rPr>
            </w:pPr>
            <w:r>
              <w:rPr>
                <w:rFonts w:ascii="Arial" w:cs="Arial" w:eastAsia="Arial" w:hAnsi="Arial"/>
                <w:sz w:val="13"/>
                <w:szCs w:val="13"/>
                <w:color w:val="auto"/>
              </w:rPr>
              <w:t>Acquired on Vesting</w:t>
            </w:r>
            <w:r>
              <w:rPr>
                <w:rFonts w:ascii="Arial" w:cs="Arial" w:eastAsia="Arial" w:hAnsi="Arial"/>
                <w:sz w:val="16"/>
                <w:szCs w:val="16"/>
                <w:color w:val="auto"/>
                <w:vertAlign w:val="superscript"/>
              </w:rPr>
              <w:t>(1)</w:t>
            </w:r>
          </w:p>
        </w:tc>
        <w:tc>
          <w:tcPr>
            <w:tcW w:w="10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 xml:space="preserve">on Vesting </w:t>
            </w:r>
            <w:r>
              <w:rPr>
                <w:rFonts w:ascii="Arial" w:cs="Arial" w:eastAsia="Arial" w:hAnsi="Arial"/>
                <w:sz w:val="16"/>
                <w:szCs w:val="16"/>
                <w:color w:val="auto"/>
                <w:vertAlign w:val="superscript"/>
              </w:rPr>
              <w:t>(2)</w:t>
            </w:r>
          </w:p>
        </w:tc>
      </w:tr>
      <w:tr>
        <w:trPr>
          <w:trHeight w:val="208"/>
        </w:trPr>
        <w:tc>
          <w:tcPr>
            <w:tcW w:w="814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2100" w:type="dxa"/>
            <w:vAlign w:val="bottom"/>
            <w:tcBorders>
              <w:bottom w:val="single" w:sz="8" w:color="E5E7EF"/>
            </w:tcBorders>
            <w:shd w:val="clear" w:color="auto" w:fill="E5E7EF"/>
          </w:tcPr>
          <w:p>
            <w:pPr>
              <w:jc w:val="right"/>
              <w:ind w:right="412"/>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8140" w:type="dxa"/>
            <w:vAlign w:val="bottom"/>
            <w:tcBorders>
              <w:top w:val="single" w:sz="8" w:color="002E6D"/>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2100" w:type="dxa"/>
            <w:vAlign w:val="bottom"/>
            <w:tcBorders>
              <w:top w:val="single" w:sz="8" w:color="002E6D"/>
              <w:bottom w:val="single" w:sz="8" w:color="E5E7EF"/>
            </w:tcBorders>
            <w:shd w:val="clear" w:color="auto" w:fill="E5E7EF"/>
          </w:tcPr>
          <w:p>
            <w:pPr>
              <w:jc w:val="right"/>
              <w:ind w:right="412"/>
              <w:spacing w:after="0"/>
              <w:rPr>
                <w:sz w:val="20"/>
                <w:szCs w:val="20"/>
                <w:color w:val="auto"/>
              </w:rPr>
            </w:pPr>
            <w:r>
              <w:rPr>
                <w:rFonts w:ascii="Arial" w:cs="Arial" w:eastAsia="Arial" w:hAnsi="Arial"/>
                <w:sz w:val="13"/>
                <w:szCs w:val="13"/>
                <w:color w:val="auto"/>
              </w:rPr>
              <w:t>(d)</w:t>
            </w:r>
          </w:p>
        </w:tc>
        <w:tc>
          <w:tcPr>
            <w:tcW w:w="100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(e)</w:t>
            </w:r>
          </w:p>
        </w:tc>
      </w:tr>
      <w:tr>
        <w:trPr>
          <w:trHeight w:val="196"/>
        </w:trPr>
        <w:tc>
          <w:tcPr>
            <w:tcW w:w="8140" w:type="dxa"/>
            <w:vAlign w:val="bottom"/>
            <w:tcBorders>
              <w:top w:val="single" w:sz="8" w:color="002E6D"/>
            </w:tcBorders>
          </w:tcPr>
          <w:p>
            <w:pPr>
              <w:ind w:left="20"/>
              <w:spacing w:after="0" w:line="164" w:lineRule="exact"/>
              <w:rPr>
                <w:sz w:val="20"/>
                <w:szCs w:val="20"/>
                <w:color w:val="auto"/>
              </w:rPr>
            </w:pPr>
            <w:r>
              <w:rPr>
                <w:rFonts w:ascii="Calibri" w:cs="Calibri" w:eastAsia="Calibri" w:hAnsi="Calibri"/>
                <w:sz w:val="14"/>
                <w:szCs w:val="14"/>
                <w:b w:val="1"/>
                <w:bCs w:val="1"/>
                <w:color w:val="002E6D"/>
              </w:rPr>
              <w:t>James D. Taiclet</w:t>
            </w:r>
          </w:p>
        </w:tc>
        <w:tc>
          <w:tcPr>
            <w:tcW w:w="2100" w:type="dxa"/>
            <w:vAlign w:val="bottom"/>
            <w:tcBorders>
              <w:top w:val="single" w:sz="8" w:color="002E6D"/>
              <w:bottom w:val="single" w:sz="8" w:color="E5E7EF"/>
            </w:tcBorders>
            <w:shd w:val="clear" w:color="auto" w:fill="E5E7EF"/>
          </w:tcPr>
          <w:p>
            <w:pPr>
              <w:jc w:val="right"/>
              <w:ind w:right="452"/>
              <w:spacing w:after="0" w:line="164" w:lineRule="exact"/>
              <w:rPr>
                <w:sz w:val="20"/>
                <w:szCs w:val="20"/>
                <w:color w:val="auto"/>
              </w:rPr>
            </w:pPr>
            <w:r>
              <w:rPr>
                <w:rFonts w:ascii="Calibri" w:cs="Calibri" w:eastAsia="Calibri" w:hAnsi="Calibri"/>
                <w:sz w:val="14"/>
                <w:szCs w:val="14"/>
                <w:color w:val="auto"/>
              </w:rPr>
              <w:t>7,180</w:t>
            </w:r>
          </w:p>
        </w:tc>
        <w:tc>
          <w:tcPr>
            <w:tcW w:w="100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2,861,517</w:t>
            </w:r>
          </w:p>
        </w:tc>
      </w:tr>
      <w:tr>
        <w:trPr>
          <w:trHeight w:val="163"/>
        </w:trPr>
        <w:tc>
          <w:tcPr>
            <w:tcW w:w="8140" w:type="dxa"/>
            <w:vAlign w:val="bottom"/>
            <w:tcBorders>
              <w:top w:val="single" w:sz="8" w:color="929292"/>
            </w:tcBorders>
          </w:tcPr>
          <w:p>
            <w:pPr>
              <w:ind w:left="20"/>
              <w:spacing w:after="0" w:line="164" w:lineRule="exact"/>
              <w:rPr>
                <w:sz w:val="20"/>
                <w:szCs w:val="20"/>
                <w:color w:val="auto"/>
              </w:rPr>
            </w:pPr>
            <w:r>
              <w:rPr>
                <w:rFonts w:ascii="Calibri" w:cs="Calibri" w:eastAsia="Calibri" w:hAnsi="Calibri"/>
                <w:sz w:val="14"/>
                <w:szCs w:val="14"/>
                <w:b w:val="1"/>
                <w:bCs w:val="1"/>
                <w:color w:val="002E6D"/>
              </w:rPr>
              <w:t>Jesus Malave</w:t>
            </w:r>
          </w:p>
        </w:tc>
        <w:tc>
          <w:tcPr>
            <w:tcW w:w="2100" w:type="dxa"/>
            <w:vAlign w:val="bottom"/>
            <w:tcBorders>
              <w:top w:val="single" w:sz="8" w:color="929292"/>
            </w:tcBorders>
          </w:tcPr>
          <w:p>
            <w:pPr>
              <w:jc w:val="right"/>
              <w:ind w:right="452"/>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Borders>
              <w:top w:val="single" w:sz="8" w:color="929292"/>
            </w:tcBorders>
          </w:tcPr>
          <w:p>
            <w:pPr>
              <w:jc w:val="right"/>
              <w:spacing w:after="0" w:line="164" w:lineRule="exact"/>
              <w:rPr>
                <w:sz w:val="20"/>
                <w:szCs w:val="20"/>
                <w:color w:val="auto"/>
              </w:rPr>
            </w:pPr>
            <w:r>
              <w:rPr>
                <w:rFonts w:ascii="Calibri" w:cs="Calibri" w:eastAsia="Calibri" w:hAnsi="Calibri"/>
                <w:sz w:val="14"/>
                <w:szCs w:val="14"/>
                <w:color w:val="auto"/>
              </w:rPr>
              <w:t>—</w:t>
            </w:r>
          </w:p>
        </w:tc>
      </w:tr>
      <w:tr>
        <w:trPr>
          <w:trHeight w:val="33"/>
        </w:trPr>
        <w:tc>
          <w:tcPr>
            <w:tcW w:w="8140" w:type="dxa"/>
            <w:vAlign w:val="bottom"/>
            <w:tcBorders>
              <w:bottom w:val="single" w:sz="8" w:color="939598"/>
            </w:tcBorders>
          </w:tcPr>
          <w:p>
            <w:pPr>
              <w:spacing w:after="0"/>
              <w:rPr>
                <w:sz w:val="2"/>
                <w:szCs w:val="2"/>
                <w:color w:val="auto"/>
              </w:rPr>
            </w:pPr>
          </w:p>
        </w:tc>
        <w:tc>
          <w:tcPr>
            <w:tcW w:w="210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r>
      <w:tr>
        <w:trPr>
          <w:trHeight w:val="196"/>
        </w:trPr>
        <w:tc>
          <w:tcPr>
            <w:tcW w:w="81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John W. Mollard</w:t>
            </w:r>
          </w:p>
        </w:tc>
        <w:tc>
          <w:tcPr>
            <w:tcW w:w="2100" w:type="dxa"/>
            <w:vAlign w:val="bottom"/>
            <w:tcBorders>
              <w:bottom w:val="single" w:sz="8" w:color="E5E7EF"/>
            </w:tcBorders>
            <w:shd w:val="clear" w:color="auto" w:fill="E5E7EF"/>
          </w:tcPr>
          <w:p>
            <w:pPr>
              <w:jc w:val="right"/>
              <w:ind w:right="452"/>
              <w:spacing w:after="0" w:line="164" w:lineRule="exact"/>
              <w:rPr>
                <w:sz w:val="20"/>
                <w:szCs w:val="20"/>
                <w:color w:val="auto"/>
              </w:rPr>
            </w:pPr>
            <w:r>
              <w:rPr>
                <w:rFonts w:ascii="Calibri" w:cs="Calibri" w:eastAsia="Calibri" w:hAnsi="Calibri"/>
                <w:sz w:val="14"/>
                <w:szCs w:val="14"/>
                <w:color w:val="auto"/>
              </w:rPr>
              <w:t>2,903</w:t>
            </w:r>
          </w:p>
        </w:tc>
        <w:tc>
          <w:tcPr>
            <w:tcW w:w="100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1,241,932</w:t>
            </w:r>
          </w:p>
        </w:tc>
      </w:tr>
      <w:tr>
        <w:trPr>
          <w:trHeight w:val="163"/>
        </w:trPr>
        <w:tc>
          <w:tcPr>
            <w:tcW w:w="814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b w:val="1"/>
                <w:bCs w:val="1"/>
                <w:color w:val="002E6D"/>
              </w:rPr>
              <w:t>Frank A. St. John</w:t>
            </w:r>
          </w:p>
        </w:tc>
        <w:tc>
          <w:tcPr>
            <w:tcW w:w="2100" w:type="dxa"/>
            <w:vAlign w:val="bottom"/>
            <w:tcBorders>
              <w:top w:val="single" w:sz="8" w:color="939598"/>
            </w:tcBorders>
          </w:tcPr>
          <w:p>
            <w:pPr>
              <w:jc w:val="right"/>
              <w:ind w:right="452"/>
              <w:spacing w:after="0" w:line="164" w:lineRule="exact"/>
              <w:rPr>
                <w:sz w:val="20"/>
                <w:szCs w:val="20"/>
                <w:color w:val="auto"/>
              </w:rPr>
            </w:pPr>
            <w:r>
              <w:rPr>
                <w:rFonts w:ascii="Calibri" w:cs="Calibri" w:eastAsia="Calibri" w:hAnsi="Calibri"/>
                <w:sz w:val="14"/>
                <w:szCs w:val="14"/>
                <w:color w:val="auto"/>
              </w:rPr>
              <w:t>14,585</w:t>
            </w:r>
          </w:p>
        </w:tc>
        <w:tc>
          <w:tcPr>
            <w:tcW w:w="100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5,642,488</w:t>
            </w:r>
          </w:p>
        </w:tc>
      </w:tr>
      <w:tr>
        <w:trPr>
          <w:trHeight w:val="33"/>
        </w:trPr>
        <w:tc>
          <w:tcPr>
            <w:tcW w:w="8140" w:type="dxa"/>
            <w:vAlign w:val="bottom"/>
            <w:tcBorders>
              <w:bottom w:val="single" w:sz="8" w:color="939598"/>
            </w:tcBorders>
          </w:tcPr>
          <w:p>
            <w:pPr>
              <w:spacing w:after="0"/>
              <w:rPr>
                <w:sz w:val="2"/>
                <w:szCs w:val="2"/>
                <w:color w:val="auto"/>
              </w:rPr>
            </w:pPr>
          </w:p>
        </w:tc>
        <w:tc>
          <w:tcPr>
            <w:tcW w:w="2100" w:type="dxa"/>
            <w:vAlign w:val="bottom"/>
            <w:tcBorders>
              <w:bottom w:val="single" w:sz="8" w:color="9D9D9C"/>
            </w:tcBorders>
          </w:tcPr>
          <w:p>
            <w:pPr>
              <w:spacing w:after="0"/>
              <w:rPr>
                <w:sz w:val="2"/>
                <w:szCs w:val="2"/>
                <w:color w:val="auto"/>
              </w:rPr>
            </w:pPr>
          </w:p>
        </w:tc>
        <w:tc>
          <w:tcPr>
            <w:tcW w:w="1000" w:type="dxa"/>
            <w:vAlign w:val="bottom"/>
            <w:tcBorders>
              <w:bottom w:val="single" w:sz="8" w:color="9D9D9C"/>
            </w:tcBorders>
          </w:tcPr>
          <w:p>
            <w:pPr>
              <w:spacing w:after="0"/>
              <w:rPr>
                <w:sz w:val="2"/>
                <w:szCs w:val="2"/>
                <w:color w:val="auto"/>
              </w:rPr>
            </w:pPr>
          </w:p>
        </w:tc>
      </w:tr>
      <w:tr>
        <w:trPr>
          <w:trHeight w:val="196"/>
        </w:trPr>
        <w:tc>
          <w:tcPr>
            <w:tcW w:w="81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Scot T. Greene</w:t>
            </w:r>
          </w:p>
        </w:tc>
        <w:tc>
          <w:tcPr>
            <w:tcW w:w="2100" w:type="dxa"/>
            <w:vAlign w:val="bottom"/>
            <w:tcBorders>
              <w:bottom w:val="single" w:sz="8" w:color="E5E7EF"/>
            </w:tcBorders>
            <w:shd w:val="clear" w:color="auto" w:fill="E5E7EF"/>
          </w:tcPr>
          <w:p>
            <w:pPr>
              <w:jc w:val="right"/>
              <w:ind w:right="452"/>
              <w:spacing w:after="0" w:line="164" w:lineRule="exact"/>
              <w:rPr>
                <w:sz w:val="20"/>
                <w:szCs w:val="20"/>
                <w:color w:val="auto"/>
              </w:rPr>
            </w:pPr>
            <w:r>
              <w:rPr>
                <w:rFonts w:ascii="Calibri" w:cs="Calibri" w:eastAsia="Calibri" w:hAnsi="Calibri"/>
                <w:sz w:val="14"/>
                <w:szCs w:val="14"/>
                <w:color w:val="auto"/>
              </w:rPr>
              <w:t>1,321</w:t>
            </w:r>
          </w:p>
        </w:tc>
        <w:tc>
          <w:tcPr>
            <w:tcW w:w="100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514,095</w:t>
            </w:r>
          </w:p>
        </w:tc>
      </w:tr>
      <w:tr>
        <w:trPr>
          <w:trHeight w:val="163"/>
        </w:trPr>
        <w:tc>
          <w:tcPr>
            <w:tcW w:w="814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b w:val="1"/>
                <w:bCs w:val="1"/>
                <w:color w:val="002E6D"/>
              </w:rPr>
              <w:t>Maryanne R. Lavan</w:t>
            </w:r>
          </w:p>
        </w:tc>
        <w:tc>
          <w:tcPr>
            <w:tcW w:w="2100" w:type="dxa"/>
            <w:vAlign w:val="bottom"/>
            <w:tcBorders>
              <w:top w:val="single" w:sz="8" w:color="939598"/>
            </w:tcBorders>
          </w:tcPr>
          <w:p>
            <w:pPr>
              <w:jc w:val="right"/>
              <w:ind w:right="452"/>
              <w:spacing w:after="0" w:line="164" w:lineRule="exact"/>
              <w:rPr>
                <w:sz w:val="20"/>
                <w:szCs w:val="20"/>
                <w:color w:val="auto"/>
              </w:rPr>
            </w:pPr>
            <w:r>
              <w:rPr>
                <w:rFonts w:ascii="Calibri" w:cs="Calibri" w:eastAsia="Calibri" w:hAnsi="Calibri"/>
                <w:sz w:val="14"/>
                <w:szCs w:val="14"/>
                <w:color w:val="auto"/>
              </w:rPr>
              <w:t>11,135</w:t>
            </w:r>
          </w:p>
        </w:tc>
        <w:tc>
          <w:tcPr>
            <w:tcW w:w="100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4,307,030</w:t>
            </w:r>
          </w:p>
        </w:tc>
      </w:tr>
      <w:tr>
        <w:trPr>
          <w:trHeight w:val="33"/>
        </w:trPr>
        <w:tc>
          <w:tcPr>
            <w:tcW w:w="8140" w:type="dxa"/>
            <w:vAlign w:val="bottom"/>
            <w:tcBorders>
              <w:bottom w:val="single" w:sz="8" w:color="9D9D9C"/>
            </w:tcBorders>
          </w:tcPr>
          <w:p>
            <w:pPr>
              <w:spacing w:after="0"/>
              <w:rPr>
                <w:sz w:val="2"/>
                <w:szCs w:val="2"/>
                <w:color w:val="auto"/>
              </w:rPr>
            </w:pPr>
          </w:p>
        </w:tc>
        <w:tc>
          <w:tcPr>
            <w:tcW w:w="2100" w:type="dxa"/>
            <w:vAlign w:val="bottom"/>
            <w:tcBorders>
              <w:bottom w:val="single" w:sz="8" w:color="9D9D9C"/>
            </w:tcBorders>
          </w:tcPr>
          <w:p>
            <w:pPr>
              <w:spacing w:after="0"/>
              <w:rPr>
                <w:sz w:val="2"/>
                <w:szCs w:val="2"/>
                <w:color w:val="auto"/>
              </w:rPr>
            </w:pPr>
          </w:p>
        </w:tc>
        <w:tc>
          <w:tcPr>
            <w:tcW w:w="1000" w:type="dxa"/>
            <w:vAlign w:val="bottom"/>
            <w:tcBorders>
              <w:bottom w:val="single" w:sz="8" w:color="9D9D9C"/>
            </w:tcBorders>
          </w:tcPr>
          <w:p>
            <w:pPr>
              <w:spacing w:after="0"/>
              <w:rPr>
                <w:sz w:val="2"/>
                <w:szCs w:val="2"/>
                <w:color w:val="auto"/>
              </w:rPr>
            </w:pPr>
          </w:p>
        </w:tc>
      </w:tr>
      <w:tr>
        <w:trPr>
          <w:trHeight w:val="176"/>
        </w:trPr>
        <w:tc>
          <w:tcPr>
            <w:tcW w:w="81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Gregory M. Ulmer</w:t>
            </w:r>
          </w:p>
        </w:tc>
        <w:tc>
          <w:tcPr>
            <w:tcW w:w="2100" w:type="dxa"/>
            <w:vAlign w:val="bottom"/>
            <w:tcBorders>
              <w:bottom w:val="single" w:sz="8" w:color="E4E6EF"/>
            </w:tcBorders>
            <w:shd w:val="clear" w:color="auto" w:fill="E4E6EF"/>
          </w:tcPr>
          <w:p>
            <w:pPr>
              <w:jc w:val="right"/>
              <w:ind w:right="452"/>
              <w:spacing w:after="0" w:line="164" w:lineRule="exact"/>
              <w:rPr>
                <w:sz w:val="20"/>
                <w:szCs w:val="20"/>
                <w:color w:val="auto"/>
              </w:rPr>
            </w:pPr>
            <w:r>
              <w:rPr>
                <w:rFonts w:ascii="Calibri" w:cs="Calibri" w:eastAsia="Calibri" w:hAnsi="Calibri"/>
                <w:sz w:val="14"/>
                <w:szCs w:val="14"/>
                <w:color w:val="auto"/>
              </w:rPr>
              <w:t>1,964</w:t>
            </w:r>
          </w:p>
        </w:tc>
        <w:tc>
          <w:tcPr>
            <w:tcW w:w="10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762,589</w:t>
            </w:r>
          </w:p>
        </w:tc>
      </w:tr>
      <w:tr>
        <w:trPr>
          <w:trHeight w:val="20"/>
        </w:trPr>
        <w:tc>
          <w:tcPr>
            <w:tcW w:w="8140" w:type="dxa"/>
            <w:vAlign w:val="bottom"/>
            <w:shd w:val="clear" w:color="auto" w:fill="939598"/>
          </w:tcPr>
          <w:p>
            <w:pPr>
              <w:spacing w:after="0" w:line="20" w:lineRule="exact"/>
              <w:rPr>
                <w:sz w:val="1"/>
                <w:szCs w:val="1"/>
                <w:color w:val="auto"/>
              </w:rPr>
            </w:pPr>
          </w:p>
        </w:tc>
        <w:tc>
          <w:tcPr>
            <w:tcW w:w="2100" w:type="dxa"/>
            <w:vAlign w:val="bottom"/>
            <w:shd w:val="clear" w:color="auto" w:fill="939598"/>
          </w:tcPr>
          <w:p>
            <w:pPr>
              <w:spacing w:after="0" w:line="20" w:lineRule="exact"/>
              <w:rPr>
                <w:sz w:val="1"/>
                <w:szCs w:val="1"/>
                <w:color w:val="auto"/>
              </w:rPr>
            </w:pPr>
          </w:p>
        </w:tc>
        <w:tc>
          <w:tcPr>
            <w:tcW w:w="1000" w:type="dxa"/>
            <w:vAlign w:val="bottom"/>
            <w:shd w:val="clear" w:color="auto" w:fill="939598"/>
          </w:tcPr>
          <w:p>
            <w:pPr>
              <w:spacing w:after="0" w:line="20" w:lineRule="exact"/>
              <w:rPr>
                <w:sz w:val="1"/>
                <w:szCs w:val="1"/>
                <w:color w:val="auto"/>
              </w:rPr>
            </w:pPr>
          </w:p>
        </w:tc>
      </w:tr>
    </w:tbl>
    <w:p>
      <w:pPr>
        <w:spacing w:after="0" w:line="175" w:lineRule="exact"/>
        <w:rPr>
          <w:sz w:val="20"/>
          <w:szCs w:val="20"/>
          <w:color w:val="auto"/>
        </w:rPr>
      </w:pPr>
    </w:p>
    <w:p>
      <w:pPr>
        <w:ind w:left="260" w:right="80" w:hanging="252"/>
        <w:spacing w:after="0" w:line="247" w:lineRule="auto"/>
        <w:tabs>
          <w:tab w:leader="none" w:pos="256" w:val="left"/>
        </w:tabs>
        <w:numPr>
          <w:ilvl w:val="0"/>
          <w:numId w:val="92"/>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(i) vestng on February 21, 2022 of RSUs and PSUs granted on February 21, 2019 following the three-year vestng period (for all NEOs except Mr. Taiclet and Mr. Malave); (ii) accelerated vestng on December 9, 2022 of a porton of RSUs granted on February 23, 2022 equal to the value of the tax withholding obligaton due because the NEO is retrement-eligible (for all NEOs with outstanding 2022 RSUs except Mr. Taiclet and Mr. Malave); (iii) vestng on July 27, 2022 of 7,180 RSUs granted to Mr. Taiclet on July 27, 2020 as an equity replacement award to ofset forfeited unvested incentves from his former employer and (iv) vestng on December 15, 2022 of RSUs granted on February 23, 2022 to Mr. Mollard in recogniton of his performance and service as Actng CFO and to retain him for the CFO transiton in 2022. The amounts for the accelerated vestng for tax withholding represent the aggregate number of shares vested prior to the concurrent dispositon of the vested shares to the Company to satsfy the tax withholding obligaton.</w:t>
      </w:r>
    </w:p>
    <w:p>
      <w:pPr>
        <w:spacing w:after="0" w:line="69" w:lineRule="exact"/>
        <w:rPr>
          <w:rFonts w:ascii="Calibri" w:cs="Calibri" w:eastAsia="Calibri" w:hAnsi="Calibri"/>
          <w:sz w:val="19"/>
          <w:szCs w:val="19"/>
          <w:color w:val="auto"/>
          <w:vertAlign w:val="superscript"/>
        </w:rPr>
      </w:pPr>
    </w:p>
    <w:p>
      <w:pPr>
        <w:ind w:left="260" w:right="160" w:hanging="252"/>
        <w:spacing w:after="0" w:line="205" w:lineRule="auto"/>
        <w:tabs>
          <w:tab w:leader="none" w:pos="256" w:val="left"/>
        </w:tabs>
        <w:numPr>
          <w:ilvl w:val="0"/>
          <w:numId w:val="92"/>
        </w:numPr>
        <w:rPr>
          <w:rFonts w:ascii="Calibri" w:cs="Calibri" w:eastAsia="Calibri" w:hAnsi="Calibri"/>
          <w:sz w:val="19"/>
          <w:szCs w:val="19"/>
          <w:color w:val="auto"/>
          <w:vertAlign w:val="superscript"/>
        </w:rPr>
      </w:pPr>
      <w:r>
        <w:rPr>
          <w:rFonts w:ascii="Calibri" w:cs="Calibri" w:eastAsia="Calibri" w:hAnsi="Calibri"/>
          <w:sz w:val="14"/>
          <w:szCs w:val="14"/>
          <w:color w:val="auto"/>
        </w:rPr>
        <w:t>Value realized was calculated based on the number of shares acquired on vestng multplied by the per share closing price of our common stock on the date of vestng (February 21, 2022: $386.46; July 27, 2022: $398.54; December 9, 2022: $483.58 and December 15, 2022: $478.79).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313690</wp:posOffset>
            </wp:positionV>
            <wp:extent cx="1071880" cy="1803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0" w:name="page71"/>
    <w:bookmarkEnd w:id="70"/>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ind w:left="9540"/>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Pension Benefits</w:t>
      </w:r>
    </w:p>
    <w:p>
      <w:pPr>
        <w:spacing w:after="0" w:line="144" w:lineRule="exact"/>
        <w:rPr>
          <w:sz w:val="20"/>
          <w:szCs w:val="20"/>
          <w:color w:val="auto"/>
        </w:rPr>
      </w:pPr>
    </w:p>
    <w:p>
      <w:pPr>
        <w:ind w:right="60"/>
        <w:spacing w:after="0" w:line="252" w:lineRule="auto"/>
        <w:rPr>
          <w:sz w:val="20"/>
          <w:szCs w:val="20"/>
          <w:color w:val="auto"/>
        </w:rPr>
      </w:pPr>
      <w:r>
        <w:rPr>
          <w:rFonts w:ascii="Calibri" w:cs="Calibri" w:eastAsia="Calibri" w:hAnsi="Calibri"/>
          <w:sz w:val="17"/>
          <w:szCs w:val="17"/>
          <w:color w:val="auto"/>
        </w:rPr>
        <w:t>The NEOs (except Mr. Taiclet and Mr. Malave) have frozen benefts under (1) the Lockheed Martn Corporaton Salaried Employee Retrement Program (LMRP), which is a tax-qualifed plan that includes several prior plans (the Prior Plans), and (2) the Lockheed Martn Corporaton Consolidated Supplemental Retrement Beneft Plan (Supplemental Pension), which is a restoratve plan that provides benefts in excess of the beneft payable under IRS rules through the LMRP. These plans were frozen in two steps. Increases in compensaton ceased to be taken into account efectve January 1, 2016 and increases in service ceased to be taken into account efectve January 1, 2020.</w:t>
      </w:r>
    </w:p>
    <w:p>
      <w:pPr>
        <w:spacing w:after="0" w:line="126" w:lineRule="exact"/>
        <w:rPr>
          <w:sz w:val="20"/>
          <w:szCs w:val="20"/>
          <w:color w:val="auto"/>
        </w:rPr>
      </w:pPr>
    </w:p>
    <w:p>
      <w:pPr>
        <w:ind w:right="20"/>
        <w:spacing w:after="0" w:line="256" w:lineRule="auto"/>
        <w:rPr>
          <w:sz w:val="20"/>
          <w:szCs w:val="20"/>
          <w:color w:val="auto"/>
        </w:rPr>
      </w:pPr>
      <w:r>
        <w:rPr>
          <w:rFonts w:ascii="Calibri" w:cs="Calibri" w:eastAsia="Calibri" w:hAnsi="Calibri"/>
          <w:sz w:val="17"/>
          <w:szCs w:val="17"/>
          <w:color w:val="auto"/>
        </w:rPr>
        <w:t>The annual pension beneft for all partcipants under the LMRP is determined by a fnal average compensaton formula that multplies (x) a percentage (1.25% of compensaton below the social security wage base and 1.5% above that level) tmes (y) years of credited service ending with 2019 tmes (z) the average of the employee’s highest three years of compensaton in the last ten years ending with 2015. Average compensaton includes the NEO’s base salary and annual incentve payouts. None of the NEOs has been credited with any extra years of service or provided a beneft from a special or enhanced formula. Normal retrement age is 65; however, benefts are payable as early as age 55 at a reduced amount or without reducton for early retrement at age 60. Benefts are payable as a monthly annuity for the lifetme of the employee, as a joint and survivor annuity, as a life annuity with a fve- or ten-year guarantee, or as a level income annuity. In additon, a porton of the retrement benefts for certain NEOs may be calculated based on the formulas specifed by the Prior Plans. The Prior Plans have a number of formulas, some of which take into account the partcipant’s years of credited service and pay over the career of the NEO as of a specifed date. Certain other formulas in the Prior Plans are based upon the fnal average compensaton and credited service of the employee as of a specifed date. Pay under certain formulas in the Prior Plans included salary, commissions, lump sum pay in lieu of a salary increase and annual incentve payouts awarded that year. All of the NEOs who partcipate in the LMRP, including any porton with respect to Prior Plans, were vested and are eligible for early retrement as of December 31, 2022.</w:t>
      </w:r>
    </w:p>
    <w:p>
      <w:pPr>
        <w:spacing w:after="0" w:line="333" w:lineRule="exact"/>
        <w:rPr>
          <w:sz w:val="20"/>
          <w:szCs w:val="20"/>
          <w:color w:val="auto"/>
        </w:rPr>
      </w:pPr>
    </w:p>
    <w:p>
      <w:pPr>
        <w:jc w:val="both"/>
        <w:ind w:right="40"/>
        <w:spacing w:after="0" w:line="256" w:lineRule="auto"/>
        <w:rPr>
          <w:sz w:val="20"/>
          <w:szCs w:val="20"/>
          <w:color w:val="auto"/>
        </w:rPr>
      </w:pPr>
      <w:r>
        <w:rPr>
          <w:rFonts w:ascii="Calibri" w:cs="Calibri" w:eastAsia="Calibri" w:hAnsi="Calibri"/>
          <w:sz w:val="17"/>
          <w:szCs w:val="17"/>
          <w:color w:val="auto"/>
        </w:rPr>
        <w:t>The Supplemental Pension uses the same formula for benefts as the tax-qualifed plan uses for calculatng the NEO’s beneft. Although all service recognized under the tax-qualifed plan is recognized under the Supplemental Pension, a beneft would have been earned under the Supplemental Pension only in years when the NEO’s total accrued beneft would have exceeded the maximum allowable beneft accrued under the tax-qualifed plan. The Supplemental Pension benefts are payable in the same forms as benefts are paid under the LMRP, except Mr. Greene, Ms. Lavan and Mr. Mollard may elect a lump sum payment of their Supplemental Pension benefts due to their inital date of partcipaton.</w:t>
      </w:r>
    </w:p>
    <w:p>
      <w:pPr>
        <w:spacing w:after="0" w:line="103" w:lineRule="exact"/>
        <w:rPr>
          <w:sz w:val="20"/>
          <w:szCs w:val="20"/>
          <w:color w:val="auto"/>
        </w:rPr>
      </w:pPr>
    </w:p>
    <w:p>
      <w:pPr>
        <w:spacing w:after="0"/>
        <w:rPr>
          <w:sz w:val="20"/>
          <w:szCs w:val="20"/>
          <w:color w:val="auto"/>
        </w:rPr>
      </w:pPr>
      <w:r>
        <w:rPr>
          <w:rFonts w:ascii="Arial" w:cs="Arial" w:eastAsia="Arial" w:hAnsi="Arial"/>
          <w:sz w:val="29"/>
          <w:szCs w:val="29"/>
          <w:color w:val="003478"/>
        </w:rPr>
        <w:t>Pension Benefits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940" w:type="dxa"/>
            <w:vAlign w:val="bottom"/>
            <w:shd w:val="clear" w:color="auto" w:fill="E5E7EF"/>
          </w:tcPr>
          <w:p>
            <w:pPr>
              <w:spacing w:after="0"/>
              <w:rPr>
                <w:sz w:val="13"/>
                <w:szCs w:val="13"/>
                <w:color w:val="auto"/>
              </w:rPr>
            </w:pPr>
          </w:p>
        </w:tc>
        <w:tc>
          <w:tcPr>
            <w:tcW w:w="6000" w:type="dxa"/>
            <w:vAlign w:val="bottom"/>
            <w:shd w:val="clear" w:color="auto" w:fill="E5E7EF"/>
          </w:tcPr>
          <w:p>
            <w:pPr>
              <w:spacing w:after="0"/>
              <w:rPr>
                <w:sz w:val="13"/>
                <w:szCs w:val="13"/>
                <w:color w:val="auto"/>
              </w:rPr>
            </w:pPr>
          </w:p>
        </w:tc>
        <w:tc>
          <w:tcPr>
            <w:tcW w:w="1120" w:type="dxa"/>
            <w:vAlign w:val="bottom"/>
            <w:shd w:val="clear" w:color="auto" w:fill="E5E7EF"/>
          </w:tcPr>
          <w:p>
            <w:pPr>
              <w:jc w:val="right"/>
              <w:ind w:right="91"/>
              <w:spacing w:after="0"/>
              <w:rPr>
                <w:sz w:val="20"/>
                <w:szCs w:val="20"/>
                <w:color w:val="auto"/>
              </w:rPr>
            </w:pPr>
            <w:r>
              <w:rPr>
                <w:rFonts w:ascii="Arial" w:cs="Arial" w:eastAsia="Arial" w:hAnsi="Arial"/>
                <w:sz w:val="13"/>
                <w:szCs w:val="13"/>
                <w:color w:val="auto"/>
              </w:rPr>
              <w:t>Number of</w:t>
            </w:r>
          </w:p>
        </w:tc>
        <w:tc>
          <w:tcPr>
            <w:tcW w:w="1260" w:type="dxa"/>
            <w:vAlign w:val="bottom"/>
            <w:shd w:val="clear" w:color="auto" w:fill="E5E7EF"/>
          </w:tcPr>
          <w:p>
            <w:pPr>
              <w:spacing w:after="0"/>
              <w:rPr>
                <w:sz w:val="13"/>
                <w:szCs w:val="13"/>
                <w:color w:val="auto"/>
              </w:rPr>
            </w:pPr>
          </w:p>
        </w:tc>
        <w:tc>
          <w:tcPr>
            <w:tcW w:w="600" w:type="dxa"/>
            <w:vAlign w:val="bottom"/>
            <w:shd w:val="clear" w:color="auto" w:fill="E5E7EF"/>
          </w:tcPr>
          <w:p>
            <w:pPr>
              <w:spacing w:after="0"/>
              <w:rPr>
                <w:sz w:val="13"/>
                <w:szCs w:val="13"/>
                <w:color w:val="auto"/>
              </w:rPr>
            </w:pPr>
          </w:p>
        </w:tc>
        <w:tc>
          <w:tcPr>
            <w:tcW w:w="320" w:type="dxa"/>
            <w:vAlign w:val="bottom"/>
            <w:shd w:val="clear" w:color="auto" w:fill="E5E7EF"/>
          </w:tcPr>
          <w:p>
            <w:pPr>
              <w:spacing w:after="0"/>
              <w:rPr>
                <w:sz w:val="13"/>
                <w:szCs w:val="13"/>
                <w:color w:val="auto"/>
              </w:rPr>
            </w:pPr>
          </w:p>
        </w:tc>
      </w:tr>
      <w:tr>
        <w:trPr>
          <w:trHeight w:val="148"/>
        </w:trPr>
        <w:tc>
          <w:tcPr>
            <w:tcW w:w="1940" w:type="dxa"/>
            <w:vAlign w:val="bottom"/>
            <w:shd w:val="clear" w:color="auto" w:fill="E5E7EF"/>
          </w:tcPr>
          <w:p>
            <w:pPr>
              <w:spacing w:after="0"/>
              <w:rPr>
                <w:sz w:val="12"/>
                <w:szCs w:val="12"/>
                <w:color w:val="auto"/>
              </w:rPr>
            </w:pPr>
          </w:p>
        </w:tc>
        <w:tc>
          <w:tcPr>
            <w:tcW w:w="6000" w:type="dxa"/>
            <w:vAlign w:val="bottom"/>
            <w:shd w:val="clear" w:color="auto" w:fill="E5E7EF"/>
          </w:tcPr>
          <w:p>
            <w:pPr>
              <w:spacing w:after="0"/>
              <w:rPr>
                <w:sz w:val="12"/>
                <w:szCs w:val="12"/>
                <w:color w:val="auto"/>
              </w:rPr>
            </w:pPr>
          </w:p>
        </w:tc>
        <w:tc>
          <w:tcPr>
            <w:tcW w:w="1120" w:type="dxa"/>
            <w:vAlign w:val="bottom"/>
            <w:shd w:val="clear" w:color="auto" w:fill="E5E7EF"/>
          </w:tcPr>
          <w:p>
            <w:pPr>
              <w:jc w:val="right"/>
              <w:ind w:right="91"/>
              <w:spacing w:after="0"/>
              <w:rPr>
                <w:sz w:val="20"/>
                <w:szCs w:val="20"/>
                <w:color w:val="auto"/>
              </w:rPr>
            </w:pPr>
            <w:r>
              <w:rPr>
                <w:rFonts w:ascii="Arial" w:cs="Arial" w:eastAsia="Arial" w:hAnsi="Arial"/>
                <w:sz w:val="13"/>
                <w:szCs w:val="13"/>
                <w:color w:val="auto"/>
              </w:rPr>
              <w:t>Years of</w:t>
            </w:r>
          </w:p>
        </w:tc>
        <w:tc>
          <w:tcPr>
            <w:tcW w:w="126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Present Value of</w:t>
            </w:r>
          </w:p>
        </w:tc>
        <w:tc>
          <w:tcPr>
            <w:tcW w:w="920" w:type="dxa"/>
            <w:vAlign w:val="bottom"/>
            <w:gridSpan w:val="2"/>
            <w:shd w:val="clear" w:color="auto" w:fill="E5E7EF"/>
          </w:tcPr>
          <w:p>
            <w:pPr>
              <w:jc w:val="right"/>
              <w:spacing w:after="0"/>
              <w:rPr>
                <w:sz w:val="20"/>
                <w:szCs w:val="20"/>
                <w:color w:val="auto"/>
              </w:rPr>
            </w:pPr>
            <w:r>
              <w:rPr>
                <w:rFonts w:ascii="Arial" w:cs="Arial" w:eastAsia="Arial" w:hAnsi="Arial"/>
                <w:sz w:val="13"/>
                <w:szCs w:val="13"/>
                <w:color w:val="auto"/>
              </w:rPr>
              <w:t>Payments</w:t>
            </w:r>
          </w:p>
        </w:tc>
      </w:tr>
      <w:tr>
        <w:trPr>
          <w:trHeight w:val="152"/>
        </w:trPr>
        <w:tc>
          <w:tcPr>
            <w:tcW w:w="1940" w:type="dxa"/>
            <w:vAlign w:val="bottom"/>
            <w:shd w:val="clear" w:color="auto" w:fill="E5E7EF"/>
          </w:tcPr>
          <w:p>
            <w:pPr>
              <w:spacing w:after="0"/>
              <w:rPr>
                <w:sz w:val="13"/>
                <w:szCs w:val="13"/>
                <w:color w:val="auto"/>
              </w:rPr>
            </w:pPr>
          </w:p>
        </w:tc>
        <w:tc>
          <w:tcPr>
            <w:tcW w:w="6000" w:type="dxa"/>
            <w:vAlign w:val="bottom"/>
            <w:shd w:val="clear" w:color="auto" w:fill="E5E7EF"/>
          </w:tcPr>
          <w:p>
            <w:pPr>
              <w:spacing w:after="0"/>
              <w:rPr>
                <w:sz w:val="13"/>
                <w:szCs w:val="13"/>
                <w:color w:val="auto"/>
              </w:rPr>
            </w:pPr>
          </w:p>
        </w:tc>
        <w:tc>
          <w:tcPr>
            <w:tcW w:w="1120" w:type="dxa"/>
            <w:vAlign w:val="bottom"/>
            <w:shd w:val="clear" w:color="auto" w:fill="E5E7EF"/>
          </w:tcPr>
          <w:p>
            <w:pPr>
              <w:jc w:val="right"/>
              <w:ind w:right="91"/>
              <w:spacing w:after="0"/>
              <w:rPr>
                <w:sz w:val="20"/>
                <w:szCs w:val="20"/>
                <w:color w:val="auto"/>
              </w:rPr>
            </w:pPr>
            <w:r>
              <w:rPr>
                <w:rFonts w:ascii="Arial" w:cs="Arial" w:eastAsia="Arial" w:hAnsi="Arial"/>
                <w:sz w:val="13"/>
                <w:szCs w:val="13"/>
                <w:color w:val="auto"/>
              </w:rPr>
              <w:t>Credited</w:t>
            </w:r>
          </w:p>
        </w:tc>
        <w:tc>
          <w:tcPr>
            <w:tcW w:w="126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Accumulated</w:t>
            </w:r>
          </w:p>
        </w:tc>
        <w:tc>
          <w:tcPr>
            <w:tcW w:w="920" w:type="dxa"/>
            <w:vAlign w:val="bottom"/>
            <w:gridSpan w:val="2"/>
            <w:shd w:val="clear" w:color="auto" w:fill="E5E7EF"/>
          </w:tcPr>
          <w:p>
            <w:pPr>
              <w:jc w:val="right"/>
              <w:spacing w:after="0"/>
              <w:rPr>
                <w:sz w:val="20"/>
                <w:szCs w:val="20"/>
                <w:color w:val="auto"/>
              </w:rPr>
            </w:pPr>
            <w:r>
              <w:rPr>
                <w:rFonts w:ascii="Arial" w:cs="Arial" w:eastAsia="Arial" w:hAnsi="Arial"/>
                <w:sz w:val="13"/>
                <w:szCs w:val="13"/>
                <w:color w:val="auto"/>
              </w:rPr>
              <w:t>During Last</w:t>
            </w:r>
          </w:p>
        </w:tc>
      </w:tr>
      <w:tr>
        <w:trPr>
          <w:trHeight w:val="204"/>
        </w:trPr>
        <w:tc>
          <w:tcPr>
            <w:tcW w:w="1940" w:type="dxa"/>
            <w:vAlign w:val="bottom"/>
            <w:shd w:val="clear" w:color="auto" w:fill="E5E7EF"/>
          </w:tcPr>
          <w:p>
            <w:pPr>
              <w:spacing w:after="0"/>
              <w:rPr>
                <w:sz w:val="17"/>
                <w:szCs w:val="17"/>
                <w:color w:val="auto"/>
              </w:rPr>
            </w:pPr>
          </w:p>
        </w:tc>
        <w:tc>
          <w:tcPr>
            <w:tcW w:w="6000" w:type="dxa"/>
            <w:vAlign w:val="bottom"/>
            <w:shd w:val="clear" w:color="auto" w:fill="E5E7EF"/>
          </w:tcPr>
          <w:p>
            <w:pPr>
              <w:spacing w:after="0"/>
              <w:rPr>
                <w:sz w:val="17"/>
                <w:szCs w:val="17"/>
                <w:color w:val="auto"/>
              </w:rPr>
            </w:pPr>
          </w:p>
        </w:tc>
        <w:tc>
          <w:tcPr>
            <w:tcW w:w="1120" w:type="dxa"/>
            <w:vAlign w:val="bottom"/>
            <w:shd w:val="clear" w:color="auto" w:fill="E5E7EF"/>
          </w:tcPr>
          <w:p>
            <w:pPr>
              <w:jc w:val="right"/>
              <w:ind w:right="91"/>
              <w:spacing w:after="0"/>
              <w:rPr>
                <w:sz w:val="20"/>
                <w:szCs w:val="20"/>
                <w:color w:val="auto"/>
              </w:rPr>
            </w:pPr>
            <w:r>
              <w:rPr>
                <w:rFonts w:ascii="Arial" w:cs="Arial" w:eastAsia="Arial" w:hAnsi="Arial"/>
                <w:sz w:val="13"/>
                <w:szCs w:val="13"/>
                <w:color w:val="auto"/>
              </w:rPr>
              <w:t>Service</w:t>
            </w:r>
            <w:r>
              <w:rPr>
                <w:rFonts w:ascii="Arial" w:cs="Arial" w:eastAsia="Arial" w:hAnsi="Arial"/>
                <w:sz w:val="16"/>
                <w:szCs w:val="16"/>
                <w:color w:val="auto"/>
                <w:vertAlign w:val="superscript"/>
              </w:rPr>
              <w:t>(1)</w:t>
            </w:r>
          </w:p>
        </w:tc>
        <w:tc>
          <w:tcPr>
            <w:tcW w:w="126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920" w:type="dxa"/>
            <w:vAlign w:val="bottom"/>
            <w:gridSpan w:val="2"/>
            <w:shd w:val="clear" w:color="auto" w:fill="E5E7EF"/>
          </w:tcPr>
          <w:p>
            <w:pPr>
              <w:jc w:val="right"/>
              <w:spacing w:after="0"/>
              <w:rPr>
                <w:sz w:val="20"/>
                <w:szCs w:val="20"/>
                <w:color w:val="auto"/>
              </w:rPr>
            </w:pPr>
            <w:r>
              <w:rPr>
                <w:rFonts w:ascii="Arial" w:cs="Arial" w:eastAsia="Arial" w:hAnsi="Arial"/>
                <w:sz w:val="13"/>
                <w:szCs w:val="13"/>
                <w:color w:val="auto"/>
              </w:rPr>
              <w:t>Fiscal Year</w:t>
            </w:r>
            <w:r>
              <w:rPr>
                <w:rFonts w:ascii="Arial" w:cs="Arial" w:eastAsia="Arial" w:hAnsi="Arial"/>
                <w:sz w:val="16"/>
                <w:szCs w:val="16"/>
                <w:color w:val="auto"/>
                <w:vertAlign w:val="superscript"/>
              </w:rPr>
              <w:t>(3)</w:t>
            </w:r>
          </w:p>
        </w:tc>
      </w:tr>
      <w:tr>
        <w:trPr>
          <w:trHeight w:val="208"/>
        </w:trPr>
        <w:tc>
          <w:tcPr>
            <w:tcW w:w="194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600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Plan Name</w:t>
            </w:r>
          </w:p>
        </w:tc>
        <w:tc>
          <w:tcPr>
            <w:tcW w:w="1120" w:type="dxa"/>
            <w:vAlign w:val="bottom"/>
            <w:tcBorders>
              <w:bottom w:val="single" w:sz="8" w:color="E5E7EF"/>
            </w:tcBorders>
            <w:shd w:val="clear" w:color="auto" w:fill="E5E7EF"/>
          </w:tcPr>
          <w:p>
            <w:pPr>
              <w:jc w:val="right"/>
              <w:ind w:right="91"/>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E5E7EF"/>
            </w:tcBorders>
            <w:shd w:val="clear" w:color="auto" w:fill="E5E7EF"/>
          </w:tcPr>
          <w:p>
            <w:pPr>
              <w:spacing w:after="0"/>
              <w:rPr>
                <w:sz w:val="17"/>
                <w:szCs w:val="17"/>
                <w:color w:val="auto"/>
              </w:rPr>
            </w:pPr>
          </w:p>
        </w:tc>
        <w:tc>
          <w:tcPr>
            <w:tcW w:w="320" w:type="dxa"/>
            <w:vAlign w:val="bottom"/>
            <w:tcBorders>
              <w:bottom w:val="single" w:sz="8" w:color="E5E7EF"/>
            </w:tcBorders>
            <w:shd w:val="clear" w:color="auto" w:fill="E5E7EF"/>
          </w:tcPr>
          <w:p>
            <w:pPr>
              <w:ind w:left="140"/>
              <w:spacing w:after="0"/>
              <w:rPr>
                <w:sz w:val="20"/>
                <w:szCs w:val="20"/>
                <w:color w:val="auto"/>
              </w:rPr>
            </w:pPr>
            <w:r>
              <w:rPr>
                <w:rFonts w:ascii="Arial" w:cs="Arial" w:eastAsia="Arial" w:hAnsi="Arial"/>
                <w:sz w:val="13"/>
                <w:szCs w:val="13"/>
                <w:color w:val="auto"/>
              </w:rPr>
              <w:t>($)</w:t>
            </w:r>
          </w:p>
        </w:tc>
      </w:tr>
      <w:tr>
        <w:trPr>
          <w:trHeight w:val="201"/>
        </w:trPr>
        <w:tc>
          <w:tcPr>
            <w:tcW w:w="1940" w:type="dxa"/>
            <w:vAlign w:val="bottom"/>
            <w:tcBorders>
              <w:top w:val="single" w:sz="8" w:color="002E6D"/>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6000" w:type="dxa"/>
            <w:vAlign w:val="bottom"/>
            <w:tcBorders>
              <w:top w:val="single" w:sz="8" w:color="002E6D"/>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(b)</w:t>
            </w:r>
          </w:p>
        </w:tc>
        <w:tc>
          <w:tcPr>
            <w:tcW w:w="1120" w:type="dxa"/>
            <w:vAlign w:val="bottom"/>
            <w:tcBorders>
              <w:top w:val="single" w:sz="8" w:color="002E6D"/>
              <w:bottom w:val="single" w:sz="8" w:color="E5E7EF"/>
            </w:tcBorders>
            <w:shd w:val="clear" w:color="auto" w:fill="E5E7EF"/>
          </w:tcPr>
          <w:p>
            <w:pPr>
              <w:jc w:val="right"/>
              <w:ind w:right="91"/>
              <w:spacing w:after="0"/>
              <w:rPr>
                <w:sz w:val="20"/>
                <w:szCs w:val="20"/>
                <w:color w:val="auto"/>
              </w:rPr>
            </w:pPr>
            <w:r>
              <w:rPr>
                <w:rFonts w:ascii="Arial" w:cs="Arial" w:eastAsia="Arial" w:hAnsi="Arial"/>
                <w:sz w:val="13"/>
                <w:szCs w:val="13"/>
                <w:color w:val="auto"/>
              </w:rPr>
              <w:t>(c)</w:t>
            </w:r>
          </w:p>
        </w:tc>
        <w:tc>
          <w:tcPr>
            <w:tcW w:w="1260" w:type="dxa"/>
            <w:vAlign w:val="bottom"/>
            <w:tcBorders>
              <w:top w:val="single" w:sz="8" w:color="002E6D"/>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(d)</w:t>
            </w:r>
          </w:p>
        </w:tc>
        <w:tc>
          <w:tcPr>
            <w:tcW w:w="600" w:type="dxa"/>
            <w:vAlign w:val="bottom"/>
            <w:tcBorders>
              <w:top w:val="single" w:sz="8" w:color="002E6D"/>
              <w:bottom w:val="single" w:sz="8" w:color="E5E7EF"/>
            </w:tcBorders>
            <w:shd w:val="clear" w:color="auto" w:fill="E5E7EF"/>
          </w:tcPr>
          <w:p>
            <w:pPr>
              <w:spacing w:after="0"/>
              <w:rPr>
                <w:sz w:val="17"/>
                <w:szCs w:val="17"/>
                <w:color w:val="auto"/>
              </w:rPr>
            </w:pPr>
          </w:p>
        </w:tc>
        <w:tc>
          <w:tcPr>
            <w:tcW w:w="320" w:type="dxa"/>
            <w:vAlign w:val="bottom"/>
            <w:tcBorders>
              <w:top w:val="single" w:sz="8" w:color="002E6D"/>
              <w:bottom w:val="single" w:sz="8" w:color="E5E7EF"/>
            </w:tcBorders>
            <w:shd w:val="clear" w:color="auto" w:fill="E5E7EF"/>
          </w:tcPr>
          <w:p>
            <w:pPr>
              <w:ind w:left="140"/>
              <w:spacing w:after="0"/>
              <w:rPr>
                <w:sz w:val="20"/>
                <w:szCs w:val="20"/>
                <w:color w:val="auto"/>
              </w:rPr>
            </w:pPr>
            <w:r>
              <w:rPr>
                <w:rFonts w:ascii="Arial" w:cs="Arial" w:eastAsia="Arial" w:hAnsi="Arial"/>
                <w:sz w:val="13"/>
                <w:szCs w:val="13"/>
                <w:color w:val="auto"/>
              </w:rPr>
              <w:t>(e)</w:t>
            </w:r>
          </w:p>
        </w:tc>
      </w:tr>
      <w:tr>
        <w:trPr>
          <w:trHeight w:val="201"/>
        </w:trPr>
        <w:tc>
          <w:tcPr>
            <w:tcW w:w="1940" w:type="dxa"/>
            <w:vAlign w:val="bottom"/>
            <w:tcBorders>
              <w:top w:val="single" w:sz="8" w:color="002E6D"/>
            </w:tcBorders>
          </w:tcPr>
          <w:p>
            <w:pPr>
              <w:ind w:left="20"/>
              <w:spacing w:after="0" w:line="164" w:lineRule="exact"/>
              <w:rPr>
                <w:sz w:val="20"/>
                <w:szCs w:val="20"/>
                <w:color w:val="auto"/>
              </w:rPr>
            </w:pPr>
            <w:r>
              <w:rPr>
                <w:rFonts w:ascii="Calibri" w:cs="Calibri" w:eastAsia="Calibri" w:hAnsi="Calibri"/>
                <w:sz w:val="14"/>
                <w:szCs w:val="14"/>
                <w:b w:val="1"/>
                <w:bCs w:val="1"/>
                <w:color w:val="002E6D"/>
              </w:rPr>
              <w:t>James D. Taiclet</w:t>
            </w:r>
          </w:p>
        </w:tc>
        <w:tc>
          <w:tcPr>
            <w:tcW w:w="6000" w:type="dxa"/>
            <w:vAlign w:val="bottom"/>
            <w:tcBorders>
              <w:top w:val="single" w:sz="8" w:color="002E6D"/>
              <w:bottom w:val="single" w:sz="8" w:color="E5E7EF"/>
            </w:tcBorders>
            <w:shd w:val="clear" w:color="auto" w:fill="E5E7EF"/>
          </w:tcPr>
          <w:p>
            <w:pPr>
              <w:ind w:left="20"/>
              <w:spacing w:after="0" w:line="164" w:lineRule="exact"/>
              <w:rPr>
                <w:sz w:val="20"/>
                <w:szCs w:val="20"/>
                <w:color w:val="auto"/>
              </w:rPr>
            </w:pPr>
            <w:r>
              <w:rPr>
                <w:rFonts w:ascii="Calibri" w:cs="Calibri" w:eastAsia="Calibri" w:hAnsi="Calibri"/>
                <w:sz w:val="14"/>
                <w:szCs w:val="14"/>
                <w:color w:val="auto"/>
              </w:rPr>
              <w:t>Lockheed Martn Corporaton Salaried Employee Retrement Program</w:t>
            </w:r>
          </w:p>
        </w:tc>
        <w:tc>
          <w:tcPr>
            <w:tcW w:w="1120" w:type="dxa"/>
            <w:vAlign w:val="bottom"/>
            <w:tcBorders>
              <w:top w:val="single" w:sz="8" w:color="002E6D"/>
              <w:bottom w:val="single" w:sz="8" w:color="E5E7EF"/>
            </w:tcBorders>
            <w:shd w:val="clear" w:color="auto" w:fill="E5E7EF"/>
          </w:tcPr>
          <w:p>
            <w:pPr>
              <w:jc w:val="right"/>
              <w:ind w:right="131"/>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Borders>
              <w:top w:val="single" w:sz="8" w:color="002E6D"/>
              <w:bottom w:val="single" w:sz="8" w:color="E5E7EF"/>
            </w:tcBorders>
            <w:shd w:val="clear" w:color="auto" w:fill="E5E7EF"/>
          </w:tcPr>
          <w:p>
            <w:pPr>
              <w:jc w:val="right"/>
              <w:ind w:right="150"/>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top w:val="single" w:sz="8" w:color="002E6D"/>
              <w:bottom w:val="single" w:sz="8" w:color="E5E7EF"/>
            </w:tcBorders>
            <w:shd w:val="clear" w:color="auto" w:fill="E5E7EF"/>
          </w:tcPr>
          <w:p>
            <w:pPr>
              <w:spacing w:after="0"/>
              <w:rPr>
                <w:sz w:val="17"/>
                <w:szCs w:val="17"/>
                <w:color w:val="auto"/>
              </w:rPr>
            </w:pPr>
          </w:p>
        </w:tc>
        <w:tc>
          <w:tcPr>
            <w:tcW w:w="320" w:type="dxa"/>
            <w:vAlign w:val="bottom"/>
            <w:tcBorders>
              <w:top w:val="single" w:sz="8" w:color="002E6D"/>
              <w:bottom w:val="single" w:sz="8" w:color="E5E7EF"/>
            </w:tcBorders>
            <w:shd w:val="clear" w:color="auto" w:fill="E5E7EF"/>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196"/>
        </w:trPr>
        <w:tc>
          <w:tcPr>
            <w:tcW w:w="1940" w:type="dxa"/>
            <w:vAlign w:val="bottom"/>
          </w:tcPr>
          <w:p>
            <w:pPr>
              <w:spacing w:after="0"/>
              <w:rPr>
                <w:sz w:val="17"/>
                <w:szCs w:val="17"/>
                <w:color w:val="auto"/>
              </w:rPr>
            </w:pPr>
          </w:p>
        </w:tc>
        <w:tc>
          <w:tcPr>
            <w:tcW w:w="6000" w:type="dxa"/>
            <w:vAlign w:val="bottom"/>
            <w:tcBorders>
              <w:top w:val="single" w:sz="8" w:color="939598"/>
              <w:bottom w:val="single" w:sz="8" w:color="E5E7EF"/>
            </w:tcBorders>
            <w:shd w:val="clear" w:color="auto" w:fill="E5E7EF"/>
          </w:tcPr>
          <w:p>
            <w:pPr>
              <w:ind w:left="20"/>
              <w:spacing w:after="0" w:line="164" w:lineRule="exact"/>
              <w:rPr>
                <w:sz w:val="20"/>
                <w:szCs w:val="20"/>
                <w:color w:val="auto"/>
              </w:rPr>
            </w:pPr>
            <w:r>
              <w:rPr>
                <w:rFonts w:ascii="Calibri" w:cs="Calibri" w:eastAsia="Calibri" w:hAnsi="Calibri"/>
                <w:sz w:val="14"/>
                <w:szCs w:val="14"/>
                <w:color w:val="auto"/>
              </w:rPr>
              <w:t>Lockheed Martn Corporaton Consolidated Supplemental Retrement Beneft Plan</w:t>
            </w:r>
          </w:p>
        </w:tc>
        <w:tc>
          <w:tcPr>
            <w:tcW w:w="1120" w:type="dxa"/>
            <w:vAlign w:val="bottom"/>
            <w:tcBorders>
              <w:top w:val="single" w:sz="8" w:color="939598"/>
              <w:bottom w:val="single" w:sz="8" w:color="E5E7EF"/>
            </w:tcBorders>
            <w:shd w:val="clear" w:color="auto" w:fill="E5E7EF"/>
          </w:tcPr>
          <w:p>
            <w:pPr>
              <w:jc w:val="right"/>
              <w:ind w:right="131"/>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Borders>
              <w:top w:val="single" w:sz="8" w:color="939598"/>
              <w:bottom w:val="single" w:sz="8" w:color="E5E7EF"/>
            </w:tcBorders>
            <w:shd w:val="clear" w:color="auto" w:fill="E5E7EF"/>
          </w:tcPr>
          <w:p>
            <w:pPr>
              <w:jc w:val="right"/>
              <w:ind w:right="150"/>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top w:val="single" w:sz="8" w:color="939598"/>
              <w:bottom w:val="single" w:sz="8" w:color="E5E7EF"/>
            </w:tcBorders>
            <w:shd w:val="clear" w:color="auto" w:fill="E5E7EF"/>
          </w:tcPr>
          <w:p>
            <w:pPr>
              <w:spacing w:after="0"/>
              <w:rPr>
                <w:sz w:val="17"/>
                <w:szCs w:val="17"/>
                <w:color w:val="auto"/>
              </w:rPr>
            </w:pPr>
          </w:p>
        </w:tc>
        <w:tc>
          <w:tcPr>
            <w:tcW w:w="320" w:type="dxa"/>
            <w:vAlign w:val="bottom"/>
            <w:tcBorders>
              <w:top w:val="single" w:sz="8" w:color="939598"/>
              <w:bottom w:val="single" w:sz="8" w:color="E5E7EF"/>
            </w:tcBorders>
            <w:shd w:val="clear" w:color="auto" w:fill="E5E7EF"/>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163"/>
        </w:trPr>
        <w:tc>
          <w:tcPr>
            <w:tcW w:w="194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b w:val="1"/>
                <w:bCs w:val="1"/>
                <w:color w:val="002E6D"/>
              </w:rPr>
              <w:t>Jesus Malave</w:t>
            </w:r>
          </w:p>
        </w:tc>
        <w:tc>
          <w:tcPr>
            <w:tcW w:w="600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color w:val="auto"/>
              </w:rPr>
              <w:t>Lockheed Martn Corporaton Salaried Employee Retrement Program</w:t>
            </w:r>
          </w:p>
        </w:tc>
        <w:tc>
          <w:tcPr>
            <w:tcW w:w="1120" w:type="dxa"/>
            <w:vAlign w:val="bottom"/>
            <w:tcBorders>
              <w:top w:val="single" w:sz="8" w:color="939598"/>
            </w:tcBorders>
          </w:tcPr>
          <w:p>
            <w:pPr>
              <w:jc w:val="right"/>
              <w:ind w:right="131"/>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Borders>
              <w:top w:val="single" w:sz="8" w:color="939598"/>
            </w:tcBorders>
          </w:tcPr>
          <w:p>
            <w:pPr>
              <w:jc w:val="right"/>
              <w:ind w:right="150"/>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Borders>
              <w:top w:val="single" w:sz="8" w:color="939598"/>
            </w:tcBorders>
          </w:tcPr>
          <w:p>
            <w:pPr>
              <w:spacing w:after="0"/>
              <w:rPr>
                <w:sz w:val="14"/>
                <w:szCs w:val="14"/>
                <w:color w:val="auto"/>
              </w:rPr>
            </w:pPr>
          </w:p>
        </w:tc>
        <w:tc>
          <w:tcPr>
            <w:tcW w:w="320" w:type="dxa"/>
            <w:vAlign w:val="bottom"/>
            <w:tcBorders>
              <w:top w:val="single" w:sz="8" w:color="939598"/>
            </w:tcBorders>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33"/>
        </w:trPr>
        <w:tc>
          <w:tcPr>
            <w:tcW w:w="1940" w:type="dxa"/>
            <w:vAlign w:val="bottom"/>
          </w:tcPr>
          <w:p>
            <w:pPr>
              <w:spacing w:after="0"/>
              <w:rPr>
                <w:sz w:val="2"/>
                <w:szCs w:val="2"/>
                <w:color w:val="auto"/>
              </w:rPr>
            </w:pPr>
          </w:p>
        </w:tc>
        <w:tc>
          <w:tcPr>
            <w:tcW w:w="600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60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r>
      <w:tr>
        <w:trPr>
          <w:trHeight w:val="163"/>
        </w:trPr>
        <w:tc>
          <w:tcPr>
            <w:tcW w:w="1940" w:type="dxa"/>
            <w:vAlign w:val="bottom"/>
          </w:tcPr>
          <w:p>
            <w:pPr>
              <w:spacing w:after="0"/>
              <w:rPr>
                <w:sz w:val="14"/>
                <w:szCs w:val="14"/>
                <w:color w:val="auto"/>
              </w:rPr>
            </w:pPr>
          </w:p>
        </w:tc>
        <w:tc>
          <w:tcPr>
            <w:tcW w:w="6000" w:type="dxa"/>
            <w:vAlign w:val="bottom"/>
          </w:tcPr>
          <w:p>
            <w:pPr>
              <w:ind w:left="20"/>
              <w:spacing w:after="0" w:line="164" w:lineRule="exact"/>
              <w:rPr>
                <w:sz w:val="20"/>
                <w:szCs w:val="20"/>
                <w:color w:val="auto"/>
              </w:rPr>
            </w:pPr>
            <w:r>
              <w:rPr>
                <w:rFonts w:ascii="Calibri" w:cs="Calibri" w:eastAsia="Calibri" w:hAnsi="Calibri"/>
                <w:sz w:val="14"/>
                <w:szCs w:val="14"/>
                <w:color w:val="auto"/>
              </w:rPr>
              <w:t>Lockheed Martn Corporaton Consolidated Supplemental Retrement Beneft Plan</w:t>
            </w:r>
          </w:p>
        </w:tc>
        <w:tc>
          <w:tcPr>
            <w:tcW w:w="1120" w:type="dxa"/>
            <w:vAlign w:val="bottom"/>
          </w:tcPr>
          <w:p>
            <w:pPr>
              <w:jc w:val="right"/>
              <w:ind w:right="131"/>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Pr>
          <w:p>
            <w:pPr>
              <w:jc w:val="right"/>
              <w:ind w:right="150"/>
              <w:spacing w:after="0" w:line="164" w:lineRule="exact"/>
              <w:rPr>
                <w:sz w:val="20"/>
                <w:szCs w:val="20"/>
                <w:color w:val="auto"/>
              </w:rPr>
            </w:pPr>
            <w:r>
              <w:rPr>
                <w:rFonts w:ascii="Calibri" w:cs="Calibri" w:eastAsia="Calibri" w:hAnsi="Calibri"/>
                <w:sz w:val="14"/>
                <w:szCs w:val="14"/>
                <w:color w:val="auto"/>
              </w:rPr>
              <w:t>—</w:t>
            </w:r>
          </w:p>
        </w:tc>
        <w:tc>
          <w:tcPr>
            <w:tcW w:w="600" w:type="dxa"/>
            <w:vAlign w:val="bottom"/>
          </w:tcPr>
          <w:p>
            <w:pPr>
              <w:spacing w:after="0"/>
              <w:rPr>
                <w:sz w:val="14"/>
                <w:szCs w:val="14"/>
                <w:color w:val="auto"/>
              </w:rPr>
            </w:pPr>
          </w:p>
        </w:tc>
        <w:tc>
          <w:tcPr>
            <w:tcW w:w="320" w:type="dxa"/>
            <w:vAlign w:val="bottom"/>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33"/>
        </w:trPr>
        <w:tc>
          <w:tcPr>
            <w:tcW w:w="1940" w:type="dxa"/>
            <w:vAlign w:val="bottom"/>
            <w:tcBorders>
              <w:bottom w:val="single" w:sz="8" w:color="929292"/>
            </w:tcBorders>
          </w:tcPr>
          <w:p>
            <w:pPr>
              <w:spacing w:after="0"/>
              <w:rPr>
                <w:sz w:val="2"/>
                <w:szCs w:val="2"/>
                <w:color w:val="auto"/>
              </w:rPr>
            </w:pPr>
          </w:p>
        </w:tc>
        <w:tc>
          <w:tcPr>
            <w:tcW w:w="600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60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r>
      <w:tr>
        <w:trPr>
          <w:trHeight w:val="201"/>
        </w:trPr>
        <w:tc>
          <w:tcPr>
            <w:tcW w:w="19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John W. Mollard</w:t>
            </w:r>
          </w:p>
        </w:tc>
        <w:tc>
          <w:tcPr>
            <w:tcW w:w="6000" w:type="dxa"/>
            <w:vAlign w:val="bottom"/>
            <w:tcBorders>
              <w:bottom w:val="single" w:sz="8" w:color="E5E7EF"/>
            </w:tcBorders>
            <w:shd w:val="clear" w:color="auto" w:fill="E5E7EF"/>
          </w:tcPr>
          <w:p>
            <w:pPr>
              <w:ind w:left="20"/>
              <w:spacing w:after="0" w:line="164" w:lineRule="exact"/>
              <w:rPr>
                <w:sz w:val="20"/>
                <w:szCs w:val="20"/>
                <w:color w:val="auto"/>
              </w:rPr>
            </w:pPr>
            <w:r>
              <w:rPr>
                <w:rFonts w:ascii="Calibri" w:cs="Calibri" w:eastAsia="Calibri" w:hAnsi="Calibri"/>
                <w:sz w:val="14"/>
                <w:szCs w:val="14"/>
                <w:color w:val="auto"/>
              </w:rPr>
              <w:t>Lockheed Martn Corporaton Salaried Employee Retrement Program</w:t>
            </w:r>
          </w:p>
        </w:tc>
        <w:tc>
          <w:tcPr>
            <w:tcW w:w="1120" w:type="dxa"/>
            <w:vAlign w:val="bottom"/>
            <w:tcBorders>
              <w:bottom w:val="single" w:sz="8" w:color="E5E7EF"/>
            </w:tcBorders>
            <w:shd w:val="clear" w:color="auto" w:fill="E5E7EF"/>
          </w:tcPr>
          <w:p>
            <w:pPr>
              <w:jc w:val="right"/>
              <w:ind w:right="131"/>
              <w:spacing w:after="0" w:line="164" w:lineRule="exact"/>
              <w:rPr>
                <w:sz w:val="20"/>
                <w:szCs w:val="20"/>
                <w:color w:val="auto"/>
              </w:rPr>
            </w:pPr>
            <w:r>
              <w:rPr>
                <w:rFonts w:ascii="Calibri" w:cs="Calibri" w:eastAsia="Calibri" w:hAnsi="Calibri"/>
                <w:sz w:val="14"/>
                <w:szCs w:val="14"/>
                <w:color w:val="auto"/>
              </w:rPr>
              <w:t>36.8</w:t>
            </w:r>
          </w:p>
        </w:tc>
        <w:tc>
          <w:tcPr>
            <w:tcW w:w="1260" w:type="dxa"/>
            <w:vAlign w:val="bottom"/>
            <w:tcBorders>
              <w:bottom w:val="single" w:sz="8" w:color="E5E7EF"/>
            </w:tcBorders>
            <w:shd w:val="clear" w:color="auto" w:fill="E5E7EF"/>
          </w:tcPr>
          <w:p>
            <w:pPr>
              <w:jc w:val="right"/>
              <w:ind w:right="150"/>
              <w:spacing w:after="0" w:line="164" w:lineRule="exact"/>
              <w:rPr>
                <w:sz w:val="20"/>
                <w:szCs w:val="20"/>
                <w:color w:val="auto"/>
              </w:rPr>
            </w:pPr>
            <w:r>
              <w:rPr>
                <w:rFonts w:ascii="Calibri" w:cs="Calibri" w:eastAsia="Calibri" w:hAnsi="Calibri"/>
                <w:sz w:val="14"/>
                <w:szCs w:val="14"/>
                <w:color w:val="auto"/>
              </w:rPr>
              <w:t>1,657,869</w:t>
            </w:r>
          </w:p>
        </w:tc>
        <w:tc>
          <w:tcPr>
            <w:tcW w:w="600" w:type="dxa"/>
            <w:vAlign w:val="bottom"/>
            <w:tcBorders>
              <w:bottom w:val="single" w:sz="8" w:color="E5E7EF"/>
            </w:tcBorders>
            <w:shd w:val="clear" w:color="auto" w:fill="E5E7EF"/>
          </w:tcPr>
          <w:p>
            <w:pPr>
              <w:spacing w:after="0"/>
              <w:rPr>
                <w:sz w:val="17"/>
                <w:szCs w:val="17"/>
                <w:color w:val="auto"/>
              </w:rPr>
            </w:pPr>
          </w:p>
        </w:tc>
        <w:tc>
          <w:tcPr>
            <w:tcW w:w="320" w:type="dxa"/>
            <w:vAlign w:val="bottom"/>
            <w:tcBorders>
              <w:bottom w:val="single" w:sz="8" w:color="E5E7EF"/>
            </w:tcBorders>
            <w:shd w:val="clear" w:color="auto" w:fill="E5E7EF"/>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196"/>
        </w:trPr>
        <w:tc>
          <w:tcPr>
            <w:tcW w:w="1940" w:type="dxa"/>
            <w:vAlign w:val="bottom"/>
          </w:tcPr>
          <w:p>
            <w:pPr>
              <w:spacing w:after="0"/>
              <w:rPr>
                <w:sz w:val="17"/>
                <w:szCs w:val="17"/>
                <w:color w:val="auto"/>
              </w:rPr>
            </w:pPr>
          </w:p>
        </w:tc>
        <w:tc>
          <w:tcPr>
            <w:tcW w:w="6000" w:type="dxa"/>
            <w:vAlign w:val="bottom"/>
            <w:tcBorders>
              <w:top w:val="single" w:sz="8" w:color="939598"/>
              <w:bottom w:val="single" w:sz="8" w:color="E5E7EF"/>
            </w:tcBorders>
            <w:shd w:val="clear" w:color="auto" w:fill="E5E7EF"/>
          </w:tcPr>
          <w:p>
            <w:pPr>
              <w:ind w:left="20"/>
              <w:spacing w:after="0" w:line="164" w:lineRule="exact"/>
              <w:rPr>
                <w:sz w:val="20"/>
                <w:szCs w:val="20"/>
                <w:color w:val="auto"/>
              </w:rPr>
            </w:pPr>
            <w:r>
              <w:rPr>
                <w:rFonts w:ascii="Calibri" w:cs="Calibri" w:eastAsia="Calibri" w:hAnsi="Calibri"/>
                <w:sz w:val="14"/>
                <w:szCs w:val="14"/>
                <w:color w:val="auto"/>
              </w:rPr>
              <w:t>Lockheed Martn Corporaton Consolidated Supplemental Retrement Beneft Plan</w:t>
            </w:r>
          </w:p>
        </w:tc>
        <w:tc>
          <w:tcPr>
            <w:tcW w:w="1120" w:type="dxa"/>
            <w:vAlign w:val="bottom"/>
            <w:tcBorders>
              <w:top w:val="single" w:sz="8" w:color="939598"/>
              <w:bottom w:val="single" w:sz="8" w:color="E5E7EF"/>
            </w:tcBorders>
            <w:shd w:val="clear" w:color="auto" w:fill="E5E7EF"/>
          </w:tcPr>
          <w:p>
            <w:pPr>
              <w:jc w:val="right"/>
              <w:ind w:right="131"/>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Borders>
              <w:top w:val="single" w:sz="8" w:color="939598"/>
              <w:bottom w:val="single" w:sz="8" w:color="E5E7EF"/>
            </w:tcBorders>
            <w:shd w:val="clear" w:color="auto" w:fill="E5E7EF"/>
          </w:tcPr>
          <w:p>
            <w:pPr>
              <w:jc w:val="right"/>
              <w:ind w:right="150"/>
              <w:spacing w:after="0" w:line="164" w:lineRule="exact"/>
              <w:rPr>
                <w:sz w:val="20"/>
                <w:szCs w:val="20"/>
                <w:color w:val="auto"/>
              </w:rPr>
            </w:pPr>
            <w:r>
              <w:rPr>
                <w:rFonts w:ascii="Calibri" w:cs="Calibri" w:eastAsia="Calibri" w:hAnsi="Calibri"/>
                <w:sz w:val="14"/>
                <w:szCs w:val="14"/>
                <w:color w:val="auto"/>
              </w:rPr>
              <w:t>2,007,318</w:t>
            </w:r>
          </w:p>
        </w:tc>
        <w:tc>
          <w:tcPr>
            <w:tcW w:w="600" w:type="dxa"/>
            <w:vAlign w:val="bottom"/>
            <w:tcBorders>
              <w:top w:val="single" w:sz="8" w:color="939598"/>
              <w:bottom w:val="single" w:sz="8" w:color="E5E7EF"/>
            </w:tcBorders>
            <w:shd w:val="clear" w:color="auto" w:fill="E5E7EF"/>
          </w:tcPr>
          <w:p>
            <w:pPr>
              <w:spacing w:after="0"/>
              <w:rPr>
                <w:sz w:val="17"/>
                <w:szCs w:val="17"/>
                <w:color w:val="auto"/>
              </w:rPr>
            </w:pPr>
          </w:p>
        </w:tc>
        <w:tc>
          <w:tcPr>
            <w:tcW w:w="320" w:type="dxa"/>
            <w:vAlign w:val="bottom"/>
            <w:tcBorders>
              <w:top w:val="single" w:sz="8" w:color="939598"/>
              <w:bottom w:val="single" w:sz="8" w:color="E5E7EF"/>
            </w:tcBorders>
            <w:shd w:val="clear" w:color="auto" w:fill="E5E7EF"/>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163"/>
        </w:trPr>
        <w:tc>
          <w:tcPr>
            <w:tcW w:w="194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b w:val="1"/>
                <w:bCs w:val="1"/>
                <w:color w:val="002E6D"/>
              </w:rPr>
              <w:t>Frank A. St. John</w:t>
            </w:r>
          </w:p>
        </w:tc>
        <w:tc>
          <w:tcPr>
            <w:tcW w:w="600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color w:val="auto"/>
              </w:rPr>
              <w:t>Lockheed Martn Corporaton Salaried Employee Retrement Program</w:t>
            </w:r>
          </w:p>
        </w:tc>
        <w:tc>
          <w:tcPr>
            <w:tcW w:w="1120" w:type="dxa"/>
            <w:vAlign w:val="bottom"/>
            <w:tcBorders>
              <w:top w:val="single" w:sz="8" w:color="939598"/>
            </w:tcBorders>
          </w:tcPr>
          <w:p>
            <w:pPr>
              <w:jc w:val="right"/>
              <w:ind w:right="131"/>
              <w:spacing w:after="0" w:line="164" w:lineRule="exact"/>
              <w:rPr>
                <w:sz w:val="20"/>
                <w:szCs w:val="20"/>
                <w:color w:val="auto"/>
              </w:rPr>
            </w:pPr>
            <w:r>
              <w:rPr>
                <w:rFonts w:ascii="Calibri" w:cs="Calibri" w:eastAsia="Calibri" w:hAnsi="Calibri"/>
                <w:sz w:val="14"/>
                <w:szCs w:val="14"/>
                <w:color w:val="auto"/>
              </w:rPr>
              <w:t>32.6</w:t>
            </w:r>
          </w:p>
        </w:tc>
        <w:tc>
          <w:tcPr>
            <w:tcW w:w="1260" w:type="dxa"/>
            <w:vAlign w:val="bottom"/>
            <w:tcBorders>
              <w:top w:val="single" w:sz="8" w:color="939598"/>
            </w:tcBorders>
          </w:tcPr>
          <w:p>
            <w:pPr>
              <w:jc w:val="right"/>
              <w:ind w:right="150"/>
              <w:spacing w:after="0" w:line="164" w:lineRule="exact"/>
              <w:rPr>
                <w:sz w:val="20"/>
                <w:szCs w:val="20"/>
                <w:color w:val="auto"/>
              </w:rPr>
            </w:pPr>
            <w:r>
              <w:rPr>
                <w:rFonts w:ascii="Calibri" w:cs="Calibri" w:eastAsia="Calibri" w:hAnsi="Calibri"/>
                <w:sz w:val="14"/>
                <w:szCs w:val="14"/>
                <w:color w:val="auto"/>
              </w:rPr>
              <w:t>1,339,370</w:t>
            </w:r>
          </w:p>
        </w:tc>
        <w:tc>
          <w:tcPr>
            <w:tcW w:w="600" w:type="dxa"/>
            <w:vAlign w:val="bottom"/>
            <w:tcBorders>
              <w:top w:val="single" w:sz="8" w:color="939598"/>
            </w:tcBorders>
          </w:tcPr>
          <w:p>
            <w:pPr>
              <w:spacing w:after="0"/>
              <w:rPr>
                <w:sz w:val="14"/>
                <w:szCs w:val="14"/>
                <w:color w:val="auto"/>
              </w:rPr>
            </w:pPr>
          </w:p>
        </w:tc>
        <w:tc>
          <w:tcPr>
            <w:tcW w:w="320" w:type="dxa"/>
            <w:vAlign w:val="bottom"/>
            <w:tcBorders>
              <w:top w:val="single" w:sz="8" w:color="939598"/>
            </w:tcBorders>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33"/>
        </w:trPr>
        <w:tc>
          <w:tcPr>
            <w:tcW w:w="1940" w:type="dxa"/>
            <w:vAlign w:val="bottom"/>
          </w:tcPr>
          <w:p>
            <w:pPr>
              <w:spacing w:after="0"/>
              <w:rPr>
                <w:sz w:val="2"/>
                <w:szCs w:val="2"/>
                <w:color w:val="auto"/>
              </w:rPr>
            </w:pPr>
          </w:p>
        </w:tc>
        <w:tc>
          <w:tcPr>
            <w:tcW w:w="600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60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r>
      <w:tr>
        <w:trPr>
          <w:trHeight w:val="163"/>
        </w:trPr>
        <w:tc>
          <w:tcPr>
            <w:tcW w:w="1940" w:type="dxa"/>
            <w:vAlign w:val="bottom"/>
          </w:tcPr>
          <w:p>
            <w:pPr>
              <w:spacing w:after="0"/>
              <w:rPr>
                <w:sz w:val="14"/>
                <w:szCs w:val="14"/>
                <w:color w:val="auto"/>
              </w:rPr>
            </w:pPr>
          </w:p>
        </w:tc>
        <w:tc>
          <w:tcPr>
            <w:tcW w:w="6000" w:type="dxa"/>
            <w:vAlign w:val="bottom"/>
          </w:tcPr>
          <w:p>
            <w:pPr>
              <w:ind w:left="20"/>
              <w:spacing w:after="0" w:line="164" w:lineRule="exact"/>
              <w:rPr>
                <w:sz w:val="20"/>
                <w:szCs w:val="20"/>
                <w:color w:val="auto"/>
              </w:rPr>
            </w:pPr>
            <w:r>
              <w:rPr>
                <w:rFonts w:ascii="Calibri" w:cs="Calibri" w:eastAsia="Calibri" w:hAnsi="Calibri"/>
                <w:sz w:val="14"/>
                <w:szCs w:val="14"/>
                <w:color w:val="auto"/>
              </w:rPr>
              <w:t>Lockheed Martn Corporaton Consolidated Supplemental Retrement Beneft Plan</w:t>
            </w:r>
          </w:p>
        </w:tc>
        <w:tc>
          <w:tcPr>
            <w:tcW w:w="1120" w:type="dxa"/>
            <w:vAlign w:val="bottom"/>
          </w:tcPr>
          <w:p>
            <w:pPr>
              <w:jc w:val="right"/>
              <w:ind w:right="131"/>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Pr>
          <w:p>
            <w:pPr>
              <w:jc w:val="right"/>
              <w:ind w:right="150"/>
              <w:spacing w:after="0" w:line="164" w:lineRule="exact"/>
              <w:rPr>
                <w:sz w:val="20"/>
                <w:szCs w:val="20"/>
                <w:color w:val="auto"/>
              </w:rPr>
            </w:pPr>
            <w:r>
              <w:rPr>
                <w:rFonts w:ascii="Calibri" w:cs="Calibri" w:eastAsia="Calibri" w:hAnsi="Calibri"/>
                <w:sz w:val="14"/>
                <w:szCs w:val="14"/>
                <w:color w:val="auto"/>
              </w:rPr>
              <w:t>3,172,094</w:t>
            </w:r>
          </w:p>
        </w:tc>
        <w:tc>
          <w:tcPr>
            <w:tcW w:w="600" w:type="dxa"/>
            <w:vAlign w:val="bottom"/>
          </w:tcPr>
          <w:p>
            <w:pPr>
              <w:spacing w:after="0"/>
              <w:rPr>
                <w:sz w:val="14"/>
                <w:szCs w:val="14"/>
                <w:color w:val="auto"/>
              </w:rPr>
            </w:pPr>
          </w:p>
        </w:tc>
        <w:tc>
          <w:tcPr>
            <w:tcW w:w="320" w:type="dxa"/>
            <w:vAlign w:val="bottom"/>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33"/>
        </w:trPr>
        <w:tc>
          <w:tcPr>
            <w:tcW w:w="1940" w:type="dxa"/>
            <w:vAlign w:val="bottom"/>
            <w:tcBorders>
              <w:bottom w:val="single" w:sz="8" w:color="939598"/>
            </w:tcBorders>
          </w:tcPr>
          <w:p>
            <w:pPr>
              <w:spacing w:after="0"/>
              <w:rPr>
                <w:sz w:val="2"/>
                <w:szCs w:val="2"/>
                <w:color w:val="auto"/>
              </w:rPr>
            </w:pPr>
          </w:p>
        </w:tc>
        <w:tc>
          <w:tcPr>
            <w:tcW w:w="600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60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r>
      <w:tr>
        <w:trPr>
          <w:trHeight w:val="201"/>
        </w:trPr>
        <w:tc>
          <w:tcPr>
            <w:tcW w:w="19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Scot T. Greene</w:t>
            </w:r>
          </w:p>
        </w:tc>
        <w:tc>
          <w:tcPr>
            <w:tcW w:w="6000" w:type="dxa"/>
            <w:vAlign w:val="bottom"/>
            <w:tcBorders>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color w:val="auto"/>
              </w:rPr>
              <w:t>Lockheed Martn Corporaton Salaried Employee Retrement Program</w:t>
            </w:r>
          </w:p>
        </w:tc>
        <w:tc>
          <w:tcPr>
            <w:tcW w:w="1120" w:type="dxa"/>
            <w:vAlign w:val="bottom"/>
            <w:tcBorders>
              <w:bottom w:val="single" w:sz="8" w:color="E4E6EF"/>
            </w:tcBorders>
            <w:shd w:val="clear" w:color="auto" w:fill="E4E6EF"/>
          </w:tcPr>
          <w:p>
            <w:pPr>
              <w:jc w:val="right"/>
              <w:ind w:right="131"/>
              <w:spacing w:after="0" w:line="164" w:lineRule="exact"/>
              <w:rPr>
                <w:sz w:val="20"/>
                <w:szCs w:val="20"/>
                <w:color w:val="auto"/>
              </w:rPr>
            </w:pPr>
            <w:r>
              <w:rPr>
                <w:rFonts w:ascii="Calibri" w:cs="Calibri" w:eastAsia="Calibri" w:hAnsi="Calibri"/>
                <w:sz w:val="14"/>
                <w:szCs w:val="14"/>
                <w:color w:val="auto"/>
              </w:rPr>
              <w:t>38.5</w:t>
            </w:r>
          </w:p>
        </w:tc>
        <w:tc>
          <w:tcPr>
            <w:tcW w:w="1260" w:type="dxa"/>
            <w:vAlign w:val="bottom"/>
            <w:tcBorders>
              <w:bottom w:val="single" w:sz="8" w:color="E4E6EF"/>
            </w:tcBorders>
            <w:shd w:val="clear" w:color="auto" w:fill="E4E6EF"/>
          </w:tcPr>
          <w:p>
            <w:pPr>
              <w:jc w:val="right"/>
              <w:ind w:right="150"/>
              <w:spacing w:after="0" w:line="164" w:lineRule="exact"/>
              <w:rPr>
                <w:sz w:val="20"/>
                <w:szCs w:val="20"/>
                <w:color w:val="auto"/>
              </w:rPr>
            </w:pPr>
            <w:r>
              <w:rPr>
                <w:rFonts w:ascii="Calibri" w:cs="Calibri" w:eastAsia="Calibri" w:hAnsi="Calibri"/>
                <w:sz w:val="14"/>
                <w:szCs w:val="14"/>
                <w:color w:val="auto"/>
              </w:rPr>
              <w:t>1,778,895</w:t>
            </w:r>
          </w:p>
        </w:tc>
        <w:tc>
          <w:tcPr>
            <w:tcW w:w="600" w:type="dxa"/>
            <w:vAlign w:val="bottom"/>
            <w:tcBorders>
              <w:bottom w:val="single" w:sz="8" w:color="E4E6EF"/>
            </w:tcBorders>
            <w:shd w:val="clear" w:color="auto" w:fill="E4E6EF"/>
          </w:tcPr>
          <w:p>
            <w:pPr>
              <w:spacing w:after="0"/>
              <w:rPr>
                <w:sz w:val="17"/>
                <w:szCs w:val="17"/>
                <w:color w:val="auto"/>
              </w:rPr>
            </w:pPr>
          </w:p>
        </w:tc>
        <w:tc>
          <w:tcPr>
            <w:tcW w:w="320" w:type="dxa"/>
            <w:vAlign w:val="bottom"/>
            <w:tcBorders>
              <w:bottom w:val="single" w:sz="8" w:color="E4E6EF"/>
            </w:tcBorders>
            <w:shd w:val="clear" w:color="auto" w:fill="E4E6EF"/>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196"/>
        </w:trPr>
        <w:tc>
          <w:tcPr>
            <w:tcW w:w="1940" w:type="dxa"/>
            <w:vAlign w:val="bottom"/>
          </w:tcPr>
          <w:p>
            <w:pPr>
              <w:spacing w:after="0"/>
              <w:rPr>
                <w:sz w:val="17"/>
                <w:szCs w:val="17"/>
                <w:color w:val="auto"/>
              </w:rPr>
            </w:pPr>
          </w:p>
        </w:tc>
        <w:tc>
          <w:tcPr>
            <w:tcW w:w="6000" w:type="dxa"/>
            <w:vAlign w:val="bottom"/>
            <w:tcBorders>
              <w:top w:val="single" w:sz="8" w:color="939598"/>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color w:val="auto"/>
              </w:rPr>
              <w:t>Lockheed Martn Corporaton Consolidated Supplemental Retrement Beneft Plan</w:t>
            </w:r>
          </w:p>
        </w:tc>
        <w:tc>
          <w:tcPr>
            <w:tcW w:w="1120" w:type="dxa"/>
            <w:vAlign w:val="bottom"/>
            <w:tcBorders>
              <w:top w:val="single" w:sz="8" w:color="939598"/>
              <w:bottom w:val="single" w:sz="8" w:color="E4E6EF"/>
            </w:tcBorders>
            <w:shd w:val="clear" w:color="auto" w:fill="E4E6EF"/>
          </w:tcPr>
          <w:p>
            <w:pPr>
              <w:jc w:val="right"/>
              <w:ind w:right="131"/>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Borders>
              <w:top w:val="single" w:sz="8" w:color="939598"/>
              <w:bottom w:val="single" w:sz="8" w:color="E4E6EF"/>
            </w:tcBorders>
            <w:shd w:val="clear" w:color="auto" w:fill="E4E6EF"/>
          </w:tcPr>
          <w:p>
            <w:pPr>
              <w:jc w:val="right"/>
              <w:ind w:right="150"/>
              <w:spacing w:after="0" w:line="164" w:lineRule="exact"/>
              <w:rPr>
                <w:sz w:val="20"/>
                <w:szCs w:val="20"/>
                <w:color w:val="auto"/>
              </w:rPr>
            </w:pPr>
            <w:r>
              <w:rPr>
                <w:rFonts w:ascii="Calibri" w:cs="Calibri" w:eastAsia="Calibri" w:hAnsi="Calibri"/>
                <w:sz w:val="14"/>
                <w:szCs w:val="14"/>
                <w:color w:val="auto"/>
              </w:rPr>
              <w:t>2,001,445</w:t>
            </w:r>
          </w:p>
        </w:tc>
        <w:tc>
          <w:tcPr>
            <w:tcW w:w="600" w:type="dxa"/>
            <w:vAlign w:val="bottom"/>
            <w:tcBorders>
              <w:top w:val="single" w:sz="8" w:color="939598"/>
              <w:bottom w:val="single" w:sz="8" w:color="E4E6EF"/>
            </w:tcBorders>
            <w:shd w:val="clear" w:color="auto" w:fill="E4E6EF"/>
          </w:tcPr>
          <w:p>
            <w:pPr>
              <w:spacing w:after="0"/>
              <w:rPr>
                <w:sz w:val="17"/>
                <w:szCs w:val="17"/>
                <w:color w:val="auto"/>
              </w:rPr>
            </w:pPr>
          </w:p>
        </w:tc>
        <w:tc>
          <w:tcPr>
            <w:tcW w:w="320" w:type="dxa"/>
            <w:vAlign w:val="bottom"/>
            <w:tcBorders>
              <w:top w:val="single" w:sz="8" w:color="939598"/>
              <w:bottom w:val="single" w:sz="8" w:color="E4E6EF"/>
            </w:tcBorders>
            <w:shd w:val="clear" w:color="auto" w:fill="E4E6EF"/>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163"/>
        </w:trPr>
        <w:tc>
          <w:tcPr>
            <w:tcW w:w="194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b w:val="1"/>
                <w:bCs w:val="1"/>
                <w:color w:val="002E6D"/>
              </w:rPr>
              <w:t>Maryanne R. Lavan</w:t>
            </w:r>
          </w:p>
        </w:tc>
        <w:tc>
          <w:tcPr>
            <w:tcW w:w="600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color w:val="auto"/>
              </w:rPr>
              <w:t>Lockheed Martn Corporaton Salaried Employee Retrement Program</w:t>
            </w:r>
          </w:p>
        </w:tc>
        <w:tc>
          <w:tcPr>
            <w:tcW w:w="1120" w:type="dxa"/>
            <w:vAlign w:val="bottom"/>
            <w:tcBorders>
              <w:top w:val="single" w:sz="8" w:color="939598"/>
            </w:tcBorders>
          </w:tcPr>
          <w:p>
            <w:pPr>
              <w:jc w:val="right"/>
              <w:ind w:right="131"/>
              <w:spacing w:after="0" w:line="164" w:lineRule="exact"/>
              <w:rPr>
                <w:sz w:val="20"/>
                <w:szCs w:val="20"/>
                <w:color w:val="auto"/>
              </w:rPr>
            </w:pPr>
            <w:r>
              <w:rPr>
                <w:rFonts w:ascii="Calibri" w:cs="Calibri" w:eastAsia="Calibri" w:hAnsi="Calibri"/>
                <w:sz w:val="14"/>
                <w:szCs w:val="14"/>
                <w:color w:val="auto"/>
              </w:rPr>
              <w:t>29.8</w:t>
            </w:r>
          </w:p>
        </w:tc>
        <w:tc>
          <w:tcPr>
            <w:tcW w:w="1260" w:type="dxa"/>
            <w:vAlign w:val="bottom"/>
            <w:tcBorders>
              <w:top w:val="single" w:sz="8" w:color="939598"/>
            </w:tcBorders>
          </w:tcPr>
          <w:p>
            <w:pPr>
              <w:jc w:val="right"/>
              <w:ind w:right="150"/>
              <w:spacing w:after="0" w:line="164" w:lineRule="exact"/>
              <w:rPr>
                <w:sz w:val="20"/>
                <w:szCs w:val="20"/>
                <w:color w:val="auto"/>
              </w:rPr>
            </w:pPr>
            <w:r>
              <w:rPr>
                <w:rFonts w:ascii="Calibri" w:cs="Calibri" w:eastAsia="Calibri" w:hAnsi="Calibri"/>
                <w:sz w:val="14"/>
                <w:szCs w:val="14"/>
                <w:color w:val="auto"/>
              </w:rPr>
              <w:t>1,439,238</w:t>
            </w:r>
          </w:p>
        </w:tc>
        <w:tc>
          <w:tcPr>
            <w:tcW w:w="600" w:type="dxa"/>
            <w:vAlign w:val="bottom"/>
            <w:tcBorders>
              <w:top w:val="single" w:sz="8" w:color="939598"/>
            </w:tcBorders>
          </w:tcPr>
          <w:p>
            <w:pPr>
              <w:spacing w:after="0"/>
              <w:rPr>
                <w:sz w:val="14"/>
                <w:szCs w:val="14"/>
                <w:color w:val="auto"/>
              </w:rPr>
            </w:pPr>
          </w:p>
        </w:tc>
        <w:tc>
          <w:tcPr>
            <w:tcW w:w="320" w:type="dxa"/>
            <w:vAlign w:val="bottom"/>
            <w:tcBorders>
              <w:top w:val="single" w:sz="8" w:color="939598"/>
            </w:tcBorders>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33"/>
        </w:trPr>
        <w:tc>
          <w:tcPr>
            <w:tcW w:w="1940" w:type="dxa"/>
            <w:vAlign w:val="bottom"/>
          </w:tcPr>
          <w:p>
            <w:pPr>
              <w:spacing w:after="0"/>
              <w:rPr>
                <w:sz w:val="2"/>
                <w:szCs w:val="2"/>
                <w:color w:val="auto"/>
              </w:rPr>
            </w:pPr>
          </w:p>
        </w:tc>
        <w:tc>
          <w:tcPr>
            <w:tcW w:w="600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60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r>
      <w:tr>
        <w:trPr>
          <w:trHeight w:val="163"/>
        </w:trPr>
        <w:tc>
          <w:tcPr>
            <w:tcW w:w="1940" w:type="dxa"/>
            <w:vAlign w:val="bottom"/>
          </w:tcPr>
          <w:p>
            <w:pPr>
              <w:spacing w:after="0"/>
              <w:rPr>
                <w:sz w:val="14"/>
                <w:szCs w:val="14"/>
                <w:color w:val="auto"/>
              </w:rPr>
            </w:pPr>
          </w:p>
        </w:tc>
        <w:tc>
          <w:tcPr>
            <w:tcW w:w="6000" w:type="dxa"/>
            <w:vAlign w:val="bottom"/>
          </w:tcPr>
          <w:p>
            <w:pPr>
              <w:ind w:left="20"/>
              <w:spacing w:after="0" w:line="164" w:lineRule="exact"/>
              <w:rPr>
                <w:sz w:val="20"/>
                <w:szCs w:val="20"/>
                <w:color w:val="auto"/>
              </w:rPr>
            </w:pPr>
            <w:r>
              <w:rPr>
                <w:rFonts w:ascii="Calibri" w:cs="Calibri" w:eastAsia="Calibri" w:hAnsi="Calibri"/>
                <w:sz w:val="14"/>
                <w:szCs w:val="14"/>
                <w:color w:val="auto"/>
              </w:rPr>
              <w:t>Lockheed Martn Corporaton Consolidated Supplemental Retrement Beneft Plan</w:t>
            </w:r>
          </w:p>
        </w:tc>
        <w:tc>
          <w:tcPr>
            <w:tcW w:w="1120" w:type="dxa"/>
            <w:vAlign w:val="bottom"/>
          </w:tcPr>
          <w:p>
            <w:pPr>
              <w:jc w:val="right"/>
              <w:ind w:right="131"/>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Pr>
          <w:p>
            <w:pPr>
              <w:jc w:val="right"/>
              <w:ind w:right="150"/>
              <w:spacing w:after="0" w:line="164" w:lineRule="exact"/>
              <w:rPr>
                <w:sz w:val="20"/>
                <w:szCs w:val="20"/>
                <w:color w:val="auto"/>
              </w:rPr>
            </w:pPr>
            <w:r>
              <w:rPr>
                <w:rFonts w:ascii="Calibri" w:cs="Calibri" w:eastAsia="Calibri" w:hAnsi="Calibri"/>
                <w:sz w:val="14"/>
                <w:szCs w:val="14"/>
                <w:color w:val="auto"/>
              </w:rPr>
              <w:t>9,614,394</w:t>
            </w:r>
          </w:p>
        </w:tc>
        <w:tc>
          <w:tcPr>
            <w:tcW w:w="600" w:type="dxa"/>
            <w:vAlign w:val="bottom"/>
          </w:tcPr>
          <w:p>
            <w:pPr>
              <w:spacing w:after="0"/>
              <w:rPr>
                <w:sz w:val="14"/>
                <w:szCs w:val="14"/>
                <w:color w:val="auto"/>
              </w:rPr>
            </w:pPr>
          </w:p>
        </w:tc>
        <w:tc>
          <w:tcPr>
            <w:tcW w:w="320" w:type="dxa"/>
            <w:vAlign w:val="bottom"/>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33"/>
        </w:trPr>
        <w:tc>
          <w:tcPr>
            <w:tcW w:w="1940" w:type="dxa"/>
            <w:vAlign w:val="bottom"/>
            <w:tcBorders>
              <w:bottom w:val="single" w:sz="8" w:color="939598"/>
            </w:tcBorders>
          </w:tcPr>
          <w:p>
            <w:pPr>
              <w:spacing w:after="0"/>
              <w:rPr>
                <w:sz w:val="2"/>
                <w:szCs w:val="2"/>
                <w:color w:val="auto"/>
              </w:rPr>
            </w:pPr>
          </w:p>
        </w:tc>
        <w:tc>
          <w:tcPr>
            <w:tcW w:w="6000" w:type="dxa"/>
            <w:vAlign w:val="bottom"/>
            <w:tcBorders>
              <w:bottom w:val="single" w:sz="8" w:color="939598"/>
            </w:tcBorders>
          </w:tcPr>
          <w:p>
            <w:pPr>
              <w:spacing w:after="0"/>
              <w:rPr>
                <w:sz w:val="2"/>
                <w:szCs w:val="2"/>
                <w:color w:val="auto"/>
              </w:rPr>
            </w:pPr>
          </w:p>
        </w:tc>
        <w:tc>
          <w:tcPr>
            <w:tcW w:w="112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60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r>
      <w:tr>
        <w:trPr>
          <w:trHeight w:val="201"/>
        </w:trPr>
        <w:tc>
          <w:tcPr>
            <w:tcW w:w="194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Gregory M. Ulmer</w:t>
            </w:r>
          </w:p>
        </w:tc>
        <w:tc>
          <w:tcPr>
            <w:tcW w:w="6000" w:type="dxa"/>
            <w:vAlign w:val="bottom"/>
            <w:tcBorders>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color w:val="auto"/>
              </w:rPr>
              <w:t>Lockheed Martn Corporaton Salaried Employee Retrement Program</w:t>
            </w:r>
          </w:p>
        </w:tc>
        <w:tc>
          <w:tcPr>
            <w:tcW w:w="1120" w:type="dxa"/>
            <w:vAlign w:val="bottom"/>
            <w:tcBorders>
              <w:bottom w:val="single" w:sz="8" w:color="E4E6EF"/>
            </w:tcBorders>
            <w:shd w:val="clear" w:color="auto" w:fill="E4E6EF"/>
          </w:tcPr>
          <w:p>
            <w:pPr>
              <w:jc w:val="right"/>
              <w:ind w:right="131"/>
              <w:spacing w:after="0" w:line="164" w:lineRule="exact"/>
              <w:rPr>
                <w:sz w:val="20"/>
                <w:szCs w:val="20"/>
                <w:color w:val="auto"/>
              </w:rPr>
            </w:pPr>
            <w:r>
              <w:rPr>
                <w:rFonts w:ascii="Calibri" w:cs="Calibri" w:eastAsia="Calibri" w:hAnsi="Calibri"/>
                <w:sz w:val="14"/>
                <w:szCs w:val="14"/>
                <w:color w:val="auto"/>
              </w:rPr>
              <w:t>24.7</w:t>
            </w:r>
          </w:p>
        </w:tc>
        <w:tc>
          <w:tcPr>
            <w:tcW w:w="1260" w:type="dxa"/>
            <w:vAlign w:val="bottom"/>
            <w:tcBorders>
              <w:bottom w:val="single" w:sz="8" w:color="E4E6EF"/>
            </w:tcBorders>
            <w:shd w:val="clear" w:color="auto" w:fill="E4E6EF"/>
          </w:tcPr>
          <w:p>
            <w:pPr>
              <w:jc w:val="right"/>
              <w:ind w:right="150"/>
              <w:spacing w:after="0" w:line="164" w:lineRule="exact"/>
              <w:rPr>
                <w:sz w:val="20"/>
                <w:szCs w:val="20"/>
                <w:color w:val="auto"/>
              </w:rPr>
            </w:pPr>
            <w:r>
              <w:rPr>
                <w:rFonts w:ascii="Calibri" w:cs="Calibri" w:eastAsia="Calibri" w:hAnsi="Calibri"/>
                <w:sz w:val="14"/>
                <w:szCs w:val="14"/>
                <w:color w:val="auto"/>
              </w:rPr>
              <w:t>1,194,689</w:t>
            </w:r>
          </w:p>
        </w:tc>
        <w:tc>
          <w:tcPr>
            <w:tcW w:w="600" w:type="dxa"/>
            <w:vAlign w:val="bottom"/>
            <w:tcBorders>
              <w:bottom w:val="single" w:sz="8" w:color="E4E6EF"/>
            </w:tcBorders>
            <w:shd w:val="clear" w:color="auto" w:fill="E4E6EF"/>
          </w:tcPr>
          <w:p>
            <w:pPr>
              <w:spacing w:after="0"/>
              <w:rPr>
                <w:sz w:val="17"/>
                <w:szCs w:val="17"/>
                <w:color w:val="auto"/>
              </w:rPr>
            </w:pPr>
          </w:p>
        </w:tc>
        <w:tc>
          <w:tcPr>
            <w:tcW w:w="320" w:type="dxa"/>
            <w:vAlign w:val="bottom"/>
            <w:tcBorders>
              <w:bottom w:val="single" w:sz="8" w:color="E4E6EF"/>
            </w:tcBorders>
            <w:shd w:val="clear" w:color="auto" w:fill="E4E6EF"/>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196"/>
        </w:trPr>
        <w:tc>
          <w:tcPr>
            <w:tcW w:w="1940" w:type="dxa"/>
            <w:vAlign w:val="bottom"/>
          </w:tcPr>
          <w:p>
            <w:pPr>
              <w:spacing w:after="0"/>
              <w:rPr>
                <w:sz w:val="17"/>
                <w:szCs w:val="17"/>
                <w:color w:val="auto"/>
              </w:rPr>
            </w:pPr>
          </w:p>
        </w:tc>
        <w:tc>
          <w:tcPr>
            <w:tcW w:w="6000" w:type="dxa"/>
            <w:vAlign w:val="bottom"/>
            <w:tcBorders>
              <w:top w:val="single" w:sz="8" w:color="939598"/>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color w:val="auto"/>
              </w:rPr>
              <w:t>Lockheed Martn Corporaton Consolidated Supplemental Retrement Beneft Plan</w:t>
            </w:r>
          </w:p>
        </w:tc>
        <w:tc>
          <w:tcPr>
            <w:tcW w:w="1120" w:type="dxa"/>
            <w:vAlign w:val="bottom"/>
            <w:tcBorders>
              <w:top w:val="single" w:sz="8" w:color="939598"/>
              <w:bottom w:val="single" w:sz="8" w:color="E4E6EF"/>
            </w:tcBorders>
            <w:shd w:val="clear" w:color="auto" w:fill="E4E6EF"/>
          </w:tcPr>
          <w:p>
            <w:pPr>
              <w:jc w:val="right"/>
              <w:ind w:right="131"/>
              <w:spacing w:after="0" w:line="164" w:lineRule="exact"/>
              <w:rPr>
                <w:sz w:val="20"/>
                <w:szCs w:val="20"/>
                <w:color w:val="auto"/>
              </w:rPr>
            </w:pPr>
            <w:r>
              <w:rPr>
                <w:rFonts w:ascii="Calibri" w:cs="Calibri" w:eastAsia="Calibri" w:hAnsi="Calibri"/>
                <w:sz w:val="14"/>
                <w:szCs w:val="14"/>
                <w:color w:val="auto"/>
              </w:rPr>
              <w:t>—</w:t>
            </w:r>
          </w:p>
        </w:tc>
        <w:tc>
          <w:tcPr>
            <w:tcW w:w="1260" w:type="dxa"/>
            <w:vAlign w:val="bottom"/>
            <w:tcBorders>
              <w:top w:val="single" w:sz="8" w:color="939598"/>
              <w:bottom w:val="single" w:sz="8" w:color="E4E6EF"/>
            </w:tcBorders>
            <w:shd w:val="clear" w:color="auto" w:fill="E4E6EF"/>
          </w:tcPr>
          <w:p>
            <w:pPr>
              <w:jc w:val="right"/>
              <w:ind w:right="150"/>
              <w:spacing w:after="0" w:line="164" w:lineRule="exact"/>
              <w:rPr>
                <w:sz w:val="20"/>
                <w:szCs w:val="20"/>
                <w:color w:val="auto"/>
              </w:rPr>
            </w:pPr>
            <w:r>
              <w:rPr>
                <w:rFonts w:ascii="Calibri" w:cs="Calibri" w:eastAsia="Calibri" w:hAnsi="Calibri"/>
                <w:sz w:val="14"/>
                <w:szCs w:val="14"/>
                <w:color w:val="auto"/>
              </w:rPr>
              <w:t>882,629</w:t>
            </w:r>
          </w:p>
        </w:tc>
        <w:tc>
          <w:tcPr>
            <w:tcW w:w="600" w:type="dxa"/>
            <w:vAlign w:val="bottom"/>
            <w:tcBorders>
              <w:top w:val="single" w:sz="8" w:color="939598"/>
              <w:bottom w:val="single" w:sz="8" w:color="E4E6EF"/>
            </w:tcBorders>
            <w:shd w:val="clear" w:color="auto" w:fill="E4E6EF"/>
          </w:tcPr>
          <w:p>
            <w:pPr>
              <w:spacing w:after="0"/>
              <w:rPr>
                <w:sz w:val="17"/>
                <w:szCs w:val="17"/>
                <w:color w:val="auto"/>
              </w:rPr>
            </w:pPr>
          </w:p>
        </w:tc>
        <w:tc>
          <w:tcPr>
            <w:tcW w:w="320" w:type="dxa"/>
            <w:vAlign w:val="bottom"/>
            <w:tcBorders>
              <w:top w:val="single" w:sz="8" w:color="939598"/>
              <w:bottom w:val="single" w:sz="8" w:color="E4E6EF"/>
            </w:tcBorders>
            <w:shd w:val="clear" w:color="auto" w:fill="E4E6EF"/>
          </w:tcPr>
          <w:p>
            <w:pPr>
              <w:ind w:left="140"/>
              <w:spacing w:after="0" w:line="164" w:lineRule="exact"/>
              <w:rPr>
                <w:sz w:val="20"/>
                <w:szCs w:val="20"/>
                <w:color w:val="auto"/>
              </w:rPr>
            </w:pPr>
            <w:r>
              <w:rPr>
                <w:rFonts w:ascii="Calibri" w:cs="Calibri" w:eastAsia="Calibri" w:hAnsi="Calibri"/>
                <w:sz w:val="14"/>
                <w:szCs w:val="14"/>
                <w:color w:val="auto"/>
              </w:rPr>
              <w:t>—</w:t>
            </w:r>
          </w:p>
        </w:tc>
      </w:tr>
      <w:tr>
        <w:trPr>
          <w:trHeight w:val="910"/>
        </w:trPr>
        <w:tc>
          <w:tcPr>
            <w:tcW w:w="1940" w:type="dxa"/>
            <w:vAlign w:val="bottom"/>
            <w:tcBorders>
              <w:top w:val="single" w:sz="8" w:color="9D9D9C"/>
            </w:tcBorders>
          </w:tcPr>
          <w:p>
            <w:pPr>
              <w:ind w:left="20"/>
              <w:spacing w:after="0"/>
              <w:rPr>
                <w:sz w:val="20"/>
                <w:szCs w:val="20"/>
                <w:color w:val="auto"/>
              </w:rPr>
            </w:pPr>
            <w:r>
              <w:rPr>
                <w:rFonts w:ascii="Arial" w:cs="Arial" w:eastAsia="Arial" w:hAnsi="Arial"/>
                <w:sz w:val="14"/>
                <w:szCs w:val="14"/>
                <w:color w:val="003478"/>
              </w:rPr>
              <w:t>www.lockheedmartin.com</w:t>
            </w:r>
          </w:p>
        </w:tc>
        <w:tc>
          <w:tcPr>
            <w:tcW w:w="6000" w:type="dxa"/>
            <w:vAlign w:val="bottom"/>
            <w:tcBorders>
              <w:top w:val="single" w:sz="8" w:color="9D9D9C"/>
            </w:tcBorders>
          </w:tcPr>
          <w:p>
            <w:pPr>
              <w:spacing w:after="0"/>
              <w:rPr>
                <w:sz w:val="24"/>
                <w:szCs w:val="24"/>
                <w:color w:val="auto"/>
              </w:rPr>
            </w:pPr>
          </w:p>
        </w:tc>
        <w:tc>
          <w:tcPr>
            <w:tcW w:w="1120" w:type="dxa"/>
            <w:vAlign w:val="bottom"/>
            <w:tcBorders>
              <w:top w:val="single" w:sz="8" w:color="9D9D9C"/>
            </w:tcBorders>
          </w:tcPr>
          <w:p>
            <w:pPr>
              <w:spacing w:after="0"/>
              <w:rPr>
                <w:sz w:val="24"/>
                <w:szCs w:val="24"/>
                <w:color w:val="auto"/>
              </w:rPr>
            </w:pPr>
          </w:p>
        </w:tc>
        <w:tc>
          <w:tcPr>
            <w:tcW w:w="1860" w:type="dxa"/>
            <w:vAlign w:val="bottom"/>
            <w:tcBorders>
              <w:top w:val="single" w:sz="8" w:color="9D9D9C"/>
            </w:tcBorders>
            <w:gridSpan w:val="2"/>
          </w:tcPr>
          <w:p>
            <w:pPr>
              <w:ind w:left="300"/>
              <w:spacing w:after="0"/>
              <w:rPr>
                <w:sz w:val="20"/>
                <w:szCs w:val="20"/>
                <w:color w:val="auto"/>
              </w:rPr>
            </w:pPr>
            <w:r>
              <w:rPr>
                <w:rFonts w:ascii="Arial" w:cs="Arial" w:eastAsia="Arial" w:hAnsi="Arial"/>
                <w:sz w:val="14"/>
                <w:szCs w:val="14"/>
                <w:color w:val="003478"/>
              </w:rPr>
              <w:t>2023 Proxy Statement</w:t>
            </w:r>
          </w:p>
        </w:tc>
        <w:tc>
          <w:tcPr>
            <w:tcW w:w="320" w:type="dxa"/>
            <w:vAlign w:val="bottom"/>
            <w:tcBorders>
              <w:top w:val="single" w:sz="8" w:color="9D9D9C"/>
            </w:tcBorders>
          </w:tcPr>
          <w:p>
            <w:pPr>
              <w:ind w:left="140"/>
              <w:spacing w:after="0"/>
              <w:rPr>
                <w:sz w:val="20"/>
                <w:szCs w:val="20"/>
                <w:color w:val="auto"/>
              </w:rPr>
            </w:pPr>
            <w:r>
              <w:rPr>
                <w:rFonts w:ascii="Arial" w:cs="Arial" w:eastAsia="Arial" w:hAnsi="Arial"/>
                <w:sz w:val="14"/>
                <w:szCs w:val="14"/>
                <w:b w:val="1"/>
                <w:bCs w:val="1"/>
                <w:color w:val="959595"/>
              </w:rPr>
              <w:t>65</w:t>
            </w:r>
          </w:p>
        </w:tc>
      </w:tr>
      <w:tr>
        <w:trPr>
          <w:trHeight w:val="319"/>
        </w:trPr>
        <w:tc>
          <w:tcPr>
            <w:tcW w:w="194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1" w:name="page72"/>
    <w:bookmarkEnd w:id="71"/>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3" w:lineRule="exact"/>
        <w:rPr>
          <w:sz w:val="20"/>
          <w:szCs w:val="20"/>
          <w:color w:val="auto"/>
        </w:rPr>
      </w:pPr>
    </w:p>
    <w:p>
      <w:pPr>
        <w:ind w:left="260" w:right="60" w:hanging="252"/>
        <w:spacing w:after="0" w:line="213" w:lineRule="auto"/>
        <w:tabs>
          <w:tab w:leader="none" w:pos="256" w:val="left"/>
        </w:tabs>
        <w:numPr>
          <w:ilvl w:val="0"/>
          <w:numId w:val="93"/>
        </w:numPr>
        <w:rPr>
          <w:rFonts w:ascii="Calibri" w:cs="Calibri" w:eastAsia="Calibri" w:hAnsi="Calibri"/>
          <w:sz w:val="19"/>
          <w:szCs w:val="19"/>
          <w:color w:val="auto"/>
          <w:vertAlign w:val="superscript"/>
        </w:rPr>
      </w:pPr>
      <w:r>
        <w:rPr>
          <w:rFonts w:ascii="Calibri" w:cs="Calibri" w:eastAsia="Calibri" w:hAnsi="Calibri"/>
          <w:sz w:val="14"/>
          <w:szCs w:val="14"/>
          <w:color w:val="auto"/>
        </w:rPr>
        <w:t>The Number of Years of Credited Service is three years less than the actual number of years of service for the NEOs listed in the table as increases in service ceased to be taken into account efectve January 1, 2020.</w:t>
      </w:r>
    </w:p>
    <w:p>
      <w:pPr>
        <w:spacing w:after="0" w:line="74" w:lineRule="exact"/>
        <w:rPr>
          <w:rFonts w:ascii="Calibri" w:cs="Calibri" w:eastAsia="Calibri" w:hAnsi="Calibri"/>
          <w:sz w:val="19"/>
          <w:szCs w:val="19"/>
          <w:color w:val="auto"/>
          <w:vertAlign w:val="superscript"/>
        </w:rPr>
      </w:pPr>
    </w:p>
    <w:p>
      <w:pPr>
        <w:ind w:left="260" w:right="40" w:hanging="252"/>
        <w:spacing w:after="0" w:line="247" w:lineRule="auto"/>
        <w:tabs>
          <w:tab w:leader="none" w:pos="256" w:val="left"/>
        </w:tabs>
        <w:numPr>
          <w:ilvl w:val="0"/>
          <w:numId w:val="93"/>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The amounts reported in the </w:t>
      </w:r>
      <w:r>
        <w:rPr>
          <w:rFonts w:ascii="Calibri" w:cs="Calibri" w:eastAsia="Calibri" w:hAnsi="Calibri"/>
          <w:sz w:val="14"/>
          <w:szCs w:val="14"/>
          <w:b w:val="1"/>
          <w:bCs w:val="1"/>
          <w:color w:val="auto"/>
        </w:rPr>
        <w:t>Present Value of Accumulated Beneft</w:t>
      </w:r>
      <w:r>
        <w:rPr>
          <w:rFonts w:ascii="Calibri" w:cs="Calibri" w:eastAsia="Calibri" w:hAnsi="Calibri"/>
          <w:sz w:val="14"/>
          <w:szCs w:val="14"/>
          <w:color w:val="auto"/>
        </w:rPr>
        <w:t xml:space="preserve"> column were computed using the same assumptons we used to account for pension liabilites in our fnancial statements and as described in Note 11 to our fnancial statements contained in our 2022 Annual Report, except that the amounts were calculated based on benefts commencing at age 60 (or current age if greater). We used these ages rather than the plan’s normal retrement age of 65 because an employee may commence receiving pension benefts at age 60 without any reducton for early commencement. Amounts paid under our plans use assumptons contained in the plans and may be diferent than those used for fnancial statement reportng purposes. If a NEO is eligible to elect a lump sum payment under the Supplemental Pension, the amount of the lump sum would be based on plan assumptons and not the assumptons used for fnancial statement reportng purposes. As a result, the actual lump sum payment would be an amount diferent than what is reported in this table. The age of the NEO at retrement would also impact the size of the lump sum payment.</w:t>
      </w:r>
    </w:p>
    <w:p>
      <w:pPr>
        <w:spacing w:after="0" w:line="69" w:lineRule="exact"/>
        <w:rPr>
          <w:rFonts w:ascii="Calibri" w:cs="Calibri" w:eastAsia="Calibri" w:hAnsi="Calibri"/>
          <w:sz w:val="19"/>
          <w:szCs w:val="19"/>
          <w:color w:val="auto"/>
          <w:vertAlign w:val="superscript"/>
        </w:rPr>
      </w:pPr>
    </w:p>
    <w:p>
      <w:pPr>
        <w:ind w:left="260" w:right="80" w:hanging="252"/>
        <w:spacing w:after="0" w:line="223" w:lineRule="auto"/>
        <w:tabs>
          <w:tab w:leader="none" w:pos="256" w:val="left"/>
        </w:tabs>
        <w:numPr>
          <w:ilvl w:val="0"/>
          <w:numId w:val="93"/>
        </w:numPr>
        <w:rPr>
          <w:rFonts w:ascii="Calibri" w:cs="Calibri" w:eastAsia="Calibri" w:hAnsi="Calibri"/>
          <w:sz w:val="19"/>
          <w:szCs w:val="19"/>
          <w:color w:val="auto"/>
          <w:vertAlign w:val="superscript"/>
        </w:rPr>
      </w:pPr>
      <w:r>
        <w:rPr>
          <w:rFonts w:ascii="Calibri" w:cs="Calibri" w:eastAsia="Calibri" w:hAnsi="Calibri"/>
          <w:sz w:val="14"/>
          <w:szCs w:val="14"/>
          <w:color w:val="auto"/>
        </w:rPr>
        <w:t>Mr. Greene and Mr. Mollard began receiving qualifed pension payments and supplemental pension payments for benefts accrued prior to January 1, 2005 on January 1, 2023. Mr. Mollard will receive his supplemental pension payments for benefts accrued afer December 31, 2004 in a lump sum on July 1, 2023. Mr. Greene will begin to receive his supplemental pension payments for benefts accrued afer December 31, 2004 on July 1, 2023.</w:t>
      </w:r>
    </w:p>
    <w:p>
      <w:pPr>
        <w:spacing w:after="0" w:line="111" w:lineRule="exact"/>
        <w:rPr>
          <w:sz w:val="20"/>
          <w:szCs w:val="20"/>
          <w:color w:val="auto"/>
        </w:rPr>
      </w:pPr>
    </w:p>
    <w:p>
      <w:pPr>
        <w:spacing w:after="0"/>
        <w:rPr>
          <w:sz w:val="20"/>
          <w:szCs w:val="20"/>
          <w:color w:val="auto"/>
        </w:rPr>
      </w:pPr>
      <w:r>
        <w:rPr>
          <w:rFonts w:ascii="Arial" w:cs="Arial" w:eastAsia="Arial" w:hAnsi="Arial"/>
          <w:sz w:val="29"/>
          <w:szCs w:val="29"/>
          <w:color w:val="003478"/>
        </w:rPr>
        <w:t>Nonqualified Deferred Compensation</w:t>
      </w:r>
    </w:p>
    <w:p>
      <w:pPr>
        <w:spacing w:after="0" w:line="144" w:lineRule="exact"/>
        <w:rPr>
          <w:sz w:val="20"/>
          <w:szCs w:val="20"/>
          <w:color w:val="auto"/>
        </w:rPr>
      </w:pPr>
    </w:p>
    <w:p>
      <w:pPr>
        <w:spacing w:after="0" w:line="255" w:lineRule="auto"/>
        <w:rPr>
          <w:sz w:val="20"/>
          <w:szCs w:val="20"/>
          <w:color w:val="auto"/>
        </w:rPr>
      </w:pPr>
      <w:r>
        <w:rPr>
          <w:rFonts w:ascii="Calibri" w:cs="Calibri" w:eastAsia="Calibri" w:hAnsi="Calibri"/>
          <w:sz w:val="17"/>
          <w:szCs w:val="17"/>
          <w:color w:val="auto"/>
        </w:rPr>
        <w:t>In general, partcipants in our tax-qualifed defned contributon plan may elect to defer up to 40% of base salary on a pre-tax, Roth, and/or afer-tax basis. In additon, we make a matching contributon equal to 50% of up to the frst 8% of base salary contributed by the partcipant plus a nonelectve contributon equal to 6% of the partcipant’s base pay. Employee and Company matching contributons in excess of the Internal Revenue Code limitatons may be contributed to a nonqualifed defned contributon plan called the Lockheed Martn Corporaton Supplemental Savings Plan (NQSSP) on a pre-tax basis at the electon of the NEO. We also make Company nonelectve contributons in excess of the Internal Revenue Code limitatons to a nonqualifed defned contributon excess plan called the Lockheed Martn Corporaton Nonqualifed Capital Accumulaton Plan (NCAP) equal to 6% of the NEO’s base salary. Employee contributons and Company matching and nonelectve contributons to the plans are nonforfeitable at all tmes. NQSSP and NCAP contributons are credited with earnings or losses based on the investment optons in which the account has been invested, as elected by the partcipant. Each of the NQSSP and NCAP investment optons is available under our tax-qualifed defned contributon plan for salaried employees. The NQSSP and NCAP provide for payment following terminaton of employment in a lump sum or up to 25 annual installments at the partcipant’s electon. All amounts accumulated and unpaid under the NQSSP and NCAP must be paid in a lump sum within 15 calendar days following a change in control.</w:t>
      </w:r>
    </w:p>
    <w:p>
      <w:pPr>
        <w:spacing w:after="0" w:line="126" w:lineRule="exact"/>
        <w:rPr>
          <w:sz w:val="20"/>
          <w:szCs w:val="20"/>
          <w:color w:val="auto"/>
        </w:rPr>
      </w:pPr>
    </w:p>
    <w:p>
      <w:pPr>
        <w:spacing w:after="0" w:line="256" w:lineRule="auto"/>
        <w:rPr>
          <w:sz w:val="20"/>
          <w:szCs w:val="20"/>
          <w:color w:val="auto"/>
        </w:rPr>
      </w:pPr>
      <w:r>
        <w:rPr>
          <w:rFonts w:ascii="Calibri" w:cs="Calibri" w:eastAsia="Calibri" w:hAnsi="Calibri"/>
          <w:sz w:val="17"/>
          <w:szCs w:val="17"/>
          <w:color w:val="auto"/>
        </w:rPr>
        <w:t>The Deferred Management Incentve Compensaton Plan (DMICP) is a nonqualifed deferred compensaton plan that provides the opportunity to defer, untl terminaton of employment or beyond, the receipt of all or a porton of annual incentve payouts and LTIP awards. NEOs may elect any of the investment funds available in the NQSSP (with the excepton of the Company Stock Fund) and two investment alternatves available only under the DMICP for creditng earnings (losses). Under the DMICP Stock Investment Opton, earnings (losses) on deferred amounts will accrue at a rate that tracks the performance of our common stock, including reinvestment of dividends. Under the DMICP Interest Investment Opton, earnings accrue at a rate equivalent to the then published rate for computng the present value of future benefts under Cost Accountng Standards 415, Deferred Compensaton (CAS 415 rate). The Interest Investment Opton was closed to new deferrals and transfers from other investment optons efectve July 1, 2009. Amounts credited to the Stock Investment Opton may not be reallocated to other optons and will be paid in shares of our common stock upon distributon. The DMICP provides for payment in January or July following terminaton of employment in a lump sum or up to 25 annual installments at the NEO’s electon. All amounts accumulated under the DMICP must be paid in a lump sum within 15 days following a change in control.</w:t>
      </w:r>
    </w:p>
    <w:p>
      <w:pPr>
        <w:spacing w:after="0" w:line="105"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reports compensaton earned by the NEOs and deferred under NQSSP, NCAP and DMICP.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341630</wp:posOffset>
            </wp:positionV>
            <wp:extent cx="1071880" cy="1803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2" w:name="page73"/>
    <w:bookmarkEnd w:id="72"/>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Nonqualified Deferred Compensation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20" w:type="dxa"/>
            <w:vAlign w:val="bottom"/>
            <w:shd w:val="clear" w:color="auto" w:fill="E5E7EF"/>
          </w:tcPr>
          <w:p>
            <w:pPr>
              <w:spacing w:after="0"/>
              <w:rPr>
                <w:sz w:val="13"/>
                <w:szCs w:val="13"/>
                <w:color w:val="auto"/>
              </w:rPr>
            </w:pPr>
          </w:p>
        </w:tc>
        <w:tc>
          <w:tcPr>
            <w:tcW w:w="1360" w:type="dxa"/>
            <w:vAlign w:val="bottom"/>
            <w:shd w:val="clear" w:color="auto" w:fill="E5E7EF"/>
          </w:tcPr>
          <w:p>
            <w:pPr>
              <w:spacing w:after="0"/>
              <w:rPr>
                <w:sz w:val="13"/>
                <w:szCs w:val="13"/>
                <w:color w:val="auto"/>
              </w:rPr>
            </w:pPr>
          </w:p>
        </w:tc>
        <w:tc>
          <w:tcPr>
            <w:tcW w:w="1300" w:type="dxa"/>
            <w:vAlign w:val="bottom"/>
            <w:shd w:val="clear" w:color="auto" w:fill="E5E7EF"/>
          </w:tcPr>
          <w:p>
            <w:pPr>
              <w:spacing w:after="0"/>
              <w:rPr>
                <w:sz w:val="13"/>
                <w:szCs w:val="13"/>
                <w:color w:val="auto"/>
              </w:rPr>
            </w:pPr>
          </w:p>
        </w:tc>
        <w:tc>
          <w:tcPr>
            <w:tcW w:w="1100" w:type="dxa"/>
            <w:vAlign w:val="bottom"/>
            <w:shd w:val="clear" w:color="auto" w:fill="E5E7EF"/>
          </w:tcPr>
          <w:p>
            <w:pPr>
              <w:spacing w:after="0"/>
              <w:rPr>
                <w:sz w:val="13"/>
                <w:szCs w:val="13"/>
                <w:color w:val="auto"/>
              </w:rPr>
            </w:pPr>
          </w:p>
        </w:tc>
        <w:tc>
          <w:tcPr>
            <w:tcW w:w="1080" w:type="dxa"/>
            <w:vAlign w:val="bottom"/>
            <w:shd w:val="clear" w:color="auto" w:fill="E5E7EF"/>
          </w:tcPr>
          <w:p>
            <w:pPr>
              <w:spacing w:after="0"/>
              <w:rPr>
                <w:sz w:val="13"/>
                <w:szCs w:val="13"/>
                <w:color w:val="auto"/>
              </w:rPr>
            </w:pPr>
          </w:p>
        </w:tc>
        <w:tc>
          <w:tcPr>
            <w:tcW w:w="110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Aggregate</w:t>
            </w:r>
          </w:p>
        </w:tc>
        <w:tc>
          <w:tcPr>
            <w:tcW w:w="820" w:type="dxa"/>
            <w:vAlign w:val="bottom"/>
            <w:shd w:val="clear" w:color="auto" w:fill="E5E7EF"/>
          </w:tcPr>
          <w:p>
            <w:pPr>
              <w:spacing w:after="0"/>
              <w:rPr>
                <w:sz w:val="13"/>
                <w:szCs w:val="13"/>
                <w:color w:val="auto"/>
              </w:rPr>
            </w:pPr>
          </w:p>
        </w:tc>
      </w:tr>
      <w:tr>
        <w:trPr>
          <w:trHeight w:val="148"/>
        </w:trPr>
        <w:tc>
          <w:tcPr>
            <w:tcW w:w="4420" w:type="dxa"/>
            <w:vAlign w:val="bottom"/>
            <w:shd w:val="clear" w:color="auto" w:fill="E5E7EF"/>
          </w:tcPr>
          <w:p>
            <w:pPr>
              <w:spacing w:after="0"/>
              <w:rPr>
                <w:sz w:val="12"/>
                <w:szCs w:val="12"/>
                <w:color w:val="auto"/>
              </w:rPr>
            </w:pPr>
          </w:p>
        </w:tc>
        <w:tc>
          <w:tcPr>
            <w:tcW w:w="1360" w:type="dxa"/>
            <w:vAlign w:val="bottom"/>
            <w:shd w:val="clear" w:color="auto" w:fill="E5E7EF"/>
          </w:tcPr>
          <w:p>
            <w:pPr>
              <w:spacing w:after="0"/>
              <w:rPr>
                <w:sz w:val="12"/>
                <w:szCs w:val="12"/>
                <w:color w:val="auto"/>
              </w:rPr>
            </w:pPr>
          </w:p>
        </w:tc>
        <w:tc>
          <w:tcPr>
            <w:tcW w:w="130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Executive</w:t>
            </w:r>
          </w:p>
        </w:tc>
        <w:tc>
          <w:tcPr>
            <w:tcW w:w="110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Registrant</w:t>
            </w:r>
          </w:p>
        </w:tc>
        <w:tc>
          <w:tcPr>
            <w:tcW w:w="1080" w:type="dxa"/>
            <w:vAlign w:val="bottom"/>
            <w:shd w:val="clear" w:color="auto" w:fill="E5E7EF"/>
          </w:tcPr>
          <w:p>
            <w:pPr>
              <w:jc w:val="right"/>
              <w:ind w:right="149"/>
              <w:spacing w:after="0"/>
              <w:rPr>
                <w:sz w:val="20"/>
                <w:szCs w:val="20"/>
                <w:color w:val="auto"/>
              </w:rPr>
            </w:pPr>
            <w:r>
              <w:rPr>
                <w:rFonts w:ascii="Arial" w:cs="Arial" w:eastAsia="Arial" w:hAnsi="Arial"/>
                <w:sz w:val="13"/>
                <w:szCs w:val="13"/>
                <w:color w:val="auto"/>
              </w:rPr>
              <w:t>Aggregate</w:t>
            </w:r>
          </w:p>
        </w:tc>
        <w:tc>
          <w:tcPr>
            <w:tcW w:w="110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Withdrawals/</w:t>
            </w:r>
          </w:p>
        </w:tc>
        <w:tc>
          <w:tcPr>
            <w:tcW w:w="8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Aggregate</w:t>
            </w:r>
          </w:p>
        </w:tc>
      </w:tr>
      <w:tr>
        <w:trPr>
          <w:trHeight w:val="152"/>
        </w:trPr>
        <w:tc>
          <w:tcPr>
            <w:tcW w:w="4420" w:type="dxa"/>
            <w:vAlign w:val="bottom"/>
            <w:shd w:val="clear" w:color="auto" w:fill="E5E7EF"/>
          </w:tcPr>
          <w:p>
            <w:pPr>
              <w:spacing w:after="0"/>
              <w:rPr>
                <w:sz w:val="13"/>
                <w:szCs w:val="13"/>
                <w:color w:val="auto"/>
              </w:rPr>
            </w:pPr>
          </w:p>
        </w:tc>
        <w:tc>
          <w:tcPr>
            <w:tcW w:w="1360" w:type="dxa"/>
            <w:vAlign w:val="bottom"/>
            <w:shd w:val="clear" w:color="auto" w:fill="E5E7EF"/>
          </w:tcPr>
          <w:p>
            <w:pPr>
              <w:spacing w:after="0"/>
              <w:rPr>
                <w:sz w:val="13"/>
                <w:szCs w:val="13"/>
                <w:color w:val="auto"/>
              </w:rPr>
            </w:pPr>
          </w:p>
        </w:tc>
        <w:tc>
          <w:tcPr>
            <w:tcW w:w="130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Contributions</w:t>
            </w:r>
          </w:p>
        </w:tc>
        <w:tc>
          <w:tcPr>
            <w:tcW w:w="110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Contributions</w:t>
            </w:r>
          </w:p>
        </w:tc>
        <w:tc>
          <w:tcPr>
            <w:tcW w:w="2180" w:type="dxa"/>
            <w:vAlign w:val="bottom"/>
            <w:gridSpan w:val="2"/>
            <w:shd w:val="clear" w:color="auto" w:fill="E5E7EF"/>
          </w:tcPr>
          <w:p>
            <w:pPr>
              <w:jc w:val="right"/>
              <w:ind w:right="89"/>
              <w:spacing w:after="0"/>
              <w:rPr>
                <w:sz w:val="20"/>
                <w:szCs w:val="20"/>
                <w:color w:val="auto"/>
              </w:rPr>
            </w:pPr>
            <w:r>
              <w:rPr>
                <w:rFonts w:ascii="Arial" w:cs="Arial" w:eastAsia="Arial" w:hAnsi="Arial"/>
                <w:sz w:val="13"/>
                <w:szCs w:val="13"/>
                <w:color w:val="auto"/>
              </w:rPr>
              <w:t>Earnings in Distributions in Last</w:t>
            </w:r>
          </w:p>
        </w:tc>
        <w:tc>
          <w:tcPr>
            <w:tcW w:w="8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Balance at</w:t>
            </w:r>
          </w:p>
        </w:tc>
      </w:tr>
      <w:tr>
        <w:trPr>
          <w:trHeight w:val="204"/>
        </w:trPr>
        <w:tc>
          <w:tcPr>
            <w:tcW w:w="4420" w:type="dxa"/>
            <w:vAlign w:val="bottom"/>
            <w:shd w:val="clear" w:color="auto" w:fill="E5E7EF"/>
          </w:tcPr>
          <w:p>
            <w:pPr>
              <w:spacing w:after="0"/>
              <w:rPr>
                <w:sz w:val="17"/>
                <w:szCs w:val="17"/>
                <w:color w:val="auto"/>
              </w:rPr>
            </w:pPr>
          </w:p>
        </w:tc>
        <w:tc>
          <w:tcPr>
            <w:tcW w:w="1360" w:type="dxa"/>
            <w:vAlign w:val="bottom"/>
            <w:shd w:val="clear" w:color="auto" w:fill="E5E7EF"/>
          </w:tcPr>
          <w:p>
            <w:pPr>
              <w:spacing w:after="0"/>
              <w:rPr>
                <w:sz w:val="17"/>
                <w:szCs w:val="17"/>
                <w:color w:val="auto"/>
              </w:rPr>
            </w:pPr>
          </w:p>
        </w:tc>
        <w:tc>
          <w:tcPr>
            <w:tcW w:w="130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in Last FY</w:t>
            </w:r>
            <w:r>
              <w:rPr>
                <w:rFonts w:ascii="Arial" w:cs="Arial" w:eastAsia="Arial" w:hAnsi="Arial"/>
                <w:sz w:val="16"/>
                <w:szCs w:val="16"/>
                <w:color w:val="auto"/>
                <w:vertAlign w:val="superscript"/>
              </w:rPr>
              <w:t>(1)</w:t>
            </w:r>
          </w:p>
        </w:tc>
        <w:tc>
          <w:tcPr>
            <w:tcW w:w="110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in Last FY</w:t>
            </w:r>
            <w:r>
              <w:rPr>
                <w:rFonts w:ascii="Arial" w:cs="Arial" w:eastAsia="Arial" w:hAnsi="Arial"/>
                <w:sz w:val="16"/>
                <w:szCs w:val="16"/>
                <w:color w:val="auto"/>
                <w:vertAlign w:val="superscript"/>
              </w:rPr>
              <w:t>(2)</w:t>
            </w:r>
          </w:p>
        </w:tc>
        <w:tc>
          <w:tcPr>
            <w:tcW w:w="1080" w:type="dxa"/>
            <w:vAlign w:val="bottom"/>
            <w:shd w:val="clear" w:color="auto" w:fill="E5E7EF"/>
          </w:tcPr>
          <w:p>
            <w:pPr>
              <w:jc w:val="right"/>
              <w:ind w:right="149"/>
              <w:spacing w:after="0"/>
              <w:rPr>
                <w:sz w:val="20"/>
                <w:szCs w:val="20"/>
                <w:color w:val="auto"/>
              </w:rPr>
            </w:pPr>
            <w:r>
              <w:rPr>
                <w:rFonts w:ascii="Arial" w:cs="Arial" w:eastAsia="Arial" w:hAnsi="Arial"/>
                <w:sz w:val="13"/>
                <w:szCs w:val="13"/>
                <w:color w:val="auto"/>
              </w:rPr>
              <w:t>Last FY</w:t>
            </w:r>
          </w:p>
        </w:tc>
        <w:tc>
          <w:tcPr>
            <w:tcW w:w="1100" w:type="dxa"/>
            <w:vAlign w:val="bottom"/>
            <w:shd w:val="clear" w:color="auto" w:fill="E5E7EF"/>
          </w:tcPr>
          <w:p>
            <w:pPr>
              <w:ind w:left="780"/>
              <w:spacing w:after="0"/>
              <w:rPr>
                <w:sz w:val="20"/>
                <w:szCs w:val="20"/>
                <w:color w:val="auto"/>
              </w:rPr>
            </w:pPr>
            <w:r>
              <w:rPr>
                <w:rFonts w:ascii="Arial" w:cs="Arial" w:eastAsia="Arial" w:hAnsi="Arial"/>
                <w:sz w:val="13"/>
                <w:szCs w:val="13"/>
                <w:color w:val="auto"/>
              </w:rPr>
              <w:t>FY</w:t>
            </w:r>
          </w:p>
        </w:tc>
        <w:tc>
          <w:tcPr>
            <w:tcW w:w="8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Last FYE</w:t>
            </w:r>
            <w:r>
              <w:rPr>
                <w:rFonts w:ascii="Arial" w:cs="Arial" w:eastAsia="Arial" w:hAnsi="Arial"/>
                <w:sz w:val="16"/>
                <w:szCs w:val="16"/>
                <w:color w:val="auto"/>
                <w:vertAlign w:val="superscript"/>
              </w:rPr>
              <w:t>(3)</w:t>
            </w:r>
          </w:p>
        </w:tc>
      </w:tr>
      <w:tr>
        <w:trPr>
          <w:trHeight w:val="208"/>
        </w:trPr>
        <w:tc>
          <w:tcPr>
            <w:tcW w:w="44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360" w:type="dxa"/>
            <w:vAlign w:val="bottom"/>
            <w:tcBorders>
              <w:bottom w:val="single" w:sz="8" w:color="E5E7EF"/>
            </w:tcBorders>
            <w:shd w:val="clear" w:color="auto" w:fill="E5E7EF"/>
          </w:tcPr>
          <w:p>
            <w:pPr>
              <w:spacing w:after="0"/>
              <w:rPr>
                <w:sz w:val="17"/>
                <w:szCs w:val="17"/>
                <w:color w:val="auto"/>
              </w:rPr>
            </w:pPr>
          </w:p>
        </w:tc>
        <w:tc>
          <w:tcPr>
            <w:tcW w:w="1300" w:type="dxa"/>
            <w:vAlign w:val="bottom"/>
            <w:tcBorders>
              <w:bottom w:val="single" w:sz="8" w:color="E5E7EF"/>
            </w:tcBorders>
            <w:shd w:val="clear" w:color="auto" w:fill="E5E7EF"/>
          </w:tcPr>
          <w:p>
            <w:pPr>
              <w:jc w:val="right"/>
              <w:ind w:right="89"/>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5E7EF"/>
            </w:tcBorders>
            <w:shd w:val="clear" w:color="auto" w:fill="E5E7EF"/>
          </w:tcPr>
          <w:p>
            <w:pPr>
              <w:jc w:val="right"/>
              <w:ind w:right="10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5E7EF"/>
            </w:tcBorders>
            <w:shd w:val="clear" w:color="auto" w:fill="E5E7EF"/>
          </w:tcPr>
          <w:p>
            <w:pPr>
              <w:jc w:val="right"/>
              <w:ind w:right="149"/>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5E7EF"/>
            </w:tcBorders>
            <w:shd w:val="clear" w:color="auto" w:fill="E5E7EF"/>
          </w:tcPr>
          <w:p>
            <w:pPr>
              <w:ind w:left="7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4420" w:type="dxa"/>
            <w:vAlign w:val="bottom"/>
            <w:tcBorders>
              <w:top w:val="single" w:sz="8" w:color="002E6D"/>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1360" w:type="dxa"/>
            <w:vAlign w:val="bottom"/>
            <w:tcBorders>
              <w:top w:val="single" w:sz="8" w:color="002E6D"/>
              <w:bottom w:val="single" w:sz="8" w:color="E5E7EF"/>
            </w:tcBorders>
            <w:shd w:val="clear" w:color="auto" w:fill="E5E7EF"/>
          </w:tcPr>
          <w:p>
            <w:pPr>
              <w:spacing w:after="0"/>
              <w:rPr>
                <w:sz w:val="17"/>
                <w:szCs w:val="17"/>
                <w:color w:val="auto"/>
              </w:rPr>
            </w:pPr>
          </w:p>
        </w:tc>
        <w:tc>
          <w:tcPr>
            <w:tcW w:w="1300" w:type="dxa"/>
            <w:vAlign w:val="bottom"/>
            <w:tcBorders>
              <w:top w:val="single" w:sz="8" w:color="002E6D"/>
              <w:bottom w:val="single" w:sz="8" w:color="E5E7EF"/>
            </w:tcBorders>
            <w:shd w:val="clear" w:color="auto" w:fill="E5E7EF"/>
          </w:tcPr>
          <w:p>
            <w:pPr>
              <w:jc w:val="right"/>
              <w:ind w:right="89"/>
              <w:spacing w:after="0"/>
              <w:rPr>
                <w:sz w:val="20"/>
                <w:szCs w:val="20"/>
                <w:color w:val="auto"/>
              </w:rPr>
            </w:pPr>
            <w:r>
              <w:rPr>
                <w:rFonts w:ascii="Arial" w:cs="Arial" w:eastAsia="Arial" w:hAnsi="Arial"/>
                <w:sz w:val="13"/>
                <w:szCs w:val="13"/>
                <w:color w:val="auto"/>
              </w:rPr>
              <w:t>(b)</w:t>
            </w:r>
          </w:p>
        </w:tc>
        <w:tc>
          <w:tcPr>
            <w:tcW w:w="1100" w:type="dxa"/>
            <w:vAlign w:val="bottom"/>
            <w:tcBorders>
              <w:top w:val="single" w:sz="8" w:color="002E6D"/>
              <w:bottom w:val="single" w:sz="8" w:color="E5E7EF"/>
            </w:tcBorders>
            <w:shd w:val="clear" w:color="auto" w:fill="E5E7EF"/>
          </w:tcPr>
          <w:p>
            <w:pPr>
              <w:jc w:val="right"/>
              <w:ind w:right="109"/>
              <w:spacing w:after="0"/>
              <w:rPr>
                <w:sz w:val="20"/>
                <w:szCs w:val="20"/>
                <w:color w:val="auto"/>
              </w:rPr>
            </w:pPr>
            <w:r>
              <w:rPr>
                <w:rFonts w:ascii="Arial" w:cs="Arial" w:eastAsia="Arial" w:hAnsi="Arial"/>
                <w:sz w:val="13"/>
                <w:szCs w:val="13"/>
                <w:color w:val="auto"/>
              </w:rPr>
              <w:t>(c)</w:t>
            </w:r>
          </w:p>
        </w:tc>
        <w:tc>
          <w:tcPr>
            <w:tcW w:w="1080" w:type="dxa"/>
            <w:vAlign w:val="bottom"/>
            <w:tcBorders>
              <w:top w:val="single" w:sz="8" w:color="002E6D"/>
              <w:bottom w:val="single" w:sz="8" w:color="E5E7EF"/>
            </w:tcBorders>
            <w:shd w:val="clear" w:color="auto" w:fill="E5E7EF"/>
          </w:tcPr>
          <w:p>
            <w:pPr>
              <w:jc w:val="right"/>
              <w:ind w:right="149"/>
              <w:spacing w:after="0"/>
              <w:rPr>
                <w:sz w:val="20"/>
                <w:szCs w:val="20"/>
                <w:color w:val="auto"/>
              </w:rPr>
            </w:pPr>
            <w:r>
              <w:rPr>
                <w:rFonts w:ascii="Arial" w:cs="Arial" w:eastAsia="Arial" w:hAnsi="Arial"/>
                <w:sz w:val="13"/>
                <w:szCs w:val="13"/>
                <w:color w:val="auto"/>
              </w:rPr>
              <w:t>(d)</w:t>
            </w:r>
          </w:p>
        </w:tc>
        <w:tc>
          <w:tcPr>
            <w:tcW w:w="1100" w:type="dxa"/>
            <w:vAlign w:val="bottom"/>
            <w:tcBorders>
              <w:top w:val="single" w:sz="8" w:color="002E6D"/>
              <w:bottom w:val="single" w:sz="8" w:color="E5E7EF"/>
            </w:tcBorders>
            <w:shd w:val="clear" w:color="auto" w:fill="E5E7EF"/>
          </w:tcPr>
          <w:p>
            <w:pPr>
              <w:ind w:left="780"/>
              <w:spacing w:after="0"/>
              <w:rPr>
                <w:sz w:val="20"/>
                <w:szCs w:val="20"/>
                <w:color w:val="auto"/>
              </w:rPr>
            </w:pPr>
            <w:r>
              <w:rPr>
                <w:rFonts w:ascii="Arial" w:cs="Arial" w:eastAsia="Arial" w:hAnsi="Arial"/>
                <w:sz w:val="13"/>
                <w:szCs w:val="13"/>
                <w:color w:val="auto"/>
              </w:rPr>
              <w:t>(e)</w:t>
            </w:r>
          </w:p>
        </w:tc>
        <w:tc>
          <w:tcPr>
            <w:tcW w:w="82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(f)</w:t>
            </w:r>
          </w:p>
        </w:tc>
      </w:tr>
      <w:tr>
        <w:trPr>
          <w:trHeight w:val="176"/>
        </w:trPr>
        <w:tc>
          <w:tcPr>
            <w:tcW w:w="4420" w:type="dxa"/>
            <w:vAlign w:val="bottom"/>
            <w:tcBorders>
              <w:top w:val="single" w:sz="8" w:color="002E6D"/>
            </w:tcBorders>
          </w:tcPr>
          <w:p>
            <w:pPr>
              <w:ind w:left="20"/>
              <w:spacing w:after="0" w:line="164" w:lineRule="exact"/>
              <w:rPr>
                <w:sz w:val="20"/>
                <w:szCs w:val="20"/>
                <w:color w:val="auto"/>
              </w:rPr>
            </w:pPr>
            <w:r>
              <w:rPr>
                <w:rFonts w:ascii="Calibri" w:cs="Calibri" w:eastAsia="Calibri" w:hAnsi="Calibri"/>
                <w:sz w:val="14"/>
                <w:szCs w:val="14"/>
                <w:b w:val="1"/>
                <w:bCs w:val="1"/>
                <w:color w:val="002E6D"/>
              </w:rPr>
              <w:t>James D. Taiclet</w:t>
            </w:r>
          </w:p>
        </w:tc>
        <w:tc>
          <w:tcPr>
            <w:tcW w:w="136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NQSSP</w:t>
            </w:r>
          </w:p>
        </w:tc>
        <w:tc>
          <w:tcPr>
            <w:tcW w:w="1300" w:type="dxa"/>
            <w:vAlign w:val="bottom"/>
            <w:tcBorders>
              <w:top w:val="single" w:sz="8" w:color="002E6D"/>
              <w:bottom w:val="single" w:sz="8" w:color="E5E7EF"/>
            </w:tcBorders>
            <w:shd w:val="clear" w:color="auto" w:fill="E5E7EF"/>
          </w:tcPr>
          <w:p>
            <w:pPr>
              <w:jc w:val="right"/>
              <w:ind w:right="129"/>
              <w:spacing w:after="0" w:line="164" w:lineRule="exact"/>
              <w:rPr>
                <w:sz w:val="20"/>
                <w:szCs w:val="20"/>
                <w:color w:val="auto"/>
              </w:rPr>
            </w:pPr>
            <w:r>
              <w:rPr>
                <w:rFonts w:ascii="Calibri" w:cs="Calibri" w:eastAsia="Calibri" w:hAnsi="Calibri"/>
                <w:sz w:val="14"/>
                <w:szCs w:val="14"/>
                <w:color w:val="auto"/>
              </w:rPr>
              <w:t>399,740</w:t>
            </w:r>
          </w:p>
        </w:tc>
        <w:tc>
          <w:tcPr>
            <w:tcW w:w="1100" w:type="dxa"/>
            <w:vAlign w:val="bottom"/>
            <w:tcBorders>
              <w:top w:val="single" w:sz="8" w:color="002E6D"/>
              <w:bottom w:val="single" w:sz="8" w:color="E5E7EF"/>
            </w:tcBorders>
            <w:shd w:val="clear" w:color="auto" w:fill="E5E7EF"/>
          </w:tcPr>
          <w:p>
            <w:pPr>
              <w:jc w:val="right"/>
              <w:ind w:right="149"/>
              <w:spacing w:after="0" w:line="164" w:lineRule="exact"/>
              <w:rPr>
                <w:sz w:val="20"/>
                <w:szCs w:val="20"/>
                <w:color w:val="auto"/>
              </w:rPr>
            </w:pPr>
            <w:r>
              <w:rPr>
                <w:rFonts w:ascii="Calibri" w:cs="Calibri" w:eastAsia="Calibri" w:hAnsi="Calibri"/>
                <w:sz w:val="14"/>
                <w:szCs w:val="14"/>
                <w:color w:val="auto"/>
              </w:rPr>
              <w:t>66,623</w:t>
            </w:r>
          </w:p>
        </w:tc>
        <w:tc>
          <w:tcPr>
            <w:tcW w:w="1080" w:type="dxa"/>
            <w:vAlign w:val="bottom"/>
            <w:tcBorders>
              <w:top w:val="single" w:sz="8" w:color="002E6D"/>
              <w:bottom w:val="single" w:sz="8" w:color="E5E7EF"/>
            </w:tcBorders>
            <w:shd w:val="clear" w:color="auto" w:fill="E5E7EF"/>
          </w:tcPr>
          <w:p>
            <w:pPr>
              <w:jc w:val="right"/>
              <w:ind w:right="169"/>
              <w:spacing w:after="0" w:line="164" w:lineRule="exact"/>
              <w:rPr>
                <w:sz w:val="20"/>
                <w:szCs w:val="20"/>
                <w:color w:val="auto"/>
              </w:rPr>
            </w:pPr>
            <w:r>
              <w:rPr>
                <w:rFonts w:ascii="Calibri" w:cs="Calibri" w:eastAsia="Calibri" w:hAnsi="Calibri"/>
                <w:sz w:val="14"/>
                <w:szCs w:val="14"/>
                <w:color w:val="auto"/>
              </w:rPr>
              <w:t>(21,856)</w:t>
            </w:r>
          </w:p>
        </w:tc>
        <w:tc>
          <w:tcPr>
            <w:tcW w:w="1100" w:type="dxa"/>
            <w:vAlign w:val="bottom"/>
            <w:tcBorders>
              <w:top w:val="single" w:sz="8" w:color="002E6D"/>
              <w:bottom w:val="single" w:sz="8" w:color="E5E7EF"/>
            </w:tcBorders>
            <w:shd w:val="clear" w:color="auto" w:fill="E5E7EF"/>
          </w:tcPr>
          <w:p>
            <w:pPr>
              <w:ind w:left="760"/>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top w:val="single" w:sz="8" w:color="002E6D"/>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927,068</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color w:val="auto"/>
              </w:rPr>
              <w:t>NCAP</w:t>
            </w:r>
          </w:p>
        </w:tc>
        <w:tc>
          <w:tcPr>
            <w:tcW w:w="13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149"/>
              <w:spacing w:after="0"/>
              <w:rPr>
                <w:sz w:val="20"/>
                <w:szCs w:val="20"/>
                <w:color w:val="auto"/>
              </w:rPr>
            </w:pPr>
            <w:r>
              <w:rPr>
                <w:rFonts w:ascii="Calibri" w:cs="Calibri" w:eastAsia="Calibri" w:hAnsi="Calibri"/>
                <w:sz w:val="14"/>
                <w:szCs w:val="14"/>
                <w:color w:val="auto"/>
              </w:rPr>
              <w:t>86,760</w:t>
            </w:r>
          </w:p>
        </w:tc>
        <w:tc>
          <w:tcPr>
            <w:tcW w:w="1080" w:type="dxa"/>
            <w:vAlign w:val="bottom"/>
          </w:tcPr>
          <w:p>
            <w:pPr>
              <w:jc w:val="right"/>
              <w:ind w:right="169"/>
              <w:spacing w:after="0"/>
              <w:rPr>
                <w:sz w:val="20"/>
                <w:szCs w:val="20"/>
                <w:color w:val="auto"/>
              </w:rPr>
            </w:pPr>
            <w:r>
              <w:rPr>
                <w:rFonts w:ascii="Calibri" w:cs="Calibri" w:eastAsia="Calibri" w:hAnsi="Calibri"/>
                <w:sz w:val="14"/>
                <w:szCs w:val="14"/>
                <w:color w:val="auto"/>
              </w:rPr>
              <w:t>(17,039)</w:t>
            </w:r>
          </w:p>
        </w:tc>
        <w:tc>
          <w:tcPr>
            <w:tcW w:w="1100" w:type="dxa"/>
            <w:vAlign w:val="bottom"/>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204,506</w:t>
            </w:r>
          </w:p>
        </w:tc>
      </w:tr>
      <w:tr>
        <w:trPr>
          <w:trHeight w:val="33"/>
        </w:trPr>
        <w:tc>
          <w:tcPr>
            <w:tcW w:w="4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4420" w:type="dxa"/>
            <w:vAlign w:val="bottom"/>
          </w:tcPr>
          <w:p>
            <w:pPr>
              <w:spacing w:after="0"/>
              <w:rPr>
                <w:sz w:val="15"/>
                <w:szCs w:val="15"/>
                <w:color w:val="auto"/>
              </w:rPr>
            </w:pPr>
          </w:p>
        </w:tc>
        <w:tc>
          <w:tcPr>
            <w:tcW w:w="13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DMICP</w:t>
            </w:r>
          </w:p>
        </w:tc>
        <w:tc>
          <w:tcPr>
            <w:tcW w:w="1300" w:type="dxa"/>
            <w:vAlign w:val="bottom"/>
            <w:tcBorders>
              <w:bottom w:val="single" w:sz="8" w:color="E5E7EF"/>
            </w:tcBorders>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5E7EF"/>
            </w:tcBorders>
            <w:shd w:val="clear" w:color="auto" w:fill="E5E7EF"/>
          </w:tcPr>
          <w:p>
            <w:pPr>
              <w:jc w:val="right"/>
              <w:ind w:right="149"/>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E5E7EF"/>
            </w:tcBorders>
            <w:shd w:val="clear" w:color="auto" w:fill="E5E7EF"/>
          </w:tcPr>
          <w:p>
            <w:pPr>
              <w:jc w:val="right"/>
              <w:ind w:right="18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5E7EF"/>
            </w:tcBorders>
            <w:shd w:val="clear" w:color="auto" w:fill="E5E7EF"/>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b w:val="1"/>
                <w:bCs w:val="1"/>
                <w:color w:val="auto"/>
              </w:rPr>
              <w:t>TOTAL</w:t>
            </w:r>
          </w:p>
        </w:tc>
        <w:tc>
          <w:tcPr>
            <w:tcW w:w="1300" w:type="dxa"/>
            <w:vAlign w:val="bottom"/>
          </w:tcPr>
          <w:p>
            <w:pPr>
              <w:jc w:val="right"/>
              <w:ind w:right="129"/>
              <w:spacing w:after="0"/>
              <w:rPr>
                <w:sz w:val="20"/>
                <w:szCs w:val="20"/>
                <w:color w:val="auto"/>
              </w:rPr>
            </w:pPr>
            <w:r>
              <w:rPr>
                <w:rFonts w:ascii="Calibri" w:cs="Calibri" w:eastAsia="Calibri" w:hAnsi="Calibri"/>
                <w:sz w:val="14"/>
                <w:szCs w:val="14"/>
                <w:b w:val="1"/>
                <w:bCs w:val="1"/>
                <w:color w:val="auto"/>
              </w:rPr>
              <w:t>399,740</w:t>
            </w:r>
          </w:p>
        </w:tc>
        <w:tc>
          <w:tcPr>
            <w:tcW w:w="1100" w:type="dxa"/>
            <w:vAlign w:val="bottom"/>
          </w:tcPr>
          <w:p>
            <w:pPr>
              <w:jc w:val="right"/>
              <w:ind w:right="149"/>
              <w:spacing w:after="0"/>
              <w:rPr>
                <w:sz w:val="20"/>
                <w:szCs w:val="20"/>
                <w:color w:val="auto"/>
              </w:rPr>
            </w:pPr>
            <w:r>
              <w:rPr>
                <w:rFonts w:ascii="Calibri" w:cs="Calibri" w:eastAsia="Calibri" w:hAnsi="Calibri"/>
                <w:sz w:val="14"/>
                <w:szCs w:val="14"/>
                <w:b w:val="1"/>
                <w:bCs w:val="1"/>
                <w:color w:val="auto"/>
              </w:rPr>
              <w:t>153,383</w:t>
            </w:r>
          </w:p>
        </w:tc>
        <w:tc>
          <w:tcPr>
            <w:tcW w:w="1080" w:type="dxa"/>
            <w:vAlign w:val="bottom"/>
          </w:tcPr>
          <w:p>
            <w:pPr>
              <w:jc w:val="right"/>
              <w:ind w:right="169"/>
              <w:spacing w:after="0"/>
              <w:rPr>
                <w:sz w:val="20"/>
                <w:szCs w:val="20"/>
                <w:color w:val="auto"/>
              </w:rPr>
            </w:pPr>
            <w:r>
              <w:rPr>
                <w:rFonts w:ascii="Calibri" w:cs="Calibri" w:eastAsia="Calibri" w:hAnsi="Calibri"/>
                <w:sz w:val="14"/>
                <w:szCs w:val="14"/>
                <w:b w:val="1"/>
                <w:bCs w:val="1"/>
                <w:color w:val="auto"/>
              </w:rPr>
              <w:t>(38,895)</w:t>
            </w:r>
          </w:p>
        </w:tc>
        <w:tc>
          <w:tcPr>
            <w:tcW w:w="1100" w:type="dxa"/>
            <w:vAlign w:val="bottom"/>
          </w:tcPr>
          <w:p>
            <w:pPr>
              <w:ind w:left="760"/>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b w:val="1"/>
                <w:bCs w:val="1"/>
                <w:color w:val="auto"/>
              </w:rPr>
              <w:t>1,131,574</w:t>
            </w:r>
          </w:p>
        </w:tc>
      </w:tr>
      <w:tr>
        <w:trPr>
          <w:trHeight w:val="33"/>
        </w:trPr>
        <w:tc>
          <w:tcPr>
            <w:tcW w:w="4420" w:type="dxa"/>
            <w:vAlign w:val="bottom"/>
            <w:tcBorders>
              <w:bottom w:val="single" w:sz="8" w:color="929292"/>
            </w:tcBorders>
          </w:tcPr>
          <w:p>
            <w:pPr>
              <w:spacing w:after="0"/>
              <w:rPr>
                <w:sz w:val="2"/>
                <w:szCs w:val="2"/>
                <w:color w:val="auto"/>
              </w:rPr>
            </w:pPr>
          </w:p>
        </w:tc>
        <w:tc>
          <w:tcPr>
            <w:tcW w:w="1360" w:type="dxa"/>
            <w:vAlign w:val="bottom"/>
            <w:tcBorders>
              <w:bottom w:val="single" w:sz="8" w:color="929292"/>
            </w:tcBorders>
          </w:tcPr>
          <w:p>
            <w:pPr>
              <w:spacing w:after="0"/>
              <w:rPr>
                <w:sz w:val="2"/>
                <w:szCs w:val="2"/>
                <w:color w:val="auto"/>
              </w:rPr>
            </w:pPr>
          </w:p>
        </w:tc>
        <w:tc>
          <w:tcPr>
            <w:tcW w:w="130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176"/>
        </w:trPr>
        <w:tc>
          <w:tcPr>
            <w:tcW w:w="4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Jesus Malave</w:t>
            </w:r>
          </w:p>
        </w:tc>
        <w:tc>
          <w:tcPr>
            <w:tcW w:w="13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NQSSP</w:t>
            </w:r>
          </w:p>
        </w:tc>
        <w:tc>
          <w:tcPr>
            <w:tcW w:w="1300" w:type="dxa"/>
            <w:vAlign w:val="bottom"/>
            <w:tcBorders>
              <w:bottom w:val="single" w:sz="8" w:color="E4E6EF"/>
            </w:tcBorders>
            <w:shd w:val="clear" w:color="auto" w:fill="E4E6EF"/>
          </w:tcPr>
          <w:p>
            <w:pPr>
              <w:jc w:val="right"/>
              <w:ind w:right="129"/>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ind w:right="149"/>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E4E6EF"/>
            </w:tcBorders>
            <w:shd w:val="clear" w:color="auto" w:fill="E4E6EF"/>
          </w:tcPr>
          <w:p>
            <w:pPr>
              <w:jc w:val="right"/>
              <w:ind w:right="189"/>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ind w:left="760"/>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color w:val="auto"/>
              </w:rPr>
              <w:t>NCAP</w:t>
            </w:r>
          </w:p>
        </w:tc>
        <w:tc>
          <w:tcPr>
            <w:tcW w:w="13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149"/>
              <w:spacing w:after="0"/>
              <w:rPr>
                <w:sz w:val="20"/>
                <w:szCs w:val="20"/>
                <w:color w:val="auto"/>
              </w:rPr>
            </w:pPr>
            <w:r>
              <w:rPr>
                <w:rFonts w:ascii="Calibri" w:cs="Calibri" w:eastAsia="Calibri" w:hAnsi="Calibri"/>
                <w:sz w:val="14"/>
                <w:szCs w:val="14"/>
                <w:color w:val="auto"/>
              </w:rPr>
              <w:t>33,761</w:t>
            </w:r>
          </w:p>
        </w:tc>
        <w:tc>
          <w:tcPr>
            <w:tcW w:w="1080" w:type="dxa"/>
            <w:vAlign w:val="bottom"/>
          </w:tcPr>
          <w:p>
            <w:pPr>
              <w:jc w:val="right"/>
              <w:ind w:right="189"/>
              <w:spacing w:after="0"/>
              <w:rPr>
                <w:sz w:val="20"/>
                <w:szCs w:val="20"/>
                <w:color w:val="auto"/>
              </w:rPr>
            </w:pPr>
            <w:r>
              <w:rPr>
                <w:rFonts w:ascii="Calibri" w:cs="Calibri" w:eastAsia="Calibri" w:hAnsi="Calibri"/>
                <w:sz w:val="14"/>
                <w:szCs w:val="14"/>
                <w:color w:val="auto"/>
              </w:rPr>
              <w:t>101</w:t>
            </w:r>
          </w:p>
        </w:tc>
        <w:tc>
          <w:tcPr>
            <w:tcW w:w="1100" w:type="dxa"/>
            <w:vAlign w:val="bottom"/>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33,862</w:t>
            </w:r>
          </w:p>
        </w:tc>
      </w:tr>
      <w:tr>
        <w:trPr>
          <w:trHeight w:val="33"/>
        </w:trPr>
        <w:tc>
          <w:tcPr>
            <w:tcW w:w="4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4420" w:type="dxa"/>
            <w:vAlign w:val="bottom"/>
          </w:tcPr>
          <w:p>
            <w:pPr>
              <w:spacing w:after="0"/>
              <w:rPr>
                <w:sz w:val="15"/>
                <w:szCs w:val="15"/>
                <w:color w:val="auto"/>
              </w:rPr>
            </w:pPr>
          </w:p>
        </w:tc>
        <w:tc>
          <w:tcPr>
            <w:tcW w:w="13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DMICP</w:t>
            </w:r>
          </w:p>
        </w:tc>
        <w:tc>
          <w:tcPr>
            <w:tcW w:w="1300" w:type="dxa"/>
            <w:vAlign w:val="bottom"/>
            <w:tcBorders>
              <w:bottom w:val="single" w:sz="8" w:color="E4E6EF"/>
            </w:tcBorders>
            <w:shd w:val="clear" w:color="auto" w:fill="E4E6EF"/>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jc w:val="right"/>
              <w:ind w:right="149"/>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E4E6EF"/>
            </w:tcBorders>
            <w:shd w:val="clear" w:color="auto" w:fill="E4E6EF"/>
          </w:tcPr>
          <w:p>
            <w:pPr>
              <w:jc w:val="right"/>
              <w:ind w:right="18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4E6EF"/>
            </w:tcBorders>
            <w:shd w:val="clear" w:color="auto" w:fill="E4E6EF"/>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4E6EF"/>
            </w:tcBorders>
            <w:shd w:val="clear" w:color="auto" w:fill="E4E6E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b w:val="1"/>
                <w:bCs w:val="1"/>
                <w:color w:val="auto"/>
              </w:rPr>
              <w:t>TOTAL</w:t>
            </w:r>
          </w:p>
        </w:tc>
        <w:tc>
          <w:tcPr>
            <w:tcW w:w="1300" w:type="dxa"/>
            <w:vAlign w:val="bottom"/>
          </w:tcPr>
          <w:p>
            <w:pPr>
              <w:jc w:val="right"/>
              <w:ind w:right="129"/>
              <w:spacing w:after="0"/>
              <w:rPr>
                <w:sz w:val="20"/>
                <w:szCs w:val="20"/>
                <w:color w:val="auto"/>
              </w:rPr>
            </w:pPr>
            <w:r>
              <w:rPr>
                <w:rFonts w:ascii="Calibri" w:cs="Calibri" w:eastAsia="Calibri" w:hAnsi="Calibri"/>
                <w:sz w:val="14"/>
                <w:szCs w:val="14"/>
                <w:b w:val="1"/>
                <w:bCs w:val="1"/>
                <w:color w:val="auto"/>
              </w:rPr>
              <w:t>—</w:t>
            </w:r>
          </w:p>
        </w:tc>
        <w:tc>
          <w:tcPr>
            <w:tcW w:w="1100" w:type="dxa"/>
            <w:vAlign w:val="bottom"/>
          </w:tcPr>
          <w:p>
            <w:pPr>
              <w:jc w:val="right"/>
              <w:ind w:right="149"/>
              <w:spacing w:after="0"/>
              <w:rPr>
                <w:sz w:val="20"/>
                <w:szCs w:val="20"/>
                <w:color w:val="auto"/>
              </w:rPr>
            </w:pPr>
            <w:r>
              <w:rPr>
                <w:rFonts w:ascii="Calibri" w:cs="Calibri" w:eastAsia="Calibri" w:hAnsi="Calibri"/>
                <w:sz w:val="14"/>
                <w:szCs w:val="14"/>
                <w:b w:val="1"/>
                <w:bCs w:val="1"/>
                <w:color w:val="auto"/>
              </w:rPr>
              <w:t>33,761</w:t>
            </w:r>
          </w:p>
        </w:tc>
        <w:tc>
          <w:tcPr>
            <w:tcW w:w="1080" w:type="dxa"/>
            <w:vAlign w:val="bottom"/>
          </w:tcPr>
          <w:p>
            <w:pPr>
              <w:jc w:val="right"/>
              <w:ind w:right="189"/>
              <w:spacing w:after="0"/>
              <w:rPr>
                <w:sz w:val="20"/>
                <w:szCs w:val="20"/>
                <w:color w:val="auto"/>
              </w:rPr>
            </w:pPr>
            <w:r>
              <w:rPr>
                <w:rFonts w:ascii="Calibri" w:cs="Calibri" w:eastAsia="Calibri" w:hAnsi="Calibri"/>
                <w:sz w:val="14"/>
                <w:szCs w:val="14"/>
                <w:b w:val="1"/>
                <w:bCs w:val="1"/>
                <w:color w:val="auto"/>
              </w:rPr>
              <w:t>101</w:t>
            </w:r>
          </w:p>
        </w:tc>
        <w:tc>
          <w:tcPr>
            <w:tcW w:w="1100" w:type="dxa"/>
            <w:vAlign w:val="bottom"/>
          </w:tcPr>
          <w:p>
            <w:pPr>
              <w:ind w:left="760"/>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b w:val="1"/>
                <w:bCs w:val="1"/>
                <w:color w:val="auto"/>
              </w:rPr>
              <w:t>33,862</w:t>
            </w:r>
          </w:p>
        </w:tc>
      </w:tr>
      <w:tr>
        <w:trPr>
          <w:trHeight w:val="33"/>
        </w:trPr>
        <w:tc>
          <w:tcPr>
            <w:tcW w:w="4420" w:type="dxa"/>
            <w:vAlign w:val="bottom"/>
            <w:tcBorders>
              <w:bottom w:val="single" w:sz="8" w:color="929292"/>
            </w:tcBorders>
          </w:tcPr>
          <w:p>
            <w:pPr>
              <w:spacing w:after="0"/>
              <w:rPr>
                <w:sz w:val="2"/>
                <w:szCs w:val="2"/>
                <w:color w:val="auto"/>
              </w:rPr>
            </w:pPr>
          </w:p>
        </w:tc>
        <w:tc>
          <w:tcPr>
            <w:tcW w:w="1360" w:type="dxa"/>
            <w:vAlign w:val="bottom"/>
            <w:tcBorders>
              <w:bottom w:val="single" w:sz="8" w:color="929292"/>
            </w:tcBorders>
          </w:tcPr>
          <w:p>
            <w:pPr>
              <w:spacing w:after="0"/>
              <w:rPr>
                <w:sz w:val="2"/>
                <w:szCs w:val="2"/>
                <w:color w:val="auto"/>
              </w:rPr>
            </w:pPr>
          </w:p>
        </w:tc>
        <w:tc>
          <w:tcPr>
            <w:tcW w:w="130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100" w:type="dxa"/>
            <w:vAlign w:val="bottom"/>
            <w:tcBorders>
              <w:bottom w:val="single" w:sz="8" w:color="929292"/>
            </w:tcBorders>
          </w:tcPr>
          <w:p>
            <w:pPr>
              <w:spacing w:after="0"/>
              <w:rPr>
                <w:sz w:val="2"/>
                <w:szCs w:val="2"/>
                <w:color w:val="auto"/>
              </w:rPr>
            </w:pPr>
          </w:p>
        </w:tc>
        <w:tc>
          <w:tcPr>
            <w:tcW w:w="820" w:type="dxa"/>
            <w:vAlign w:val="bottom"/>
            <w:tcBorders>
              <w:bottom w:val="single" w:sz="8" w:color="929292"/>
            </w:tcBorders>
          </w:tcPr>
          <w:p>
            <w:pPr>
              <w:spacing w:after="0"/>
              <w:rPr>
                <w:sz w:val="2"/>
                <w:szCs w:val="2"/>
                <w:color w:val="auto"/>
              </w:rPr>
            </w:pPr>
          </w:p>
        </w:tc>
      </w:tr>
      <w:tr>
        <w:trPr>
          <w:trHeight w:val="176"/>
        </w:trPr>
        <w:tc>
          <w:tcPr>
            <w:tcW w:w="4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John W. Mollard</w:t>
            </w:r>
          </w:p>
        </w:tc>
        <w:tc>
          <w:tcPr>
            <w:tcW w:w="13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NQSSP</w:t>
            </w:r>
          </w:p>
        </w:tc>
        <w:tc>
          <w:tcPr>
            <w:tcW w:w="1300" w:type="dxa"/>
            <w:vAlign w:val="bottom"/>
            <w:tcBorders>
              <w:bottom w:val="single" w:sz="8" w:color="E5E7EF"/>
            </w:tcBorders>
            <w:shd w:val="clear" w:color="auto" w:fill="E5E7EF"/>
          </w:tcPr>
          <w:p>
            <w:pPr>
              <w:jc w:val="right"/>
              <w:ind w:right="129"/>
              <w:spacing w:after="0" w:line="164" w:lineRule="exact"/>
              <w:rPr>
                <w:sz w:val="20"/>
                <w:szCs w:val="20"/>
                <w:color w:val="auto"/>
              </w:rPr>
            </w:pPr>
            <w:r>
              <w:rPr>
                <w:rFonts w:ascii="Calibri" w:cs="Calibri" w:eastAsia="Calibri" w:hAnsi="Calibri"/>
                <w:sz w:val="14"/>
                <w:szCs w:val="14"/>
                <w:color w:val="auto"/>
              </w:rPr>
              <w:t>170,162</w:t>
            </w:r>
          </w:p>
        </w:tc>
        <w:tc>
          <w:tcPr>
            <w:tcW w:w="1100" w:type="dxa"/>
            <w:vAlign w:val="bottom"/>
            <w:tcBorders>
              <w:bottom w:val="single" w:sz="8" w:color="E5E7EF"/>
            </w:tcBorders>
            <w:shd w:val="clear" w:color="auto" w:fill="E5E7EF"/>
          </w:tcPr>
          <w:p>
            <w:pPr>
              <w:jc w:val="right"/>
              <w:ind w:right="149"/>
              <w:spacing w:after="0" w:line="164" w:lineRule="exact"/>
              <w:rPr>
                <w:sz w:val="20"/>
                <w:szCs w:val="20"/>
                <w:color w:val="auto"/>
              </w:rPr>
            </w:pPr>
            <w:r>
              <w:rPr>
                <w:rFonts w:ascii="Calibri" w:cs="Calibri" w:eastAsia="Calibri" w:hAnsi="Calibri"/>
                <w:sz w:val="14"/>
                <w:szCs w:val="14"/>
                <w:color w:val="auto"/>
              </w:rPr>
              <w:t>17,016</w:t>
            </w:r>
          </w:p>
        </w:tc>
        <w:tc>
          <w:tcPr>
            <w:tcW w:w="1080" w:type="dxa"/>
            <w:vAlign w:val="bottom"/>
            <w:tcBorders>
              <w:bottom w:val="single" w:sz="8" w:color="E5E7EF"/>
            </w:tcBorders>
            <w:shd w:val="clear" w:color="auto" w:fill="E5E7EF"/>
          </w:tcPr>
          <w:p>
            <w:pPr>
              <w:jc w:val="right"/>
              <w:ind w:right="169"/>
              <w:spacing w:after="0" w:line="164" w:lineRule="exact"/>
              <w:rPr>
                <w:sz w:val="20"/>
                <w:szCs w:val="20"/>
                <w:color w:val="auto"/>
              </w:rPr>
            </w:pPr>
            <w:r>
              <w:rPr>
                <w:rFonts w:ascii="Calibri" w:cs="Calibri" w:eastAsia="Calibri" w:hAnsi="Calibri"/>
                <w:sz w:val="14"/>
                <w:szCs w:val="14"/>
                <w:color w:val="auto"/>
              </w:rPr>
              <w:t>(302,489)</w:t>
            </w:r>
          </w:p>
        </w:tc>
        <w:tc>
          <w:tcPr>
            <w:tcW w:w="1100" w:type="dxa"/>
            <w:vAlign w:val="bottom"/>
            <w:tcBorders>
              <w:bottom w:val="single" w:sz="8" w:color="E5E7EF"/>
            </w:tcBorders>
            <w:shd w:val="clear" w:color="auto" w:fill="E5E7EF"/>
          </w:tcPr>
          <w:p>
            <w:pPr>
              <w:ind w:left="760"/>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2,653,969</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color w:val="auto"/>
              </w:rPr>
              <w:t>NCAP</w:t>
            </w:r>
          </w:p>
        </w:tc>
        <w:tc>
          <w:tcPr>
            <w:tcW w:w="13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149"/>
              <w:spacing w:after="0"/>
              <w:rPr>
                <w:sz w:val="20"/>
                <w:szCs w:val="20"/>
                <w:color w:val="auto"/>
              </w:rPr>
            </w:pPr>
            <w:r>
              <w:rPr>
                <w:rFonts w:ascii="Calibri" w:cs="Calibri" w:eastAsia="Calibri" w:hAnsi="Calibri"/>
                <w:sz w:val="14"/>
                <w:szCs w:val="14"/>
                <w:color w:val="auto"/>
              </w:rPr>
              <w:t>12,144</w:t>
            </w:r>
          </w:p>
        </w:tc>
        <w:tc>
          <w:tcPr>
            <w:tcW w:w="1080" w:type="dxa"/>
            <w:vAlign w:val="bottom"/>
          </w:tcPr>
          <w:p>
            <w:pPr>
              <w:jc w:val="right"/>
              <w:ind w:right="169"/>
              <w:spacing w:after="0"/>
              <w:rPr>
                <w:sz w:val="20"/>
                <w:szCs w:val="20"/>
                <w:color w:val="auto"/>
              </w:rPr>
            </w:pPr>
            <w:r>
              <w:rPr>
                <w:rFonts w:ascii="Calibri" w:cs="Calibri" w:eastAsia="Calibri" w:hAnsi="Calibri"/>
                <w:sz w:val="14"/>
                <w:szCs w:val="14"/>
                <w:color w:val="auto"/>
              </w:rPr>
              <w:t>(9,584)</w:t>
            </w:r>
          </w:p>
        </w:tc>
        <w:tc>
          <w:tcPr>
            <w:tcW w:w="1100" w:type="dxa"/>
            <w:vAlign w:val="bottom"/>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46,488</w:t>
            </w:r>
          </w:p>
        </w:tc>
      </w:tr>
      <w:tr>
        <w:trPr>
          <w:trHeight w:val="33"/>
        </w:trPr>
        <w:tc>
          <w:tcPr>
            <w:tcW w:w="4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4420" w:type="dxa"/>
            <w:vAlign w:val="bottom"/>
          </w:tcPr>
          <w:p>
            <w:pPr>
              <w:spacing w:after="0"/>
              <w:rPr>
                <w:sz w:val="15"/>
                <w:szCs w:val="15"/>
                <w:color w:val="auto"/>
              </w:rPr>
            </w:pPr>
          </w:p>
        </w:tc>
        <w:tc>
          <w:tcPr>
            <w:tcW w:w="13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DMICP</w:t>
            </w:r>
          </w:p>
        </w:tc>
        <w:tc>
          <w:tcPr>
            <w:tcW w:w="1300" w:type="dxa"/>
            <w:vAlign w:val="bottom"/>
            <w:tcBorders>
              <w:bottom w:val="single" w:sz="8" w:color="E5E7EF"/>
            </w:tcBorders>
            <w:shd w:val="clear" w:color="auto" w:fill="E5E7EF"/>
          </w:tcPr>
          <w:p>
            <w:pPr>
              <w:jc w:val="right"/>
              <w:ind w:right="129"/>
              <w:spacing w:after="0"/>
              <w:rPr>
                <w:sz w:val="20"/>
                <w:szCs w:val="20"/>
                <w:color w:val="auto"/>
              </w:rPr>
            </w:pPr>
            <w:r>
              <w:rPr>
                <w:rFonts w:ascii="Calibri" w:cs="Calibri" w:eastAsia="Calibri" w:hAnsi="Calibri"/>
                <w:sz w:val="14"/>
                <w:szCs w:val="14"/>
                <w:color w:val="auto"/>
              </w:rPr>
              <w:t>415,322</w:t>
            </w:r>
          </w:p>
        </w:tc>
        <w:tc>
          <w:tcPr>
            <w:tcW w:w="1100" w:type="dxa"/>
            <w:vAlign w:val="bottom"/>
            <w:tcBorders>
              <w:bottom w:val="single" w:sz="8" w:color="E5E7EF"/>
            </w:tcBorders>
            <w:shd w:val="clear" w:color="auto" w:fill="E5E7EF"/>
          </w:tcPr>
          <w:p>
            <w:pPr>
              <w:jc w:val="right"/>
              <w:ind w:right="149"/>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E5E7EF"/>
            </w:tcBorders>
            <w:shd w:val="clear" w:color="auto" w:fill="E5E7EF"/>
          </w:tcPr>
          <w:p>
            <w:pPr>
              <w:jc w:val="right"/>
              <w:ind w:right="169"/>
              <w:spacing w:after="0"/>
              <w:rPr>
                <w:sz w:val="20"/>
                <w:szCs w:val="20"/>
                <w:color w:val="auto"/>
              </w:rPr>
            </w:pPr>
            <w:r>
              <w:rPr>
                <w:rFonts w:ascii="Calibri" w:cs="Calibri" w:eastAsia="Calibri" w:hAnsi="Calibri"/>
                <w:sz w:val="14"/>
                <w:szCs w:val="14"/>
                <w:color w:val="auto"/>
              </w:rPr>
              <w:t>(1,396,125)</w:t>
            </w:r>
          </w:p>
        </w:tc>
        <w:tc>
          <w:tcPr>
            <w:tcW w:w="1100" w:type="dxa"/>
            <w:vAlign w:val="bottom"/>
            <w:tcBorders>
              <w:bottom w:val="single" w:sz="8" w:color="E5E7EF"/>
            </w:tcBorders>
            <w:shd w:val="clear" w:color="auto" w:fill="E5E7EF"/>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6,244,532</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b w:val="1"/>
                <w:bCs w:val="1"/>
                <w:color w:val="auto"/>
              </w:rPr>
              <w:t>TOTAL</w:t>
            </w:r>
          </w:p>
        </w:tc>
        <w:tc>
          <w:tcPr>
            <w:tcW w:w="1300" w:type="dxa"/>
            <w:vAlign w:val="bottom"/>
          </w:tcPr>
          <w:p>
            <w:pPr>
              <w:jc w:val="right"/>
              <w:ind w:right="129"/>
              <w:spacing w:after="0"/>
              <w:rPr>
                <w:sz w:val="20"/>
                <w:szCs w:val="20"/>
                <w:color w:val="auto"/>
              </w:rPr>
            </w:pPr>
            <w:r>
              <w:rPr>
                <w:rFonts w:ascii="Calibri" w:cs="Calibri" w:eastAsia="Calibri" w:hAnsi="Calibri"/>
                <w:sz w:val="14"/>
                <w:szCs w:val="14"/>
                <w:b w:val="1"/>
                <w:bCs w:val="1"/>
                <w:color w:val="auto"/>
              </w:rPr>
              <w:t>585,484</w:t>
            </w:r>
          </w:p>
        </w:tc>
        <w:tc>
          <w:tcPr>
            <w:tcW w:w="1100" w:type="dxa"/>
            <w:vAlign w:val="bottom"/>
          </w:tcPr>
          <w:p>
            <w:pPr>
              <w:jc w:val="right"/>
              <w:ind w:right="149"/>
              <w:spacing w:after="0"/>
              <w:rPr>
                <w:sz w:val="20"/>
                <w:szCs w:val="20"/>
                <w:color w:val="auto"/>
              </w:rPr>
            </w:pPr>
            <w:r>
              <w:rPr>
                <w:rFonts w:ascii="Calibri" w:cs="Calibri" w:eastAsia="Calibri" w:hAnsi="Calibri"/>
                <w:sz w:val="14"/>
                <w:szCs w:val="14"/>
                <w:b w:val="1"/>
                <w:bCs w:val="1"/>
                <w:color w:val="auto"/>
              </w:rPr>
              <w:t>29,160</w:t>
            </w:r>
          </w:p>
        </w:tc>
        <w:tc>
          <w:tcPr>
            <w:tcW w:w="1080" w:type="dxa"/>
            <w:vAlign w:val="bottom"/>
          </w:tcPr>
          <w:p>
            <w:pPr>
              <w:jc w:val="right"/>
              <w:ind w:right="169"/>
              <w:spacing w:after="0"/>
              <w:rPr>
                <w:sz w:val="20"/>
                <w:szCs w:val="20"/>
                <w:color w:val="auto"/>
              </w:rPr>
            </w:pPr>
            <w:r>
              <w:rPr>
                <w:rFonts w:ascii="Calibri" w:cs="Calibri" w:eastAsia="Calibri" w:hAnsi="Calibri"/>
                <w:sz w:val="14"/>
                <w:szCs w:val="14"/>
                <w:b w:val="1"/>
                <w:bCs w:val="1"/>
                <w:color w:val="auto"/>
              </w:rPr>
              <w:t>(1,708,198)</w:t>
            </w:r>
          </w:p>
        </w:tc>
        <w:tc>
          <w:tcPr>
            <w:tcW w:w="1100" w:type="dxa"/>
            <w:vAlign w:val="bottom"/>
          </w:tcPr>
          <w:p>
            <w:pPr>
              <w:ind w:left="760"/>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b w:val="1"/>
                <w:bCs w:val="1"/>
                <w:color w:val="auto"/>
              </w:rPr>
              <w:t>8,944,989</w:t>
            </w:r>
          </w:p>
        </w:tc>
      </w:tr>
      <w:tr>
        <w:trPr>
          <w:trHeight w:val="33"/>
        </w:trPr>
        <w:tc>
          <w:tcPr>
            <w:tcW w:w="442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r>
      <w:tr>
        <w:trPr>
          <w:trHeight w:val="176"/>
        </w:trPr>
        <w:tc>
          <w:tcPr>
            <w:tcW w:w="4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Frank A. St. John</w:t>
            </w:r>
          </w:p>
        </w:tc>
        <w:tc>
          <w:tcPr>
            <w:tcW w:w="13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NQSSP</w:t>
            </w:r>
          </w:p>
        </w:tc>
        <w:tc>
          <w:tcPr>
            <w:tcW w:w="1300" w:type="dxa"/>
            <w:vAlign w:val="bottom"/>
            <w:tcBorders>
              <w:bottom w:val="single" w:sz="8" w:color="E5E7EF"/>
            </w:tcBorders>
            <w:shd w:val="clear" w:color="auto" w:fill="E5E7EF"/>
          </w:tcPr>
          <w:p>
            <w:pPr>
              <w:jc w:val="right"/>
              <w:ind w:right="129"/>
              <w:spacing w:after="0" w:line="164" w:lineRule="exact"/>
              <w:rPr>
                <w:sz w:val="20"/>
                <w:szCs w:val="20"/>
                <w:color w:val="auto"/>
              </w:rPr>
            </w:pPr>
            <w:r>
              <w:rPr>
                <w:rFonts w:ascii="Calibri" w:cs="Calibri" w:eastAsia="Calibri" w:hAnsi="Calibri"/>
                <w:sz w:val="14"/>
                <w:szCs w:val="14"/>
                <w:color w:val="auto"/>
              </w:rPr>
              <w:t>229,500</w:t>
            </w:r>
          </w:p>
        </w:tc>
        <w:tc>
          <w:tcPr>
            <w:tcW w:w="1100" w:type="dxa"/>
            <w:vAlign w:val="bottom"/>
            <w:tcBorders>
              <w:bottom w:val="single" w:sz="8" w:color="E5E7EF"/>
            </w:tcBorders>
            <w:shd w:val="clear" w:color="auto" w:fill="E5E7EF"/>
          </w:tcPr>
          <w:p>
            <w:pPr>
              <w:jc w:val="right"/>
              <w:ind w:right="149"/>
              <w:spacing w:after="0" w:line="164" w:lineRule="exact"/>
              <w:rPr>
                <w:sz w:val="20"/>
                <w:szCs w:val="20"/>
                <w:color w:val="auto"/>
              </w:rPr>
            </w:pPr>
            <w:r>
              <w:rPr>
                <w:rFonts w:ascii="Calibri" w:cs="Calibri" w:eastAsia="Calibri" w:hAnsi="Calibri"/>
                <w:sz w:val="14"/>
                <w:szCs w:val="14"/>
                <w:color w:val="auto"/>
              </w:rPr>
              <w:t>36,720</w:t>
            </w:r>
          </w:p>
        </w:tc>
        <w:tc>
          <w:tcPr>
            <w:tcW w:w="1080" w:type="dxa"/>
            <w:vAlign w:val="bottom"/>
            <w:tcBorders>
              <w:bottom w:val="single" w:sz="8" w:color="E5E7EF"/>
            </w:tcBorders>
            <w:shd w:val="clear" w:color="auto" w:fill="E5E7EF"/>
          </w:tcPr>
          <w:p>
            <w:pPr>
              <w:jc w:val="right"/>
              <w:ind w:right="169"/>
              <w:spacing w:after="0" w:line="164" w:lineRule="exact"/>
              <w:rPr>
                <w:sz w:val="20"/>
                <w:szCs w:val="20"/>
                <w:color w:val="auto"/>
              </w:rPr>
            </w:pPr>
            <w:r>
              <w:rPr>
                <w:rFonts w:ascii="Calibri" w:cs="Calibri" w:eastAsia="Calibri" w:hAnsi="Calibri"/>
                <w:sz w:val="14"/>
                <w:szCs w:val="14"/>
                <w:color w:val="auto"/>
              </w:rPr>
              <w:t>(203,430)</w:t>
            </w:r>
          </w:p>
        </w:tc>
        <w:tc>
          <w:tcPr>
            <w:tcW w:w="1100" w:type="dxa"/>
            <w:vAlign w:val="bottom"/>
            <w:tcBorders>
              <w:bottom w:val="single" w:sz="8" w:color="E5E7EF"/>
            </w:tcBorders>
            <w:shd w:val="clear" w:color="auto" w:fill="E5E7EF"/>
          </w:tcPr>
          <w:p>
            <w:pPr>
              <w:ind w:left="760"/>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1,718,533</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color w:val="auto"/>
              </w:rPr>
              <w:t>NCAP</w:t>
            </w:r>
          </w:p>
        </w:tc>
        <w:tc>
          <w:tcPr>
            <w:tcW w:w="13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149"/>
              <w:spacing w:after="0"/>
              <w:rPr>
                <w:sz w:val="20"/>
                <w:szCs w:val="20"/>
                <w:color w:val="auto"/>
              </w:rPr>
            </w:pPr>
            <w:r>
              <w:rPr>
                <w:rFonts w:ascii="Calibri" w:cs="Calibri" w:eastAsia="Calibri" w:hAnsi="Calibri"/>
                <w:sz w:val="14"/>
                <w:szCs w:val="14"/>
                <w:color w:val="auto"/>
              </w:rPr>
              <w:t>41,700</w:t>
            </w:r>
          </w:p>
        </w:tc>
        <w:tc>
          <w:tcPr>
            <w:tcW w:w="1080" w:type="dxa"/>
            <w:vAlign w:val="bottom"/>
          </w:tcPr>
          <w:p>
            <w:pPr>
              <w:jc w:val="right"/>
              <w:ind w:right="169"/>
              <w:spacing w:after="0"/>
              <w:rPr>
                <w:sz w:val="20"/>
                <w:szCs w:val="20"/>
                <w:color w:val="auto"/>
              </w:rPr>
            </w:pPr>
            <w:r>
              <w:rPr>
                <w:rFonts w:ascii="Calibri" w:cs="Calibri" w:eastAsia="Calibri" w:hAnsi="Calibri"/>
                <w:sz w:val="14"/>
                <w:szCs w:val="14"/>
                <w:color w:val="auto"/>
              </w:rPr>
              <w:t>(17,776)</w:t>
            </w:r>
          </w:p>
        </w:tc>
        <w:tc>
          <w:tcPr>
            <w:tcW w:w="1100" w:type="dxa"/>
            <w:vAlign w:val="bottom"/>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162,346</w:t>
            </w:r>
          </w:p>
        </w:tc>
      </w:tr>
      <w:tr>
        <w:trPr>
          <w:trHeight w:val="33"/>
        </w:trPr>
        <w:tc>
          <w:tcPr>
            <w:tcW w:w="4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4420" w:type="dxa"/>
            <w:vAlign w:val="bottom"/>
          </w:tcPr>
          <w:p>
            <w:pPr>
              <w:spacing w:after="0"/>
              <w:rPr>
                <w:sz w:val="15"/>
                <w:szCs w:val="15"/>
                <w:color w:val="auto"/>
              </w:rPr>
            </w:pPr>
          </w:p>
        </w:tc>
        <w:tc>
          <w:tcPr>
            <w:tcW w:w="13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DMICP</w:t>
            </w:r>
          </w:p>
        </w:tc>
        <w:tc>
          <w:tcPr>
            <w:tcW w:w="1300" w:type="dxa"/>
            <w:vAlign w:val="bottom"/>
            <w:tcBorders>
              <w:bottom w:val="single" w:sz="8" w:color="E5E7EF"/>
            </w:tcBorders>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5E7EF"/>
            </w:tcBorders>
            <w:shd w:val="clear" w:color="auto" w:fill="E5E7EF"/>
          </w:tcPr>
          <w:p>
            <w:pPr>
              <w:jc w:val="right"/>
              <w:ind w:right="149"/>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E5E7EF"/>
            </w:tcBorders>
            <w:shd w:val="clear" w:color="auto" w:fill="E5E7EF"/>
          </w:tcPr>
          <w:p>
            <w:pPr>
              <w:jc w:val="right"/>
              <w:ind w:right="169"/>
              <w:spacing w:after="0"/>
              <w:rPr>
                <w:sz w:val="20"/>
                <w:szCs w:val="20"/>
                <w:color w:val="auto"/>
              </w:rPr>
            </w:pPr>
            <w:r>
              <w:rPr>
                <w:rFonts w:ascii="Calibri" w:cs="Calibri" w:eastAsia="Calibri" w:hAnsi="Calibri"/>
                <w:sz w:val="14"/>
                <w:szCs w:val="14"/>
                <w:color w:val="auto"/>
              </w:rPr>
              <w:t>(855,652)</w:t>
            </w:r>
          </w:p>
        </w:tc>
        <w:tc>
          <w:tcPr>
            <w:tcW w:w="1100" w:type="dxa"/>
            <w:vAlign w:val="bottom"/>
            <w:tcBorders>
              <w:bottom w:val="single" w:sz="8" w:color="E5E7EF"/>
            </w:tcBorders>
            <w:shd w:val="clear" w:color="auto" w:fill="E5E7EF"/>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5,647,917</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b w:val="1"/>
                <w:bCs w:val="1"/>
                <w:color w:val="auto"/>
              </w:rPr>
              <w:t>TOTAL</w:t>
            </w:r>
          </w:p>
        </w:tc>
        <w:tc>
          <w:tcPr>
            <w:tcW w:w="1300" w:type="dxa"/>
            <w:vAlign w:val="bottom"/>
          </w:tcPr>
          <w:p>
            <w:pPr>
              <w:jc w:val="right"/>
              <w:ind w:right="129"/>
              <w:spacing w:after="0"/>
              <w:rPr>
                <w:sz w:val="20"/>
                <w:szCs w:val="20"/>
                <w:color w:val="auto"/>
              </w:rPr>
            </w:pPr>
            <w:r>
              <w:rPr>
                <w:rFonts w:ascii="Calibri" w:cs="Calibri" w:eastAsia="Calibri" w:hAnsi="Calibri"/>
                <w:sz w:val="14"/>
                <w:szCs w:val="14"/>
                <w:b w:val="1"/>
                <w:bCs w:val="1"/>
                <w:color w:val="auto"/>
              </w:rPr>
              <w:t>229,500</w:t>
            </w:r>
          </w:p>
        </w:tc>
        <w:tc>
          <w:tcPr>
            <w:tcW w:w="1100" w:type="dxa"/>
            <w:vAlign w:val="bottom"/>
          </w:tcPr>
          <w:p>
            <w:pPr>
              <w:jc w:val="right"/>
              <w:ind w:right="149"/>
              <w:spacing w:after="0"/>
              <w:rPr>
                <w:sz w:val="20"/>
                <w:szCs w:val="20"/>
                <w:color w:val="auto"/>
              </w:rPr>
            </w:pPr>
            <w:r>
              <w:rPr>
                <w:rFonts w:ascii="Calibri" w:cs="Calibri" w:eastAsia="Calibri" w:hAnsi="Calibri"/>
                <w:sz w:val="14"/>
                <w:szCs w:val="14"/>
                <w:b w:val="1"/>
                <w:bCs w:val="1"/>
                <w:color w:val="auto"/>
              </w:rPr>
              <w:t>78,420</w:t>
            </w:r>
          </w:p>
        </w:tc>
        <w:tc>
          <w:tcPr>
            <w:tcW w:w="1080" w:type="dxa"/>
            <w:vAlign w:val="bottom"/>
          </w:tcPr>
          <w:p>
            <w:pPr>
              <w:jc w:val="right"/>
              <w:ind w:right="169"/>
              <w:spacing w:after="0"/>
              <w:rPr>
                <w:sz w:val="20"/>
                <w:szCs w:val="20"/>
                <w:color w:val="auto"/>
              </w:rPr>
            </w:pPr>
            <w:r>
              <w:rPr>
                <w:rFonts w:ascii="Calibri" w:cs="Calibri" w:eastAsia="Calibri" w:hAnsi="Calibri"/>
                <w:sz w:val="14"/>
                <w:szCs w:val="14"/>
                <w:b w:val="1"/>
                <w:bCs w:val="1"/>
                <w:color w:val="auto"/>
              </w:rPr>
              <w:t>(1,076,858)</w:t>
            </w:r>
          </w:p>
        </w:tc>
        <w:tc>
          <w:tcPr>
            <w:tcW w:w="1100" w:type="dxa"/>
            <w:vAlign w:val="bottom"/>
          </w:tcPr>
          <w:p>
            <w:pPr>
              <w:ind w:left="760"/>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b w:val="1"/>
                <w:bCs w:val="1"/>
                <w:color w:val="auto"/>
              </w:rPr>
              <w:t>7,528,796</w:t>
            </w:r>
          </w:p>
        </w:tc>
      </w:tr>
      <w:tr>
        <w:trPr>
          <w:trHeight w:val="33"/>
        </w:trPr>
        <w:tc>
          <w:tcPr>
            <w:tcW w:w="442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r>
      <w:tr>
        <w:trPr>
          <w:trHeight w:val="176"/>
        </w:trPr>
        <w:tc>
          <w:tcPr>
            <w:tcW w:w="4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Scot T. Greene</w:t>
            </w:r>
          </w:p>
        </w:tc>
        <w:tc>
          <w:tcPr>
            <w:tcW w:w="13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NQSSP</w:t>
            </w:r>
          </w:p>
        </w:tc>
        <w:tc>
          <w:tcPr>
            <w:tcW w:w="1300" w:type="dxa"/>
            <w:vAlign w:val="bottom"/>
            <w:tcBorders>
              <w:bottom w:val="single" w:sz="8" w:color="E5E7EF"/>
            </w:tcBorders>
            <w:shd w:val="clear" w:color="auto" w:fill="E5E7EF"/>
          </w:tcPr>
          <w:p>
            <w:pPr>
              <w:jc w:val="right"/>
              <w:ind w:right="129"/>
              <w:spacing w:after="0" w:line="164" w:lineRule="exact"/>
              <w:rPr>
                <w:sz w:val="20"/>
                <w:szCs w:val="20"/>
                <w:color w:val="auto"/>
              </w:rPr>
            </w:pPr>
            <w:r>
              <w:rPr>
                <w:rFonts w:ascii="Calibri" w:cs="Calibri" w:eastAsia="Calibri" w:hAnsi="Calibri"/>
                <w:sz w:val="14"/>
                <w:szCs w:val="14"/>
                <w:color w:val="auto"/>
              </w:rPr>
              <w:t>133,900</w:t>
            </w:r>
          </w:p>
        </w:tc>
        <w:tc>
          <w:tcPr>
            <w:tcW w:w="1100" w:type="dxa"/>
            <w:vAlign w:val="bottom"/>
            <w:tcBorders>
              <w:bottom w:val="single" w:sz="8" w:color="E5E7EF"/>
            </w:tcBorders>
            <w:shd w:val="clear" w:color="auto" w:fill="E5E7EF"/>
          </w:tcPr>
          <w:p>
            <w:pPr>
              <w:jc w:val="right"/>
              <w:ind w:right="149"/>
              <w:spacing w:after="0" w:line="164" w:lineRule="exact"/>
              <w:rPr>
                <w:sz w:val="20"/>
                <w:szCs w:val="20"/>
                <w:color w:val="auto"/>
              </w:rPr>
            </w:pPr>
            <w:r>
              <w:rPr>
                <w:rFonts w:ascii="Calibri" w:cs="Calibri" w:eastAsia="Calibri" w:hAnsi="Calibri"/>
                <w:sz w:val="14"/>
                <w:szCs w:val="14"/>
                <w:color w:val="auto"/>
              </w:rPr>
              <w:t>33,475</w:t>
            </w:r>
          </w:p>
        </w:tc>
        <w:tc>
          <w:tcPr>
            <w:tcW w:w="1080" w:type="dxa"/>
            <w:vAlign w:val="bottom"/>
            <w:tcBorders>
              <w:bottom w:val="single" w:sz="8" w:color="E5E7EF"/>
            </w:tcBorders>
            <w:shd w:val="clear" w:color="auto" w:fill="E5E7EF"/>
          </w:tcPr>
          <w:p>
            <w:pPr>
              <w:jc w:val="right"/>
              <w:ind w:right="169"/>
              <w:spacing w:after="0" w:line="164" w:lineRule="exact"/>
              <w:rPr>
                <w:sz w:val="20"/>
                <w:szCs w:val="20"/>
                <w:color w:val="auto"/>
              </w:rPr>
            </w:pPr>
            <w:r>
              <w:rPr>
                <w:rFonts w:ascii="Calibri" w:cs="Calibri" w:eastAsia="Calibri" w:hAnsi="Calibri"/>
                <w:sz w:val="14"/>
                <w:szCs w:val="14"/>
                <w:color w:val="auto"/>
              </w:rPr>
              <w:t>(145,167)</w:t>
            </w:r>
          </w:p>
        </w:tc>
        <w:tc>
          <w:tcPr>
            <w:tcW w:w="1100" w:type="dxa"/>
            <w:vAlign w:val="bottom"/>
            <w:tcBorders>
              <w:bottom w:val="single" w:sz="8" w:color="E5E7EF"/>
            </w:tcBorders>
            <w:shd w:val="clear" w:color="auto" w:fill="E5E7EF"/>
          </w:tcPr>
          <w:p>
            <w:pPr>
              <w:ind w:left="760"/>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1,216,507</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color w:val="auto"/>
              </w:rPr>
              <w:t>NCAP</w:t>
            </w:r>
          </w:p>
        </w:tc>
        <w:tc>
          <w:tcPr>
            <w:tcW w:w="13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149"/>
              <w:spacing w:after="0"/>
              <w:rPr>
                <w:sz w:val="20"/>
                <w:szCs w:val="20"/>
                <w:color w:val="auto"/>
              </w:rPr>
            </w:pPr>
            <w:r>
              <w:rPr>
                <w:rFonts w:ascii="Calibri" w:cs="Calibri" w:eastAsia="Calibri" w:hAnsi="Calibri"/>
                <w:sz w:val="14"/>
                <w:szCs w:val="14"/>
                <w:color w:val="auto"/>
              </w:rPr>
              <w:t>39,600</w:t>
            </w:r>
          </w:p>
        </w:tc>
        <w:tc>
          <w:tcPr>
            <w:tcW w:w="1080" w:type="dxa"/>
            <w:vAlign w:val="bottom"/>
          </w:tcPr>
          <w:p>
            <w:pPr>
              <w:jc w:val="right"/>
              <w:ind w:right="169"/>
              <w:spacing w:after="0"/>
              <w:rPr>
                <w:sz w:val="20"/>
                <w:szCs w:val="20"/>
                <w:color w:val="auto"/>
              </w:rPr>
            </w:pPr>
            <w:r>
              <w:rPr>
                <w:rFonts w:ascii="Calibri" w:cs="Calibri" w:eastAsia="Calibri" w:hAnsi="Calibri"/>
                <w:sz w:val="14"/>
                <w:szCs w:val="14"/>
                <w:color w:val="auto"/>
              </w:rPr>
              <w:t>(12,367)</w:t>
            </w:r>
          </w:p>
        </w:tc>
        <w:tc>
          <w:tcPr>
            <w:tcW w:w="1100" w:type="dxa"/>
            <w:vAlign w:val="bottom"/>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131,903</w:t>
            </w:r>
          </w:p>
        </w:tc>
      </w:tr>
      <w:tr>
        <w:trPr>
          <w:trHeight w:val="33"/>
        </w:trPr>
        <w:tc>
          <w:tcPr>
            <w:tcW w:w="4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4420" w:type="dxa"/>
            <w:vAlign w:val="bottom"/>
          </w:tcPr>
          <w:p>
            <w:pPr>
              <w:spacing w:after="0"/>
              <w:rPr>
                <w:sz w:val="15"/>
                <w:szCs w:val="15"/>
                <w:color w:val="auto"/>
              </w:rPr>
            </w:pPr>
          </w:p>
        </w:tc>
        <w:tc>
          <w:tcPr>
            <w:tcW w:w="13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DMICP</w:t>
            </w:r>
          </w:p>
        </w:tc>
        <w:tc>
          <w:tcPr>
            <w:tcW w:w="1300" w:type="dxa"/>
            <w:vAlign w:val="bottom"/>
            <w:tcBorders>
              <w:bottom w:val="single" w:sz="8" w:color="E5E7EF"/>
            </w:tcBorders>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5E7EF"/>
            </w:tcBorders>
            <w:shd w:val="clear" w:color="auto" w:fill="E5E7EF"/>
          </w:tcPr>
          <w:p>
            <w:pPr>
              <w:jc w:val="right"/>
              <w:ind w:right="149"/>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E5E7EF"/>
            </w:tcBorders>
            <w:shd w:val="clear" w:color="auto" w:fill="E5E7EF"/>
          </w:tcPr>
          <w:p>
            <w:pPr>
              <w:jc w:val="right"/>
              <w:ind w:right="18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5E7EF"/>
            </w:tcBorders>
            <w:shd w:val="clear" w:color="auto" w:fill="E5E7EF"/>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b w:val="1"/>
                <w:bCs w:val="1"/>
                <w:color w:val="auto"/>
              </w:rPr>
              <w:t>TOTAL</w:t>
            </w:r>
          </w:p>
        </w:tc>
        <w:tc>
          <w:tcPr>
            <w:tcW w:w="1300" w:type="dxa"/>
            <w:vAlign w:val="bottom"/>
          </w:tcPr>
          <w:p>
            <w:pPr>
              <w:jc w:val="right"/>
              <w:ind w:right="129"/>
              <w:spacing w:after="0"/>
              <w:rPr>
                <w:sz w:val="20"/>
                <w:szCs w:val="20"/>
                <w:color w:val="auto"/>
              </w:rPr>
            </w:pPr>
            <w:r>
              <w:rPr>
                <w:rFonts w:ascii="Calibri" w:cs="Calibri" w:eastAsia="Calibri" w:hAnsi="Calibri"/>
                <w:sz w:val="14"/>
                <w:szCs w:val="14"/>
                <w:b w:val="1"/>
                <w:bCs w:val="1"/>
                <w:color w:val="auto"/>
              </w:rPr>
              <w:t>133,900</w:t>
            </w:r>
          </w:p>
        </w:tc>
        <w:tc>
          <w:tcPr>
            <w:tcW w:w="1100" w:type="dxa"/>
            <w:vAlign w:val="bottom"/>
          </w:tcPr>
          <w:p>
            <w:pPr>
              <w:jc w:val="right"/>
              <w:ind w:right="149"/>
              <w:spacing w:after="0"/>
              <w:rPr>
                <w:sz w:val="20"/>
                <w:szCs w:val="20"/>
                <w:color w:val="auto"/>
              </w:rPr>
            </w:pPr>
            <w:r>
              <w:rPr>
                <w:rFonts w:ascii="Calibri" w:cs="Calibri" w:eastAsia="Calibri" w:hAnsi="Calibri"/>
                <w:sz w:val="14"/>
                <w:szCs w:val="14"/>
                <w:b w:val="1"/>
                <w:bCs w:val="1"/>
                <w:color w:val="auto"/>
              </w:rPr>
              <w:t>73,075</w:t>
            </w:r>
          </w:p>
        </w:tc>
        <w:tc>
          <w:tcPr>
            <w:tcW w:w="1080" w:type="dxa"/>
            <w:vAlign w:val="bottom"/>
          </w:tcPr>
          <w:p>
            <w:pPr>
              <w:jc w:val="right"/>
              <w:ind w:right="169"/>
              <w:spacing w:after="0"/>
              <w:rPr>
                <w:sz w:val="20"/>
                <w:szCs w:val="20"/>
                <w:color w:val="auto"/>
              </w:rPr>
            </w:pPr>
            <w:r>
              <w:rPr>
                <w:rFonts w:ascii="Calibri" w:cs="Calibri" w:eastAsia="Calibri" w:hAnsi="Calibri"/>
                <w:sz w:val="14"/>
                <w:szCs w:val="14"/>
                <w:b w:val="1"/>
                <w:bCs w:val="1"/>
                <w:color w:val="auto"/>
              </w:rPr>
              <w:t>(157,534)</w:t>
            </w:r>
          </w:p>
        </w:tc>
        <w:tc>
          <w:tcPr>
            <w:tcW w:w="1100" w:type="dxa"/>
            <w:vAlign w:val="bottom"/>
          </w:tcPr>
          <w:p>
            <w:pPr>
              <w:ind w:left="760"/>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b w:val="1"/>
                <w:bCs w:val="1"/>
                <w:color w:val="auto"/>
              </w:rPr>
              <w:t>1,348,410</w:t>
            </w:r>
          </w:p>
        </w:tc>
      </w:tr>
      <w:tr>
        <w:trPr>
          <w:trHeight w:val="33"/>
        </w:trPr>
        <w:tc>
          <w:tcPr>
            <w:tcW w:w="4420" w:type="dxa"/>
            <w:vAlign w:val="bottom"/>
            <w:tcBorders>
              <w:bottom w:val="single" w:sz="8" w:color="9D9D9C"/>
            </w:tcBorders>
          </w:tcPr>
          <w:p>
            <w:pPr>
              <w:spacing w:after="0"/>
              <w:rPr>
                <w:sz w:val="2"/>
                <w:szCs w:val="2"/>
                <w:color w:val="auto"/>
              </w:rPr>
            </w:pPr>
          </w:p>
        </w:tc>
        <w:tc>
          <w:tcPr>
            <w:tcW w:w="1360" w:type="dxa"/>
            <w:vAlign w:val="bottom"/>
            <w:tcBorders>
              <w:bottom w:val="single" w:sz="8" w:color="9D9D9C"/>
            </w:tcBorders>
          </w:tcPr>
          <w:p>
            <w:pPr>
              <w:spacing w:after="0"/>
              <w:rPr>
                <w:sz w:val="2"/>
                <w:szCs w:val="2"/>
                <w:color w:val="auto"/>
              </w:rPr>
            </w:pPr>
          </w:p>
        </w:tc>
        <w:tc>
          <w:tcPr>
            <w:tcW w:w="13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820" w:type="dxa"/>
            <w:vAlign w:val="bottom"/>
            <w:tcBorders>
              <w:bottom w:val="single" w:sz="8" w:color="9D9D9C"/>
            </w:tcBorders>
          </w:tcPr>
          <w:p>
            <w:pPr>
              <w:spacing w:after="0"/>
              <w:rPr>
                <w:sz w:val="2"/>
                <w:szCs w:val="2"/>
                <w:color w:val="auto"/>
              </w:rPr>
            </w:pPr>
          </w:p>
        </w:tc>
      </w:tr>
      <w:tr>
        <w:trPr>
          <w:trHeight w:val="176"/>
        </w:trPr>
        <w:tc>
          <w:tcPr>
            <w:tcW w:w="4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Maryanne R. Lavan</w:t>
            </w:r>
          </w:p>
        </w:tc>
        <w:tc>
          <w:tcPr>
            <w:tcW w:w="13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NQSSP</w:t>
            </w:r>
          </w:p>
        </w:tc>
        <w:tc>
          <w:tcPr>
            <w:tcW w:w="1300" w:type="dxa"/>
            <w:vAlign w:val="bottom"/>
            <w:tcBorders>
              <w:bottom w:val="single" w:sz="8" w:color="E5E7EF"/>
            </w:tcBorders>
            <w:shd w:val="clear" w:color="auto" w:fill="E5E7EF"/>
          </w:tcPr>
          <w:p>
            <w:pPr>
              <w:jc w:val="right"/>
              <w:ind w:right="129"/>
              <w:spacing w:after="0" w:line="164" w:lineRule="exact"/>
              <w:rPr>
                <w:sz w:val="20"/>
                <w:szCs w:val="20"/>
                <w:color w:val="auto"/>
              </w:rPr>
            </w:pPr>
            <w:r>
              <w:rPr>
                <w:rFonts w:ascii="Calibri" w:cs="Calibri" w:eastAsia="Calibri" w:hAnsi="Calibri"/>
                <w:sz w:val="14"/>
                <w:szCs w:val="14"/>
                <w:color w:val="auto"/>
              </w:rPr>
              <w:t>132,500</w:t>
            </w:r>
          </w:p>
        </w:tc>
        <w:tc>
          <w:tcPr>
            <w:tcW w:w="1100" w:type="dxa"/>
            <w:vAlign w:val="bottom"/>
            <w:tcBorders>
              <w:bottom w:val="single" w:sz="8" w:color="E5E7EF"/>
            </w:tcBorders>
            <w:shd w:val="clear" w:color="auto" w:fill="E5E7EF"/>
          </w:tcPr>
          <w:p>
            <w:pPr>
              <w:jc w:val="right"/>
              <w:ind w:right="149"/>
              <w:spacing w:after="0" w:line="164" w:lineRule="exact"/>
              <w:rPr>
                <w:sz w:val="20"/>
                <w:szCs w:val="20"/>
                <w:color w:val="auto"/>
              </w:rPr>
            </w:pPr>
            <w:r>
              <w:rPr>
                <w:rFonts w:ascii="Calibri" w:cs="Calibri" w:eastAsia="Calibri" w:hAnsi="Calibri"/>
                <w:sz w:val="14"/>
                <w:szCs w:val="14"/>
                <w:color w:val="auto"/>
              </w:rPr>
              <w:t>31,177</w:t>
            </w:r>
          </w:p>
        </w:tc>
        <w:tc>
          <w:tcPr>
            <w:tcW w:w="1080" w:type="dxa"/>
            <w:vAlign w:val="bottom"/>
            <w:tcBorders>
              <w:bottom w:val="single" w:sz="8" w:color="E5E7EF"/>
            </w:tcBorders>
            <w:shd w:val="clear" w:color="auto" w:fill="E5E7EF"/>
          </w:tcPr>
          <w:p>
            <w:pPr>
              <w:jc w:val="right"/>
              <w:ind w:right="169"/>
              <w:spacing w:after="0" w:line="164" w:lineRule="exact"/>
              <w:rPr>
                <w:sz w:val="20"/>
                <w:szCs w:val="20"/>
                <w:color w:val="auto"/>
              </w:rPr>
            </w:pPr>
            <w:r>
              <w:rPr>
                <w:rFonts w:ascii="Calibri" w:cs="Calibri" w:eastAsia="Calibri" w:hAnsi="Calibri"/>
                <w:sz w:val="14"/>
                <w:szCs w:val="14"/>
                <w:color w:val="auto"/>
              </w:rPr>
              <w:t>(420,938)</w:t>
            </w:r>
          </w:p>
        </w:tc>
        <w:tc>
          <w:tcPr>
            <w:tcW w:w="1100" w:type="dxa"/>
            <w:vAlign w:val="bottom"/>
            <w:tcBorders>
              <w:bottom w:val="single" w:sz="8" w:color="E5E7EF"/>
            </w:tcBorders>
            <w:shd w:val="clear" w:color="auto" w:fill="E5E7EF"/>
          </w:tcPr>
          <w:p>
            <w:pPr>
              <w:ind w:left="760"/>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3,888,635</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color w:val="auto"/>
              </w:rPr>
              <w:t>NCAP</w:t>
            </w:r>
          </w:p>
        </w:tc>
        <w:tc>
          <w:tcPr>
            <w:tcW w:w="13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149"/>
              <w:spacing w:after="0"/>
              <w:rPr>
                <w:sz w:val="20"/>
                <w:szCs w:val="20"/>
                <w:color w:val="auto"/>
              </w:rPr>
            </w:pPr>
            <w:r>
              <w:rPr>
                <w:rFonts w:ascii="Calibri" w:cs="Calibri" w:eastAsia="Calibri" w:hAnsi="Calibri"/>
                <w:sz w:val="14"/>
                <w:szCs w:val="14"/>
                <w:color w:val="auto"/>
              </w:rPr>
              <w:t>35,700</w:t>
            </w:r>
          </w:p>
        </w:tc>
        <w:tc>
          <w:tcPr>
            <w:tcW w:w="1080" w:type="dxa"/>
            <w:vAlign w:val="bottom"/>
          </w:tcPr>
          <w:p>
            <w:pPr>
              <w:jc w:val="right"/>
              <w:ind w:right="169"/>
              <w:spacing w:after="0"/>
              <w:rPr>
                <w:sz w:val="20"/>
                <w:szCs w:val="20"/>
                <w:color w:val="auto"/>
              </w:rPr>
            </w:pPr>
            <w:r>
              <w:rPr>
                <w:rFonts w:ascii="Calibri" w:cs="Calibri" w:eastAsia="Calibri" w:hAnsi="Calibri"/>
                <w:sz w:val="14"/>
                <w:szCs w:val="14"/>
                <w:color w:val="auto"/>
              </w:rPr>
              <w:t>(16,690)</w:t>
            </w:r>
          </w:p>
        </w:tc>
        <w:tc>
          <w:tcPr>
            <w:tcW w:w="1100" w:type="dxa"/>
            <w:vAlign w:val="bottom"/>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161,413</w:t>
            </w:r>
          </w:p>
        </w:tc>
      </w:tr>
      <w:tr>
        <w:trPr>
          <w:trHeight w:val="33"/>
        </w:trPr>
        <w:tc>
          <w:tcPr>
            <w:tcW w:w="4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4420" w:type="dxa"/>
            <w:vAlign w:val="bottom"/>
          </w:tcPr>
          <w:p>
            <w:pPr>
              <w:spacing w:after="0"/>
              <w:rPr>
                <w:sz w:val="15"/>
                <w:szCs w:val="15"/>
                <w:color w:val="auto"/>
              </w:rPr>
            </w:pPr>
          </w:p>
        </w:tc>
        <w:tc>
          <w:tcPr>
            <w:tcW w:w="13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DMICP</w:t>
            </w:r>
          </w:p>
        </w:tc>
        <w:tc>
          <w:tcPr>
            <w:tcW w:w="1300" w:type="dxa"/>
            <w:vAlign w:val="bottom"/>
            <w:tcBorders>
              <w:bottom w:val="single" w:sz="8" w:color="E5E7EF"/>
            </w:tcBorders>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5E7EF"/>
            </w:tcBorders>
            <w:shd w:val="clear" w:color="auto" w:fill="E5E7EF"/>
          </w:tcPr>
          <w:p>
            <w:pPr>
              <w:jc w:val="right"/>
              <w:ind w:right="149"/>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E5E7EF"/>
            </w:tcBorders>
            <w:shd w:val="clear" w:color="auto" w:fill="E5E7EF"/>
          </w:tcPr>
          <w:p>
            <w:pPr>
              <w:jc w:val="right"/>
              <w:ind w:right="189"/>
              <w:spacing w:after="0"/>
              <w:rPr>
                <w:sz w:val="20"/>
                <w:szCs w:val="20"/>
                <w:color w:val="auto"/>
              </w:rPr>
            </w:pPr>
            <w:r>
              <w:rPr>
                <w:rFonts w:ascii="Calibri" w:cs="Calibri" w:eastAsia="Calibri" w:hAnsi="Calibri"/>
                <w:sz w:val="14"/>
                <w:szCs w:val="14"/>
                <w:color w:val="auto"/>
              </w:rPr>
              <w:t>1,409,557</w:t>
            </w:r>
          </w:p>
        </w:tc>
        <w:tc>
          <w:tcPr>
            <w:tcW w:w="1100" w:type="dxa"/>
            <w:vAlign w:val="bottom"/>
            <w:tcBorders>
              <w:bottom w:val="single" w:sz="8" w:color="E5E7EF"/>
            </w:tcBorders>
            <w:shd w:val="clear" w:color="auto" w:fill="E5E7EF"/>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5,052,549</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b w:val="1"/>
                <w:bCs w:val="1"/>
                <w:color w:val="auto"/>
              </w:rPr>
              <w:t>TOTAL</w:t>
            </w:r>
          </w:p>
        </w:tc>
        <w:tc>
          <w:tcPr>
            <w:tcW w:w="1300" w:type="dxa"/>
            <w:vAlign w:val="bottom"/>
          </w:tcPr>
          <w:p>
            <w:pPr>
              <w:jc w:val="right"/>
              <w:ind w:right="129"/>
              <w:spacing w:after="0"/>
              <w:rPr>
                <w:sz w:val="20"/>
                <w:szCs w:val="20"/>
                <w:color w:val="auto"/>
              </w:rPr>
            </w:pPr>
            <w:r>
              <w:rPr>
                <w:rFonts w:ascii="Calibri" w:cs="Calibri" w:eastAsia="Calibri" w:hAnsi="Calibri"/>
                <w:sz w:val="14"/>
                <w:szCs w:val="14"/>
                <w:b w:val="1"/>
                <w:bCs w:val="1"/>
                <w:color w:val="auto"/>
              </w:rPr>
              <w:t>132,500</w:t>
            </w:r>
          </w:p>
        </w:tc>
        <w:tc>
          <w:tcPr>
            <w:tcW w:w="1100" w:type="dxa"/>
            <w:vAlign w:val="bottom"/>
          </w:tcPr>
          <w:p>
            <w:pPr>
              <w:jc w:val="right"/>
              <w:ind w:right="149"/>
              <w:spacing w:after="0"/>
              <w:rPr>
                <w:sz w:val="20"/>
                <w:szCs w:val="20"/>
                <w:color w:val="auto"/>
              </w:rPr>
            </w:pPr>
            <w:r>
              <w:rPr>
                <w:rFonts w:ascii="Calibri" w:cs="Calibri" w:eastAsia="Calibri" w:hAnsi="Calibri"/>
                <w:sz w:val="14"/>
                <w:szCs w:val="14"/>
                <w:b w:val="1"/>
                <w:bCs w:val="1"/>
                <w:color w:val="auto"/>
              </w:rPr>
              <w:t>66,877</w:t>
            </w:r>
          </w:p>
        </w:tc>
        <w:tc>
          <w:tcPr>
            <w:tcW w:w="1080" w:type="dxa"/>
            <w:vAlign w:val="bottom"/>
          </w:tcPr>
          <w:p>
            <w:pPr>
              <w:jc w:val="right"/>
              <w:ind w:right="189"/>
              <w:spacing w:after="0"/>
              <w:rPr>
                <w:sz w:val="20"/>
                <w:szCs w:val="20"/>
                <w:color w:val="auto"/>
              </w:rPr>
            </w:pPr>
            <w:r>
              <w:rPr>
                <w:rFonts w:ascii="Calibri" w:cs="Calibri" w:eastAsia="Calibri" w:hAnsi="Calibri"/>
                <w:sz w:val="14"/>
                <w:szCs w:val="14"/>
                <w:b w:val="1"/>
                <w:bCs w:val="1"/>
                <w:color w:val="auto"/>
              </w:rPr>
              <w:t>971,929</w:t>
            </w:r>
          </w:p>
        </w:tc>
        <w:tc>
          <w:tcPr>
            <w:tcW w:w="1100" w:type="dxa"/>
            <w:vAlign w:val="bottom"/>
          </w:tcPr>
          <w:p>
            <w:pPr>
              <w:ind w:left="760"/>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b w:val="1"/>
                <w:bCs w:val="1"/>
                <w:color w:val="auto"/>
              </w:rPr>
              <w:t>9,102,597</w:t>
            </w:r>
          </w:p>
        </w:tc>
      </w:tr>
      <w:tr>
        <w:trPr>
          <w:trHeight w:val="33"/>
        </w:trPr>
        <w:tc>
          <w:tcPr>
            <w:tcW w:w="4420" w:type="dxa"/>
            <w:vAlign w:val="bottom"/>
            <w:tcBorders>
              <w:bottom w:val="single" w:sz="8" w:color="9D9D9C"/>
            </w:tcBorders>
          </w:tcPr>
          <w:p>
            <w:pPr>
              <w:spacing w:after="0"/>
              <w:rPr>
                <w:sz w:val="2"/>
                <w:szCs w:val="2"/>
                <w:color w:val="auto"/>
              </w:rPr>
            </w:pPr>
          </w:p>
        </w:tc>
        <w:tc>
          <w:tcPr>
            <w:tcW w:w="1360" w:type="dxa"/>
            <w:vAlign w:val="bottom"/>
            <w:tcBorders>
              <w:bottom w:val="single" w:sz="8" w:color="9D9D9C"/>
            </w:tcBorders>
          </w:tcPr>
          <w:p>
            <w:pPr>
              <w:spacing w:after="0"/>
              <w:rPr>
                <w:sz w:val="2"/>
                <w:szCs w:val="2"/>
                <w:color w:val="auto"/>
              </w:rPr>
            </w:pPr>
          </w:p>
        </w:tc>
        <w:tc>
          <w:tcPr>
            <w:tcW w:w="13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820" w:type="dxa"/>
            <w:vAlign w:val="bottom"/>
            <w:tcBorders>
              <w:bottom w:val="single" w:sz="8" w:color="9D9D9C"/>
            </w:tcBorders>
          </w:tcPr>
          <w:p>
            <w:pPr>
              <w:spacing w:after="0"/>
              <w:rPr>
                <w:sz w:val="2"/>
                <w:szCs w:val="2"/>
                <w:color w:val="auto"/>
              </w:rPr>
            </w:pPr>
          </w:p>
        </w:tc>
      </w:tr>
      <w:tr>
        <w:trPr>
          <w:trHeight w:val="176"/>
        </w:trPr>
        <w:tc>
          <w:tcPr>
            <w:tcW w:w="442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2E6D"/>
              </w:rPr>
              <w:t>Gregory M. Ulmer</w:t>
            </w:r>
          </w:p>
        </w:tc>
        <w:tc>
          <w:tcPr>
            <w:tcW w:w="13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NQSSP</w:t>
            </w:r>
          </w:p>
        </w:tc>
        <w:tc>
          <w:tcPr>
            <w:tcW w:w="1300" w:type="dxa"/>
            <w:vAlign w:val="bottom"/>
            <w:tcBorders>
              <w:bottom w:val="single" w:sz="8" w:color="E5E7EF"/>
            </w:tcBorders>
            <w:shd w:val="clear" w:color="auto" w:fill="E5E7EF"/>
          </w:tcPr>
          <w:p>
            <w:pPr>
              <w:jc w:val="right"/>
              <w:ind w:right="129"/>
              <w:spacing w:after="0" w:line="164" w:lineRule="exact"/>
              <w:rPr>
                <w:sz w:val="20"/>
                <w:szCs w:val="20"/>
                <w:color w:val="auto"/>
              </w:rPr>
            </w:pPr>
            <w:r>
              <w:rPr>
                <w:rFonts w:ascii="Calibri" w:cs="Calibri" w:eastAsia="Calibri" w:hAnsi="Calibri"/>
                <w:sz w:val="14"/>
                <w:szCs w:val="14"/>
                <w:color w:val="auto"/>
              </w:rPr>
              <w:t>95,300</w:t>
            </w:r>
          </w:p>
        </w:tc>
        <w:tc>
          <w:tcPr>
            <w:tcW w:w="1100" w:type="dxa"/>
            <w:vAlign w:val="bottom"/>
            <w:tcBorders>
              <w:bottom w:val="single" w:sz="8" w:color="E5E7EF"/>
            </w:tcBorders>
            <w:shd w:val="clear" w:color="auto" w:fill="E5E7EF"/>
          </w:tcPr>
          <w:p>
            <w:pPr>
              <w:jc w:val="right"/>
              <w:ind w:right="149"/>
              <w:spacing w:after="0" w:line="164" w:lineRule="exact"/>
              <w:rPr>
                <w:sz w:val="20"/>
                <w:szCs w:val="20"/>
                <w:color w:val="auto"/>
              </w:rPr>
            </w:pPr>
            <w:r>
              <w:rPr>
                <w:rFonts w:ascii="Calibri" w:cs="Calibri" w:eastAsia="Calibri" w:hAnsi="Calibri"/>
                <w:sz w:val="14"/>
                <w:szCs w:val="14"/>
                <w:color w:val="auto"/>
              </w:rPr>
              <w:t>31,767</w:t>
            </w:r>
          </w:p>
        </w:tc>
        <w:tc>
          <w:tcPr>
            <w:tcW w:w="1080" w:type="dxa"/>
            <w:vAlign w:val="bottom"/>
            <w:tcBorders>
              <w:bottom w:val="single" w:sz="8" w:color="E5E7EF"/>
            </w:tcBorders>
            <w:shd w:val="clear" w:color="auto" w:fill="E5E7EF"/>
          </w:tcPr>
          <w:p>
            <w:pPr>
              <w:jc w:val="right"/>
              <w:ind w:right="169"/>
              <w:spacing w:after="0" w:line="164" w:lineRule="exact"/>
              <w:rPr>
                <w:sz w:val="20"/>
                <w:szCs w:val="20"/>
                <w:color w:val="auto"/>
              </w:rPr>
            </w:pPr>
            <w:r>
              <w:rPr>
                <w:rFonts w:ascii="Calibri" w:cs="Calibri" w:eastAsia="Calibri" w:hAnsi="Calibri"/>
                <w:sz w:val="14"/>
                <w:szCs w:val="14"/>
                <w:color w:val="auto"/>
              </w:rPr>
              <w:t>(30,427)</w:t>
            </w:r>
          </w:p>
        </w:tc>
        <w:tc>
          <w:tcPr>
            <w:tcW w:w="1100" w:type="dxa"/>
            <w:vAlign w:val="bottom"/>
            <w:tcBorders>
              <w:bottom w:val="single" w:sz="8" w:color="E5E7EF"/>
            </w:tcBorders>
            <w:shd w:val="clear" w:color="auto" w:fill="E5E7EF"/>
          </w:tcPr>
          <w:p>
            <w:pPr>
              <w:ind w:left="760"/>
              <w:spacing w:after="0" w:line="164"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1,005,266</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color w:val="auto"/>
              </w:rPr>
              <w:t>NCAP</w:t>
            </w:r>
          </w:p>
        </w:tc>
        <w:tc>
          <w:tcPr>
            <w:tcW w:w="130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Pr>
          <w:p>
            <w:pPr>
              <w:jc w:val="right"/>
              <w:ind w:right="149"/>
              <w:spacing w:after="0"/>
              <w:rPr>
                <w:sz w:val="20"/>
                <w:szCs w:val="20"/>
                <w:color w:val="auto"/>
              </w:rPr>
            </w:pPr>
            <w:r>
              <w:rPr>
                <w:rFonts w:ascii="Calibri" w:cs="Calibri" w:eastAsia="Calibri" w:hAnsi="Calibri"/>
                <w:sz w:val="14"/>
                <w:szCs w:val="14"/>
                <w:color w:val="auto"/>
              </w:rPr>
              <w:t>39,600</w:t>
            </w:r>
          </w:p>
        </w:tc>
        <w:tc>
          <w:tcPr>
            <w:tcW w:w="1080" w:type="dxa"/>
            <w:vAlign w:val="bottom"/>
          </w:tcPr>
          <w:p>
            <w:pPr>
              <w:jc w:val="right"/>
              <w:ind w:right="169"/>
              <w:spacing w:after="0"/>
              <w:rPr>
                <w:sz w:val="20"/>
                <w:szCs w:val="20"/>
                <w:color w:val="auto"/>
              </w:rPr>
            </w:pPr>
            <w:r>
              <w:rPr>
                <w:rFonts w:ascii="Calibri" w:cs="Calibri" w:eastAsia="Calibri" w:hAnsi="Calibri"/>
                <w:sz w:val="14"/>
                <w:szCs w:val="14"/>
                <w:color w:val="auto"/>
              </w:rPr>
              <w:t>(9,355)</w:t>
            </w:r>
          </w:p>
        </w:tc>
        <w:tc>
          <w:tcPr>
            <w:tcW w:w="1100" w:type="dxa"/>
            <w:vAlign w:val="bottom"/>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color w:val="auto"/>
              </w:rPr>
              <w:t>101,456</w:t>
            </w:r>
          </w:p>
        </w:tc>
      </w:tr>
      <w:tr>
        <w:trPr>
          <w:trHeight w:val="33"/>
        </w:trPr>
        <w:tc>
          <w:tcPr>
            <w:tcW w:w="4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4420" w:type="dxa"/>
            <w:vAlign w:val="bottom"/>
          </w:tcPr>
          <w:p>
            <w:pPr>
              <w:spacing w:after="0"/>
              <w:rPr>
                <w:sz w:val="15"/>
                <w:szCs w:val="15"/>
                <w:color w:val="auto"/>
              </w:rPr>
            </w:pPr>
          </w:p>
        </w:tc>
        <w:tc>
          <w:tcPr>
            <w:tcW w:w="136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DMICP</w:t>
            </w:r>
          </w:p>
        </w:tc>
        <w:tc>
          <w:tcPr>
            <w:tcW w:w="1300" w:type="dxa"/>
            <w:vAlign w:val="bottom"/>
            <w:tcBorders>
              <w:bottom w:val="single" w:sz="8" w:color="E5E7EF"/>
            </w:tcBorders>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E5E7EF"/>
            </w:tcBorders>
            <w:shd w:val="clear" w:color="auto" w:fill="E5E7EF"/>
          </w:tcPr>
          <w:p>
            <w:pPr>
              <w:jc w:val="right"/>
              <w:ind w:right="149"/>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E5E7EF"/>
            </w:tcBorders>
            <w:shd w:val="clear" w:color="auto" w:fill="E5E7EF"/>
          </w:tcPr>
          <w:p>
            <w:pPr>
              <w:jc w:val="right"/>
              <w:ind w:right="169"/>
              <w:spacing w:after="0"/>
              <w:rPr>
                <w:sz w:val="20"/>
                <w:szCs w:val="20"/>
                <w:color w:val="auto"/>
              </w:rPr>
            </w:pPr>
            <w:r>
              <w:rPr>
                <w:rFonts w:ascii="Calibri" w:cs="Calibri" w:eastAsia="Calibri" w:hAnsi="Calibri"/>
                <w:sz w:val="14"/>
                <w:szCs w:val="14"/>
                <w:color w:val="auto"/>
              </w:rPr>
              <w:t>(272,298)</w:t>
            </w:r>
          </w:p>
        </w:tc>
        <w:tc>
          <w:tcPr>
            <w:tcW w:w="1100" w:type="dxa"/>
            <w:vAlign w:val="bottom"/>
            <w:tcBorders>
              <w:bottom w:val="single" w:sz="8" w:color="E5E7EF"/>
            </w:tcBorders>
            <w:shd w:val="clear" w:color="auto" w:fill="E5E7EF"/>
          </w:tcPr>
          <w:p>
            <w:pPr>
              <w:ind w:left="760"/>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Calibri" w:cs="Calibri" w:eastAsia="Calibri" w:hAnsi="Calibri"/>
                <w:sz w:val="14"/>
                <w:szCs w:val="14"/>
                <w:color w:val="auto"/>
              </w:rPr>
              <w:t>3,115,397</w:t>
            </w:r>
          </w:p>
        </w:tc>
      </w:tr>
      <w:tr>
        <w:trPr>
          <w:trHeight w:val="170"/>
        </w:trPr>
        <w:tc>
          <w:tcPr>
            <w:tcW w:w="4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alibri" w:cs="Calibri" w:eastAsia="Calibri" w:hAnsi="Calibri"/>
                <w:sz w:val="14"/>
                <w:szCs w:val="14"/>
                <w:b w:val="1"/>
                <w:bCs w:val="1"/>
                <w:color w:val="auto"/>
              </w:rPr>
              <w:t>TOTAL</w:t>
            </w:r>
          </w:p>
        </w:tc>
        <w:tc>
          <w:tcPr>
            <w:tcW w:w="1300" w:type="dxa"/>
            <w:vAlign w:val="bottom"/>
          </w:tcPr>
          <w:p>
            <w:pPr>
              <w:jc w:val="right"/>
              <w:ind w:right="129"/>
              <w:spacing w:after="0"/>
              <w:rPr>
                <w:sz w:val="20"/>
                <w:szCs w:val="20"/>
                <w:color w:val="auto"/>
              </w:rPr>
            </w:pPr>
            <w:r>
              <w:rPr>
                <w:rFonts w:ascii="Calibri" w:cs="Calibri" w:eastAsia="Calibri" w:hAnsi="Calibri"/>
                <w:sz w:val="14"/>
                <w:szCs w:val="14"/>
                <w:b w:val="1"/>
                <w:bCs w:val="1"/>
                <w:color w:val="auto"/>
              </w:rPr>
              <w:t>95,300</w:t>
            </w:r>
          </w:p>
        </w:tc>
        <w:tc>
          <w:tcPr>
            <w:tcW w:w="1100" w:type="dxa"/>
            <w:vAlign w:val="bottom"/>
          </w:tcPr>
          <w:p>
            <w:pPr>
              <w:jc w:val="right"/>
              <w:ind w:right="149"/>
              <w:spacing w:after="0"/>
              <w:rPr>
                <w:sz w:val="20"/>
                <w:szCs w:val="20"/>
                <w:color w:val="auto"/>
              </w:rPr>
            </w:pPr>
            <w:r>
              <w:rPr>
                <w:rFonts w:ascii="Calibri" w:cs="Calibri" w:eastAsia="Calibri" w:hAnsi="Calibri"/>
                <w:sz w:val="14"/>
                <w:szCs w:val="14"/>
                <w:b w:val="1"/>
                <w:bCs w:val="1"/>
                <w:color w:val="auto"/>
              </w:rPr>
              <w:t>71,367</w:t>
            </w:r>
          </w:p>
        </w:tc>
        <w:tc>
          <w:tcPr>
            <w:tcW w:w="1080" w:type="dxa"/>
            <w:vAlign w:val="bottom"/>
          </w:tcPr>
          <w:p>
            <w:pPr>
              <w:jc w:val="right"/>
              <w:ind w:right="169"/>
              <w:spacing w:after="0"/>
              <w:rPr>
                <w:sz w:val="20"/>
                <w:szCs w:val="20"/>
                <w:color w:val="auto"/>
              </w:rPr>
            </w:pPr>
            <w:r>
              <w:rPr>
                <w:rFonts w:ascii="Calibri" w:cs="Calibri" w:eastAsia="Calibri" w:hAnsi="Calibri"/>
                <w:sz w:val="14"/>
                <w:szCs w:val="14"/>
                <w:b w:val="1"/>
                <w:bCs w:val="1"/>
                <w:color w:val="auto"/>
              </w:rPr>
              <w:t>(312,080)</w:t>
            </w:r>
          </w:p>
        </w:tc>
        <w:tc>
          <w:tcPr>
            <w:tcW w:w="1100" w:type="dxa"/>
            <w:vAlign w:val="bottom"/>
          </w:tcPr>
          <w:p>
            <w:pPr>
              <w:ind w:left="760"/>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right"/>
              <w:spacing w:after="0"/>
              <w:rPr>
                <w:sz w:val="20"/>
                <w:szCs w:val="20"/>
                <w:color w:val="auto"/>
              </w:rPr>
            </w:pPr>
            <w:r>
              <w:rPr>
                <w:rFonts w:ascii="Calibri" w:cs="Calibri" w:eastAsia="Calibri" w:hAnsi="Calibri"/>
                <w:sz w:val="14"/>
                <w:szCs w:val="14"/>
                <w:b w:val="1"/>
                <w:bCs w:val="1"/>
                <w:color w:val="auto"/>
              </w:rPr>
              <w:t>4,222,119</w:t>
            </w:r>
          </w:p>
        </w:tc>
      </w:tr>
      <w:tr>
        <w:trPr>
          <w:trHeight w:val="33"/>
        </w:trPr>
        <w:tc>
          <w:tcPr>
            <w:tcW w:w="442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r>
    </w:tbl>
    <w:p>
      <w:pPr>
        <w:spacing w:after="0" w:line="188" w:lineRule="exact"/>
        <w:rPr>
          <w:sz w:val="20"/>
          <w:szCs w:val="20"/>
          <w:color w:val="auto"/>
        </w:rPr>
      </w:pPr>
    </w:p>
    <w:p>
      <w:pPr>
        <w:jc w:val="both"/>
        <w:ind w:left="260" w:right="20" w:hanging="252"/>
        <w:spacing w:after="0" w:line="229" w:lineRule="auto"/>
        <w:tabs>
          <w:tab w:leader="none" w:pos="256" w:val="left"/>
        </w:tabs>
        <w:numPr>
          <w:ilvl w:val="0"/>
          <w:numId w:val="94"/>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The amounts reported in the </w:t>
      </w:r>
      <w:r>
        <w:rPr>
          <w:rFonts w:ascii="Calibri" w:cs="Calibri" w:eastAsia="Calibri" w:hAnsi="Calibri"/>
          <w:sz w:val="14"/>
          <w:szCs w:val="14"/>
          <w:b w:val="1"/>
          <w:bCs w:val="1"/>
          <w:color w:val="auto"/>
        </w:rPr>
        <w:t>Executve Contributons in Last Fiscal Year</w:t>
      </w:r>
      <w:r>
        <w:rPr>
          <w:rFonts w:ascii="Calibri" w:cs="Calibri" w:eastAsia="Calibri" w:hAnsi="Calibri"/>
          <w:sz w:val="14"/>
          <w:szCs w:val="14"/>
          <w:color w:val="auto"/>
        </w:rPr>
        <w:t xml:space="preserve"> column include salary deferrals to the NQSSP in 2022 and any deferrals of annual incentve that was payable in 2022 for 2021 performance that was deferred to the DMICP. Any contributons with respect to 2022 performance deferred in 2023 (annual incentve payout and LTIP) are not credited untl 2023, and are not included.</w:t>
      </w:r>
    </w:p>
    <w:p>
      <w:pPr>
        <w:spacing w:after="0" w:line="60" w:lineRule="exact"/>
        <w:rPr>
          <w:rFonts w:ascii="Calibri" w:cs="Calibri" w:eastAsia="Calibri" w:hAnsi="Calibri"/>
          <w:sz w:val="19"/>
          <w:szCs w:val="19"/>
          <w:color w:val="auto"/>
          <w:vertAlign w:val="superscript"/>
        </w:rPr>
      </w:pPr>
    </w:p>
    <w:p>
      <w:pPr>
        <w:ind w:left="260" w:right="560" w:hanging="252"/>
        <w:spacing w:after="0" w:line="229" w:lineRule="auto"/>
        <w:tabs>
          <w:tab w:leader="none" w:pos="256" w:val="left"/>
        </w:tabs>
        <w:numPr>
          <w:ilvl w:val="0"/>
          <w:numId w:val="94"/>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The amounts reported in the </w:t>
      </w:r>
      <w:r>
        <w:rPr>
          <w:rFonts w:ascii="Calibri" w:cs="Calibri" w:eastAsia="Calibri" w:hAnsi="Calibri"/>
          <w:sz w:val="14"/>
          <w:szCs w:val="14"/>
          <w:b w:val="1"/>
          <w:bCs w:val="1"/>
          <w:color w:val="auto"/>
        </w:rPr>
        <w:t>Registrant Contributons in Last Fiscal Year</w:t>
      </w:r>
      <w:r>
        <w:rPr>
          <w:rFonts w:ascii="Calibri" w:cs="Calibri" w:eastAsia="Calibri" w:hAnsi="Calibri"/>
          <w:sz w:val="14"/>
          <w:szCs w:val="14"/>
          <w:color w:val="auto"/>
        </w:rPr>
        <w:t xml:space="preserve"> column include Company matching contributons to the NQSSP made in 2022 and Company nonelectve contributons made to the NCAP in 2022. The NQSSP Company match and NCAP Company nonelectve contributons are also included in the All Other Compensaton column of the “Summary Compensaton Table.”</w:t>
      </w:r>
    </w:p>
    <w:p>
      <w:pPr>
        <w:spacing w:after="0" w:line="11" w:lineRule="exact"/>
        <w:rPr>
          <w:rFonts w:ascii="Calibri" w:cs="Calibri" w:eastAsia="Calibri" w:hAnsi="Calibri"/>
          <w:sz w:val="19"/>
          <w:szCs w:val="19"/>
          <w:color w:val="auto"/>
          <w:vertAlign w:val="superscript"/>
        </w:rPr>
      </w:pPr>
    </w:p>
    <w:p>
      <w:pPr>
        <w:ind w:left="240" w:hanging="232"/>
        <w:spacing w:after="0"/>
        <w:tabs>
          <w:tab w:leader="none" w:pos="240" w:val="left"/>
        </w:tabs>
        <w:numPr>
          <w:ilvl w:val="0"/>
          <w:numId w:val="94"/>
        </w:numPr>
        <w:rPr>
          <w:rFonts w:ascii="Calibri" w:cs="Calibri" w:eastAsia="Calibri" w:hAnsi="Calibri"/>
          <w:sz w:val="19"/>
          <w:szCs w:val="19"/>
          <w:color w:val="auto"/>
          <w:vertAlign w:val="superscript"/>
        </w:rPr>
      </w:pPr>
      <w:r>
        <w:rPr>
          <w:rFonts w:ascii="Calibri" w:cs="Calibri" w:eastAsia="Calibri" w:hAnsi="Calibri"/>
          <w:sz w:val="14"/>
          <w:szCs w:val="14"/>
          <w:color w:val="auto"/>
        </w:rPr>
        <w:t>The amount of 2022 contributons and earnings reported in this table that is also reported as compensaton in our “Summary Compensaton Table” for 2022 is for Mr. Taiclet: $553,123; Mr.</w:t>
      </w:r>
    </w:p>
    <w:p>
      <w:pPr>
        <w:spacing w:after="0" w:line="39" w:lineRule="exact"/>
        <w:rPr>
          <w:rFonts w:ascii="Calibri" w:cs="Calibri" w:eastAsia="Calibri" w:hAnsi="Calibri"/>
          <w:sz w:val="19"/>
          <w:szCs w:val="19"/>
          <w:color w:val="auto"/>
          <w:vertAlign w:val="superscript"/>
        </w:rPr>
      </w:pPr>
    </w:p>
    <w:p>
      <w:pPr>
        <w:ind w:left="260"/>
        <w:spacing w:after="0" w:line="210"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Malave: $33,761; Mr. Mollard: $199,322; Mr. St. John: $307,920; Mr. Greene: $206,975; Ms. Lavan: $199,377 and Mr. Ulmer: $166,667. The amount in “Aggregate Balance at Last Fiscal Year</w:t>
      </w:r>
    </w:p>
    <w:p>
      <w:pPr>
        <w:spacing w:after="0" w:line="18" w:lineRule="exact"/>
        <w:rPr>
          <w:rFonts w:ascii="Calibri" w:cs="Calibri" w:eastAsia="Calibri" w:hAnsi="Calibri"/>
          <w:sz w:val="19"/>
          <w:szCs w:val="19"/>
          <w:color w:val="auto"/>
          <w:vertAlign w:val="superscript"/>
        </w:rPr>
      </w:pPr>
    </w:p>
    <w:p>
      <w:pPr>
        <w:ind w:left="260"/>
        <w:spacing w:after="0"/>
        <w:rPr>
          <w:rFonts w:ascii="Calibri" w:cs="Calibri" w:eastAsia="Calibri" w:hAnsi="Calibri"/>
          <w:sz w:val="19"/>
          <w:szCs w:val="19"/>
          <w:color w:val="auto"/>
          <w:vertAlign w:val="superscript"/>
        </w:rPr>
      </w:pPr>
      <w:r>
        <w:rPr>
          <w:rFonts w:ascii="Calibri" w:cs="Calibri" w:eastAsia="Calibri" w:hAnsi="Calibri"/>
          <w:sz w:val="14"/>
          <w:szCs w:val="14"/>
          <w:color w:val="auto"/>
        </w:rPr>
        <w:t>End” column reported as compensaton in our “Summary Compensaton Tables” for years prior to 2022 is for Mr. Taiclet: $590,012; Mr. Malave: none; Mr. Mollard: $570,182; Mr. St. John:</w:t>
      </w:r>
    </w:p>
    <w:p>
      <w:pPr>
        <w:spacing w:after="0" w:line="18" w:lineRule="exact"/>
        <w:rPr>
          <w:rFonts w:ascii="Calibri" w:cs="Calibri" w:eastAsia="Calibri" w:hAnsi="Calibri"/>
          <w:sz w:val="19"/>
          <w:szCs w:val="19"/>
          <w:color w:val="auto"/>
          <w:vertAlign w:val="superscript"/>
        </w:rPr>
      </w:pPr>
    </w:p>
    <w:p>
      <w:pPr>
        <w:ind w:left="260"/>
        <w:spacing w:after="0"/>
        <w:rPr>
          <w:rFonts w:ascii="Calibri" w:cs="Calibri" w:eastAsia="Calibri" w:hAnsi="Calibri"/>
          <w:sz w:val="19"/>
          <w:szCs w:val="19"/>
          <w:color w:val="auto"/>
          <w:vertAlign w:val="superscript"/>
        </w:rPr>
      </w:pPr>
      <w:r>
        <w:rPr>
          <w:rFonts w:ascii="Calibri" w:cs="Calibri" w:eastAsia="Calibri" w:hAnsi="Calibri"/>
          <w:sz w:val="14"/>
          <w:szCs w:val="14"/>
          <w:color w:val="auto"/>
        </w:rPr>
        <w:t>$2,021,986; Mr. Greene: none; Ms. Lavan: $794,940 and Mr. Ulmer: none.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3" w:name="page74"/>
    <w:bookmarkEnd w:id="73"/>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Potential Payments Upon Termination or Change in Control</w:t>
      </w:r>
    </w:p>
    <w:p>
      <w:pPr>
        <w:spacing w:after="0" w:line="144" w:lineRule="exact"/>
        <w:rPr>
          <w:sz w:val="20"/>
          <w:szCs w:val="20"/>
          <w:color w:val="auto"/>
        </w:rPr>
      </w:pPr>
    </w:p>
    <w:p>
      <w:pPr>
        <w:ind w:right="220"/>
        <w:spacing w:after="0" w:line="245" w:lineRule="auto"/>
        <w:rPr>
          <w:sz w:val="20"/>
          <w:szCs w:val="20"/>
          <w:color w:val="auto"/>
        </w:rPr>
      </w:pPr>
      <w:r>
        <w:rPr>
          <w:rFonts w:ascii="Calibri" w:cs="Calibri" w:eastAsia="Calibri" w:hAnsi="Calibri"/>
          <w:sz w:val="17"/>
          <w:szCs w:val="17"/>
          <w:color w:val="auto"/>
        </w:rPr>
        <w:t>The chart below summarizes the benefts that become payable to a NEO at, following, or in connecton with retrement, change in control, death, disability, layof, divestture, terminaton or resignaton under the terms of our beneft plans.</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060" w:type="dxa"/>
            <w:vAlign w:val="bottom"/>
            <w:tcBorders>
              <w:top w:val="single" w:sz="8" w:color="012E6C"/>
              <w:left w:val="single" w:sz="8" w:color="012E6C"/>
              <w:bottom w:val="single" w:sz="8" w:color="012E6C"/>
              <w:right w:val="single" w:sz="8" w:color="012E6C"/>
            </w:tcBorders>
          </w:tcPr>
          <w:p>
            <w:pPr>
              <w:spacing w:after="0"/>
              <w:rPr>
                <w:sz w:val="18"/>
                <w:szCs w:val="18"/>
                <w:color w:val="auto"/>
              </w:rPr>
            </w:pPr>
          </w:p>
        </w:tc>
        <w:tc>
          <w:tcPr>
            <w:tcW w:w="1920" w:type="dxa"/>
            <w:vAlign w:val="bottom"/>
            <w:tcBorders>
              <w:top w:val="single" w:sz="8" w:color="012E6C"/>
              <w:bottom w:val="single" w:sz="8" w:color="012E6C"/>
              <w:right w:val="single" w:sz="8" w:color="012E6C"/>
            </w:tcBorders>
          </w:tcPr>
          <w:p>
            <w:pPr>
              <w:ind w:left="620"/>
              <w:spacing w:after="0"/>
              <w:rPr>
                <w:sz w:val="20"/>
                <w:szCs w:val="20"/>
                <w:color w:val="auto"/>
              </w:rPr>
            </w:pPr>
            <w:r>
              <w:rPr>
                <w:rFonts w:ascii="Arial" w:cs="Arial" w:eastAsia="Arial" w:hAnsi="Arial"/>
                <w:sz w:val="13"/>
                <w:szCs w:val="13"/>
                <w:b w:val="1"/>
                <w:bCs w:val="1"/>
                <w:color w:val="auto"/>
              </w:rPr>
              <w:t>Retirement</w:t>
            </w:r>
          </w:p>
        </w:tc>
        <w:tc>
          <w:tcPr>
            <w:tcW w:w="1860" w:type="dxa"/>
            <w:vAlign w:val="bottom"/>
            <w:tcBorders>
              <w:top w:val="single" w:sz="8" w:color="012E6C"/>
              <w:bottom w:val="single" w:sz="8" w:color="012E6C"/>
              <w:right w:val="single" w:sz="8" w:color="012E6C"/>
            </w:tcBorders>
          </w:tcPr>
          <w:p>
            <w:pPr>
              <w:ind w:left="380"/>
              <w:spacing w:after="0"/>
              <w:rPr>
                <w:sz w:val="20"/>
                <w:szCs w:val="20"/>
                <w:color w:val="auto"/>
              </w:rPr>
            </w:pPr>
            <w:r>
              <w:rPr>
                <w:rFonts w:ascii="Arial" w:cs="Arial" w:eastAsia="Arial" w:hAnsi="Arial"/>
                <w:sz w:val="13"/>
                <w:szCs w:val="13"/>
                <w:b w:val="1"/>
                <w:bCs w:val="1"/>
                <w:color w:val="auto"/>
              </w:rPr>
              <w:t>Change in Control</w:t>
            </w:r>
          </w:p>
        </w:tc>
        <w:tc>
          <w:tcPr>
            <w:tcW w:w="2320" w:type="dxa"/>
            <w:vAlign w:val="bottom"/>
            <w:tcBorders>
              <w:top w:val="single" w:sz="8" w:color="012E6C"/>
              <w:bottom w:val="single" w:sz="8" w:color="012E6C"/>
              <w:right w:val="single" w:sz="8" w:color="012E6C"/>
            </w:tcBorders>
          </w:tcPr>
          <w:p>
            <w:pPr>
              <w:ind w:left="460"/>
              <w:spacing w:after="0"/>
              <w:rPr>
                <w:sz w:val="20"/>
                <w:szCs w:val="20"/>
                <w:color w:val="auto"/>
              </w:rPr>
            </w:pPr>
            <w:r>
              <w:rPr>
                <w:rFonts w:ascii="Arial" w:cs="Arial" w:eastAsia="Arial" w:hAnsi="Arial"/>
                <w:sz w:val="13"/>
                <w:szCs w:val="13"/>
                <w:b w:val="1"/>
                <w:bCs w:val="1"/>
                <w:color w:val="auto"/>
              </w:rPr>
              <w:t>Death/Disability/Layoff</w:t>
            </w:r>
          </w:p>
        </w:tc>
        <w:tc>
          <w:tcPr>
            <w:tcW w:w="80" w:type="dxa"/>
            <w:vAlign w:val="bottom"/>
            <w:tcBorders>
              <w:top w:val="single" w:sz="8" w:color="012E6C"/>
              <w:bottom w:val="single" w:sz="8" w:color="012E6C"/>
            </w:tcBorders>
          </w:tcPr>
          <w:p>
            <w:pPr>
              <w:spacing w:after="0"/>
              <w:rPr>
                <w:sz w:val="18"/>
                <w:szCs w:val="18"/>
                <w:color w:val="auto"/>
              </w:rPr>
            </w:pPr>
          </w:p>
        </w:tc>
        <w:tc>
          <w:tcPr>
            <w:tcW w:w="1960" w:type="dxa"/>
            <w:vAlign w:val="bottom"/>
            <w:tcBorders>
              <w:top w:val="single" w:sz="8" w:color="012E6C"/>
              <w:bottom w:val="single" w:sz="8" w:color="012E6C"/>
              <w:right w:val="single" w:sz="8" w:color="012E6C"/>
            </w:tcBorders>
            <w:gridSpan w:val="2"/>
          </w:tcPr>
          <w:p>
            <w:pPr>
              <w:ind w:left="560"/>
              <w:spacing w:after="0"/>
              <w:rPr>
                <w:sz w:val="20"/>
                <w:szCs w:val="20"/>
                <w:color w:val="auto"/>
              </w:rPr>
            </w:pPr>
            <w:r>
              <w:rPr>
                <w:rFonts w:ascii="Arial" w:cs="Arial" w:eastAsia="Arial" w:hAnsi="Arial"/>
                <w:sz w:val="13"/>
                <w:szCs w:val="13"/>
                <w:b w:val="1"/>
                <w:bCs w:val="1"/>
                <w:color w:val="auto"/>
              </w:rPr>
              <w:t>Divestiture</w:t>
            </w:r>
            <w:r>
              <w:rPr>
                <w:rFonts w:ascii="Arial" w:cs="Arial" w:eastAsia="Arial" w:hAnsi="Arial"/>
                <w:sz w:val="16"/>
                <w:szCs w:val="16"/>
                <w:b w:val="1"/>
                <w:bCs w:val="1"/>
                <w:color w:val="auto"/>
                <w:vertAlign w:val="superscript"/>
              </w:rPr>
              <w:t>(1)</w:t>
            </w:r>
          </w:p>
        </w:tc>
        <w:tc>
          <w:tcPr>
            <w:tcW w:w="100" w:type="dxa"/>
            <w:vAlign w:val="bottom"/>
            <w:tcBorders>
              <w:top w:val="single" w:sz="8" w:color="012E6C"/>
              <w:bottom w:val="single" w:sz="8" w:color="012E6C"/>
            </w:tcBorders>
          </w:tcPr>
          <w:p>
            <w:pPr>
              <w:spacing w:after="0"/>
              <w:rPr>
                <w:sz w:val="18"/>
                <w:szCs w:val="18"/>
                <w:color w:val="auto"/>
              </w:rPr>
            </w:pPr>
          </w:p>
        </w:tc>
        <w:tc>
          <w:tcPr>
            <w:tcW w:w="1960" w:type="dxa"/>
            <w:vAlign w:val="bottom"/>
            <w:tcBorders>
              <w:top w:val="single" w:sz="8" w:color="012E6C"/>
              <w:bottom w:val="single" w:sz="8" w:color="012E6C"/>
              <w:right w:val="single" w:sz="8" w:color="012E6C"/>
            </w:tcBorders>
            <w:gridSpan w:val="6"/>
          </w:tcPr>
          <w:p>
            <w:pPr>
              <w:ind w:left="180"/>
              <w:spacing w:after="0"/>
              <w:rPr>
                <w:sz w:val="20"/>
                <w:szCs w:val="20"/>
                <w:color w:val="auto"/>
              </w:rPr>
            </w:pPr>
            <w:r>
              <w:rPr>
                <w:rFonts w:ascii="Arial" w:cs="Arial" w:eastAsia="Arial" w:hAnsi="Arial"/>
                <w:sz w:val="13"/>
                <w:szCs w:val="13"/>
                <w:b w:val="1"/>
                <w:bCs w:val="1"/>
                <w:color w:val="auto"/>
              </w:rPr>
              <w:t>Termination/Resignation</w:t>
            </w:r>
          </w:p>
        </w:tc>
        <w:tc>
          <w:tcPr>
            <w:tcW w:w="0" w:type="dxa"/>
            <w:vAlign w:val="bottom"/>
          </w:tcPr>
          <w:p>
            <w:pPr>
              <w:spacing w:after="0"/>
              <w:rPr>
                <w:sz w:val="1"/>
                <w:szCs w:val="1"/>
                <w:color w:val="auto"/>
              </w:rPr>
            </w:pPr>
          </w:p>
        </w:tc>
      </w:tr>
      <w:tr>
        <w:trPr>
          <w:trHeight w:val="230"/>
        </w:trPr>
        <w:tc>
          <w:tcPr>
            <w:tcW w:w="1060" w:type="dxa"/>
            <w:vAlign w:val="bottom"/>
            <w:tcBorders>
              <w:left w:val="single" w:sz="8" w:color="012E6C"/>
              <w:right w:val="single" w:sz="8" w:color="012E6C"/>
            </w:tcBorders>
          </w:tcPr>
          <w:p>
            <w:pPr>
              <w:spacing w:after="0"/>
              <w:rPr>
                <w:sz w:val="20"/>
                <w:szCs w:val="20"/>
                <w:color w:val="auto"/>
              </w:rPr>
            </w:pPr>
          </w:p>
        </w:tc>
        <w:tc>
          <w:tcPr>
            <w:tcW w:w="1920" w:type="dxa"/>
            <w:vAlign w:val="bottom"/>
            <w:tcBorders>
              <w:right w:val="single" w:sz="8" w:color="012E6C"/>
            </w:tcBorders>
          </w:tcPr>
          <w:p>
            <w:pPr>
              <w:spacing w:after="0"/>
              <w:rPr>
                <w:sz w:val="20"/>
                <w:szCs w:val="20"/>
                <w:color w:val="auto"/>
              </w:rPr>
            </w:pPr>
          </w:p>
        </w:tc>
        <w:tc>
          <w:tcPr>
            <w:tcW w:w="1860" w:type="dxa"/>
            <w:vAlign w:val="bottom"/>
            <w:tcBorders>
              <w:right w:val="single" w:sz="8" w:color="012E6C"/>
            </w:tcBorders>
          </w:tcPr>
          <w:p>
            <w:pPr>
              <w:spacing w:after="0"/>
              <w:rPr>
                <w:sz w:val="20"/>
                <w:szCs w:val="20"/>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Payment may be prorated at target</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Borders>
              <w:right w:val="single" w:sz="8" w:color="012E6C"/>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right w:val="single" w:sz="8" w:color="012E6C"/>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860" w:type="dxa"/>
            <w:vAlign w:val="bottom"/>
            <w:tcBorders>
              <w:right w:val="single" w:sz="8" w:color="012E6C"/>
            </w:tcBorders>
          </w:tcPr>
          <w:p>
            <w:pPr>
              <w:spacing w:after="0"/>
              <w:rPr>
                <w:sz w:val="15"/>
                <w:szCs w:val="15"/>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for death or disability during the</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tcPr>
          <w:p>
            <w:pPr>
              <w:spacing w:after="0"/>
              <w:rPr>
                <w:sz w:val="16"/>
                <w:szCs w:val="16"/>
                <w:color w:val="auto"/>
              </w:rPr>
            </w:pPr>
          </w:p>
        </w:tc>
        <w:tc>
          <w:tcPr>
            <w:tcW w:w="1920" w:type="dxa"/>
            <w:vAlign w:val="bottom"/>
            <w:tcBorders>
              <w:right w:val="single" w:sz="8" w:color="012E6C"/>
            </w:tcBorders>
          </w:tcPr>
          <w:p>
            <w:pPr>
              <w:spacing w:after="0"/>
              <w:rPr>
                <w:sz w:val="16"/>
                <w:szCs w:val="16"/>
                <w:color w:val="auto"/>
              </w:rPr>
            </w:pP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year.</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Borders>
              <w:right w:val="single" w:sz="8" w:color="012E6C"/>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right w:val="single" w:sz="8" w:color="012E6C"/>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60" w:type="dxa"/>
            <w:vAlign w:val="bottom"/>
            <w:tcBorders>
              <w:left w:val="single" w:sz="8" w:color="012E6C"/>
              <w:right w:val="single" w:sz="8" w:color="012E6C"/>
            </w:tcBorders>
          </w:tcPr>
          <w:p>
            <w:pPr>
              <w:spacing w:after="0"/>
              <w:rPr>
                <w:sz w:val="21"/>
                <w:szCs w:val="21"/>
                <w:color w:val="auto"/>
              </w:rPr>
            </w:pPr>
          </w:p>
        </w:tc>
        <w:tc>
          <w:tcPr>
            <w:tcW w:w="1920" w:type="dxa"/>
            <w:vAlign w:val="bottom"/>
            <w:tcBorders>
              <w:right w:val="single" w:sz="8" w:color="012E6C"/>
            </w:tcBorders>
          </w:tcPr>
          <w:p>
            <w:pPr>
              <w:ind w:left="80"/>
              <w:spacing w:after="0"/>
              <w:rPr>
                <w:sz w:val="20"/>
                <w:szCs w:val="20"/>
                <w:color w:val="auto"/>
              </w:rPr>
            </w:pPr>
            <w:r>
              <w:rPr>
                <w:rFonts w:ascii="Calibri" w:cs="Calibri" w:eastAsia="Calibri" w:hAnsi="Calibri"/>
                <w:sz w:val="14"/>
                <w:szCs w:val="14"/>
                <w:color w:val="auto"/>
              </w:rPr>
              <w:t>Payment (at age 55 and fve</w:t>
            </w:r>
          </w:p>
        </w:tc>
        <w:tc>
          <w:tcPr>
            <w:tcW w:w="1860" w:type="dxa"/>
            <w:vAlign w:val="bottom"/>
            <w:tcBorders>
              <w:right w:val="single" w:sz="8" w:color="012E6C"/>
            </w:tcBorders>
          </w:tcPr>
          <w:p>
            <w:pPr>
              <w:spacing w:after="0"/>
              <w:rPr>
                <w:sz w:val="21"/>
                <w:szCs w:val="21"/>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Payment may be prorated based on</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0" w:type="dxa"/>
            <w:vAlign w:val="bottom"/>
            <w:tcBorders>
              <w:right w:val="single" w:sz="8" w:color="012E6C"/>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right w:val="single" w:sz="8" w:color="012E6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tcPr>
          <w:p>
            <w:pPr>
              <w:spacing w:after="0"/>
              <w:rPr>
                <w:sz w:val="16"/>
                <w:szCs w:val="16"/>
                <w:color w:val="auto"/>
              </w:rPr>
            </w:pPr>
          </w:p>
        </w:tc>
        <w:tc>
          <w:tcPr>
            <w:tcW w:w="1920" w:type="dxa"/>
            <w:vAlign w:val="bottom"/>
            <w:tcBorders>
              <w:right w:val="single" w:sz="8" w:color="012E6C"/>
            </w:tcBorders>
          </w:tcPr>
          <w:p>
            <w:pPr>
              <w:ind w:left="80"/>
              <w:spacing w:after="0"/>
              <w:rPr>
                <w:sz w:val="20"/>
                <w:szCs w:val="20"/>
                <w:color w:val="auto"/>
              </w:rPr>
            </w:pPr>
            <w:r>
              <w:rPr>
                <w:rFonts w:ascii="Calibri" w:cs="Calibri" w:eastAsia="Calibri" w:hAnsi="Calibri"/>
                <w:sz w:val="14"/>
                <w:szCs w:val="14"/>
                <w:color w:val="auto"/>
              </w:rPr>
              <w:t>years of service or age 65)</w:t>
            </w: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year-end performance results for</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Borders>
              <w:right w:val="single" w:sz="8" w:color="012E6C"/>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right w:val="single" w:sz="8" w:color="012E6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rPr>
              <w:t>Annual</w:t>
            </w:r>
          </w:p>
        </w:tc>
        <w:tc>
          <w:tcPr>
            <w:tcW w:w="1920" w:type="dxa"/>
            <w:vAlign w:val="bottom"/>
            <w:tcBorders>
              <w:right w:val="single" w:sz="8" w:color="012E6C"/>
            </w:tcBorders>
          </w:tcPr>
          <w:p>
            <w:pPr>
              <w:ind w:left="80"/>
              <w:spacing w:after="0"/>
              <w:rPr>
                <w:sz w:val="20"/>
                <w:szCs w:val="20"/>
                <w:color w:val="auto"/>
              </w:rPr>
            </w:pPr>
            <w:r>
              <w:rPr>
                <w:rFonts w:ascii="Calibri" w:cs="Calibri" w:eastAsia="Calibri" w:hAnsi="Calibri"/>
                <w:sz w:val="14"/>
                <w:szCs w:val="14"/>
                <w:color w:val="auto"/>
              </w:rPr>
              <w:t>may be prorated based on</w:t>
            </w: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layof with six months of</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Borders>
              <w:right w:val="single" w:sz="8" w:color="012E6C"/>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012E6C"/>
            </w:tcBorders>
            <w:gridSpan w:val="6"/>
          </w:tcPr>
          <w:p>
            <w:pPr>
              <w:spacing w:after="0"/>
              <w:rPr>
                <w:sz w:val="20"/>
                <w:szCs w:val="20"/>
                <w:color w:val="auto"/>
              </w:rPr>
            </w:pPr>
            <w:r>
              <w:rPr>
                <w:rFonts w:ascii="Calibri" w:cs="Calibri" w:eastAsia="Calibri" w:hAnsi="Calibri"/>
                <w:sz w:val="14"/>
                <w:szCs w:val="14"/>
                <w:color w:val="auto"/>
              </w:rPr>
              <w:t>No payment will be made for</w:t>
            </w:r>
          </w:p>
        </w:tc>
        <w:tc>
          <w:tcPr>
            <w:tcW w:w="0" w:type="dxa"/>
            <w:vAlign w:val="bottom"/>
          </w:tcPr>
          <w:p>
            <w:pPr>
              <w:spacing w:after="0"/>
              <w:rPr>
                <w:sz w:val="1"/>
                <w:szCs w:val="1"/>
                <w:color w:val="auto"/>
              </w:rPr>
            </w:pPr>
          </w:p>
        </w:tc>
      </w:tr>
      <w:tr>
        <w:trPr>
          <w:trHeight w:val="109"/>
        </w:trPr>
        <w:tc>
          <w:tcPr>
            <w:tcW w:w="1060" w:type="dxa"/>
            <w:vAlign w:val="bottom"/>
            <w:tcBorders>
              <w:left w:val="single" w:sz="8" w:color="012E6C"/>
              <w:right w:val="single" w:sz="8" w:color="012E6C"/>
            </w:tcBorders>
            <w:vMerge w:val="continue"/>
          </w:tcPr>
          <w:p>
            <w:pPr>
              <w:spacing w:after="0"/>
              <w:rPr>
                <w:sz w:val="9"/>
                <w:szCs w:val="9"/>
                <w:color w:val="auto"/>
              </w:rPr>
            </w:pPr>
          </w:p>
        </w:tc>
        <w:tc>
          <w:tcPr>
            <w:tcW w:w="1920" w:type="dxa"/>
            <w:vAlign w:val="bottom"/>
            <w:tcBorders>
              <w:right w:val="single" w:sz="8" w:color="012E6C"/>
            </w:tcBorders>
            <w:vMerge w:val="restart"/>
          </w:tcPr>
          <w:p>
            <w:pPr>
              <w:ind w:left="80"/>
              <w:spacing w:after="0"/>
              <w:rPr>
                <w:sz w:val="20"/>
                <w:szCs w:val="20"/>
                <w:color w:val="auto"/>
              </w:rPr>
            </w:pPr>
            <w:r>
              <w:rPr>
                <w:rFonts w:ascii="Calibri" w:cs="Calibri" w:eastAsia="Calibri" w:hAnsi="Calibri"/>
                <w:sz w:val="14"/>
                <w:szCs w:val="14"/>
                <w:color w:val="auto"/>
              </w:rPr>
              <w:t>year-end performance</w:t>
            </w:r>
          </w:p>
        </w:tc>
        <w:tc>
          <w:tcPr>
            <w:tcW w:w="186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No provision.</w:t>
            </w:r>
          </w:p>
        </w:tc>
        <w:tc>
          <w:tcPr>
            <w:tcW w:w="232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partcipaton in the year.</w:t>
            </w:r>
          </w:p>
        </w:tc>
        <w:tc>
          <w:tcPr>
            <w:tcW w:w="80" w:type="dxa"/>
            <w:vAlign w:val="bottom"/>
          </w:tcPr>
          <w:p>
            <w:pPr>
              <w:spacing w:after="0"/>
              <w:rPr>
                <w:sz w:val="9"/>
                <w:szCs w:val="9"/>
                <w:color w:val="auto"/>
              </w:rPr>
            </w:pPr>
          </w:p>
        </w:tc>
        <w:tc>
          <w:tcPr>
            <w:tcW w:w="1960" w:type="dxa"/>
            <w:vAlign w:val="bottom"/>
            <w:tcBorders>
              <w:right w:val="single" w:sz="8" w:color="012E6C"/>
            </w:tcBorders>
            <w:gridSpan w:val="2"/>
            <w:vMerge w:val="restart"/>
          </w:tcPr>
          <w:p>
            <w:pPr>
              <w:spacing w:after="0"/>
              <w:rPr>
                <w:sz w:val="20"/>
                <w:szCs w:val="20"/>
                <w:color w:val="auto"/>
              </w:rPr>
            </w:pPr>
            <w:r>
              <w:rPr>
                <w:rFonts w:ascii="Calibri" w:cs="Calibri" w:eastAsia="Calibri" w:hAnsi="Calibri"/>
                <w:sz w:val="14"/>
                <w:szCs w:val="14"/>
                <w:color w:val="auto"/>
              </w:rPr>
              <w:t>No provision.</w:t>
            </w:r>
          </w:p>
        </w:tc>
        <w:tc>
          <w:tcPr>
            <w:tcW w:w="100" w:type="dxa"/>
            <w:vAlign w:val="bottom"/>
          </w:tcPr>
          <w:p>
            <w:pPr>
              <w:spacing w:after="0"/>
              <w:rPr>
                <w:sz w:val="9"/>
                <w:szCs w:val="9"/>
                <w:color w:val="auto"/>
              </w:rPr>
            </w:pPr>
          </w:p>
        </w:tc>
        <w:tc>
          <w:tcPr>
            <w:tcW w:w="1960" w:type="dxa"/>
            <w:vAlign w:val="bottom"/>
            <w:tcBorders>
              <w:right w:val="single" w:sz="8" w:color="012E6C"/>
            </w:tcBorders>
            <w:gridSpan w:val="6"/>
            <w:vMerge w:val="restart"/>
          </w:tcPr>
          <w:p>
            <w:pPr>
              <w:spacing w:after="0"/>
              <w:rPr>
                <w:sz w:val="20"/>
                <w:szCs w:val="20"/>
                <w:color w:val="auto"/>
              </w:rPr>
            </w:pPr>
            <w:r>
              <w:rPr>
                <w:rFonts w:ascii="Calibri" w:cs="Calibri" w:eastAsia="Calibri" w:hAnsi="Calibri"/>
                <w:sz w:val="14"/>
                <w:szCs w:val="14"/>
                <w:color w:val="auto"/>
              </w:rPr>
              <w:t>terminaton/resignaton during</w:t>
            </w:r>
          </w:p>
        </w:tc>
        <w:tc>
          <w:tcPr>
            <w:tcW w:w="0" w:type="dxa"/>
            <w:vAlign w:val="bottom"/>
          </w:tcPr>
          <w:p>
            <w:pPr>
              <w:spacing w:after="0"/>
              <w:rPr>
                <w:sz w:val="1"/>
                <w:szCs w:val="1"/>
                <w:color w:val="auto"/>
              </w:rPr>
            </w:pPr>
          </w:p>
        </w:tc>
      </w:tr>
      <w:tr>
        <w:trPr>
          <w:trHeight w:val="80"/>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w w:val="96"/>
              </w:rPr>
              <w:t>Incentive</w:t>
            </w:r>
            <w:r>
              <w:rPr>
                <w:rFonts w:ascii="Arial" w:cs="Arial" w:eastAsia="Arial" w:hAnsi="Arial"/>
                <w:sz w:val="19"/>
                <w:szCs w:val="19"/>
                <w:b w:val="1"/>
                <w:bCs w:val="1"/>
                <w:color w:val="003478"/>
                <w:w w:val="96"/>
                <w:vertAlign w:val="superscript"/>
              </w:rPr>
              <w:t>(2)</w:t>
            </w:r>
          </w:p>
        </w:tc>
        <w:tc>
          <w:tcPr>
            <w:tcW w:w="1920" w:type="dxa"/>
            <w:vAlign w:val="bottom"/>
            <w:tcBorders>
              <w:right w:val="single" w:sz="8" w:color="012E6C"/>
            </w:tcBorders>
            <w:vMerge w:val="continue"/>
          </w:tcPr>
          <w:p>
            <w:pPr>
              <w:spacing w:after="0"/>
              <w:rPr>
                <w:sz w:val="6"/>
                <w:szCs w:val="6"/>
                <w:color w:val="auto"/>
              </w:rPr>
            </w:pPr>
          </w:p>
        </w:tc>
        <w:tc>
          <w:tcPr>
            <w:tcW w:w="1860" w:type="dxa"/>
            <w:vAlign w:val="bottom"/>
            <w:tcBorders>
              <w:right w:val="single" w:sz="8" w:color="012E6C"/>
            </w:tcBorders>
            <w:vMerge w:val="continue"/>
          </w:tcPr>
          <w:p>
            <w:pPr>
              <w:spacing w:after="0"/>
              <w:rPr>
                <w:sz w:val="6"/>
                <w:szCs w:val="6"/>
                <w:color w:val="auto"/>
              </w:rPr>
            </w:pPr>
          </w:p>
        </w:tc>
        <w:tc>
          <w:tcPr>
            <w:tcW w:w="2320" w:type="dxa"/>
            <w:vAlign w:val="bottom"/>
            <w:tcBorders>
              <w:right w:val="single" w:sz="8" w:color="012E6C"/>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right w:val="single" w:sz="8" w:color="012E6C"/>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Borders>
              <w:right w:val="single" w:sz="8" w:color="012E6C"/>
            </w:tcBorders>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060" w:type="dxa"/>
            <w:vAlign w:val="bottom"/>
            <w:tcBorders>
              <w:left w:val="single" w:sz="8" w:color="012E6C"/>
              <w:right w:val="single" w:sz="8" w:color="012E6C"/>
            </w:tcBorders>
            <w:vMerge w:val="continue"/>
          </w:tcPr>
          <w:p>
            <w:pPr>
              <w:spacing w:after="0"/>
              <w:rPr>
                <w:sz w:val="12"/>
                <w:szCs w:val="12"/>
                <w:color w:val="auto"/>
              </w:rPr>
            </w:pPr>
          </w:p>
        </w:tc>
        <w:tc>
          <w:tcPr>
            <w:tcW w:w="1920" w:type="dxa"/>
            <w:vAlign w:val="bottom"/>
            <w:tcBorders>
              <w:right w:val="single" w:sz="8" w:color="012E6C"/>
            </w:tcBorders>
            <w:vMerge w:val="restart"/>
          </w:tcPr>
          <w:p>
            <w:pPr>
              <w:ind w:left="80"/>
              <w:spacing w:after="0"/>
              <w:rPr>
                <w:sz w:val="20"/>
                <w:szCs w:val="20"/>
                <w:color w:val="auto"/>
              </w:rPr>
            </w:pPr>
            <w:r>
              <w:rPr>
                <w:rFonts w:ascii="Calibri" w:cs="Calibri" w:eastAsia="Calibri" w:hAnsi="Calibri"/>
                <w:sz w:val="14"/>
                <w:szCs w:val="14"/>
                <w:color w:val="auto"/>
              </w:rPr>
              <w:t>results for retrement during</w:t>
            </w:r>
          </w:p>
        </w:tc>
        <w:tc>
          <w:tcPr>
            <w:tcW w:w="1860" w:type="dxa"/>
            <w:vAlign w:val="bottom"/>
            <w:tcBorders>
              <w:right w:val="single" w:sz="8" w:color="012E6C"/>
            </w:tcBorders>
          </w:tcPr>
          <w:p>
            <w:pPr>
              <w:spacing w:after="0"/>
              <w:rPr>
                <w:sz w:val="12"/>
                <w:szCs w:val="12"/>
                <w:color w:val="auto"/>
              </w:rPr>
            </w:pPr>
          </w:p>
        </w:tc>
        <w:tc>
          <w:tcPr>
            <w:tcW w:w="232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No payment if layof occurs at any</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Borders>
              <w:right w:val="single" w:sz="8" w:color="012E6C"/>
            </w:tcBorders>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012E6C"/>
            </w:tcBorders>
            <w:gridSpan w:val="6"/>
            <w:vMerge w:val="restart"/>
          </w:tcPr>
          <w:p>
            <w:pPr>
              <w:spacing w:after="0"/>
              <w:rPr>
                <w:sz w:val="20"/>
                <w:szCs w:val="20"/>
                <w:color w:val="auto"/>
              </w:rPr>
            </w:pPr>
            <w:r>
              <w:rPr>
                <w:rFonts w:ascii="Calibri" w:cs="Calibri" w:eastAsia="Calibri" w:hAnsi="Calibri"/>
                <w:sz w:val="14"/>
                <w:szCs w:val="14"/>
                <w:color w:val="auto"/>
              </w:rPr>
              <w:t>the year.</w:t>
            </w:r>
          </w:p>
        </w:tc>
        <w:tc>
          <w:tcPr>
            <w:tcW w:w="0" w:type="dxa"/>
            <w:vAlign w:val="bottom"/>
          </w:tcPr>
          <w:p>
            <w:pPr>
              <w:spacing w:after="0"/>
              <w:rPr>
                <w:sz w:val="1"/>
                <w:szCs w:val="1"/>
                <w:color w:val="auto"/>
              </w:rPr>
            </w:pPr>
          </w:p>
        </w:tc>
      </w:tr>
      <w:tr>
        <w:trPr>
          <w:trHeight w:val="34"/>
        </w:trPr>
        <w:tc>
          <w:tcPr>
            <w:tcW w:w="1060" w:type="dxa"/>
            <w:vAlign w:val="bottom"/>
            <w:tcBorders>
              <w:left w:val="single" w:sz="8" w:color="012E6C"/>
              <w:right w:val="single" w:sz="8" w:color="012E6C"/>
            </w:tcBorders>
          </w:tcPr>
          <w:p>
            <w:pPr>
              <w:spacing w:after="0"/>
              <w:rPr>
                <w:sz w:val="2"/>
                <w:szCs w:val="2"/>
                <w:color w:val="auto"/>
              </w:rPr>
            </w:pPr>
          </w:p>
        </w:tc>
        <w:tc>
          <w:tcPr>
            <w:tcW w:w="1920" w:type="dxa"/>
            <w:vAlign w:val="bottom"/>
            <w:tcBorders>
              <w:right w:val="single" w:sz="8" w:color="012E6C"/>
            </w:tcBorders>
            <w:vMerge w:val="continue"/>
          </w:tcPr>
          <w:p>
            <w:pPr>
              <w:spacing w:after="0"/>
              <w:rPr>
                <w:sz w:val="2"/>
                <w:szCs w:val="2"/>
                <w:color w:val="auto"/>
              </w:rPr>
            </w:pPr>
          </w:p>
        </w:tc>
        <w:tc>
          <w:tcPr>
            <w:tcW w:w="1860" w:type="dxa"/>
            <w:vAlign w:val="bottom"/>
            <w:tcBorders>
              <w:right w:val="single" w:sz="8" w:color="012E6C"/>
            </w:tcBorders>
          </w:tcPr>
          <w:p>
            <w:pPr>
              <w:spacing w:after="0"/>
              <w:rPr>
                <w:sz w:val="2"/>
                <w:szCs w:val="2"/>
                <w:color w:val="auto"/>
              </w:rPr>
            </w:pPr>
          </w:p>
        </w:tc>
        <w:tc>
          <w:tcPr>
            <w:tcW w:w="2320" w:type="dxa"/>
            <w:vAlign w:val="bottom"/>
            <w:tcBorders>
              <w:right w:val="single" w:sz="8" w:color="012E6C"/>
            </w:tcBorders>
            <w:vMerge w:val="continue"/>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Borders>
              <w:right w:val="single" w:sz="8" w:color="012E6C"/>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right w:val="single" w:sz="8" w:color="012E6C"/>
            </w:tcBorders>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1060" w:type="dxa"/>
            <w:vAlign w:val="bottom"/>
            <w:tcBorders>
              <w:left w:val="single" w:sz="8" w:color="012E6C"/>
              <w:right w:val="single" w:sz="8" w:color="012E6C"/>
            </w:tcBorders>
          </w:tcPr>
          <w:p>
            <w:pPr>
              <w:spacing w:after="0"/>
              <w:rPr>
                <w:sz w:val="5"/>
                <w:szCs w:val="5"/>
                <w:color w:val="auto"/>
              </w:rPr>
            </w:pPr>
          </w:p>
        </w:tc>
        <w:tc>
          <w:tcPr>
            <w:tcW w:w="1920" w:type="dxa"/>
            <w:vAlign w:val="bottom"/>
            <w:tcBorders>
              <w:right w:val="single" w:sz="8" w:color="012E6C"/>
            </w:tcBorders>
            <w:vMerge w:val="restart"/>
          </w:tcPr>
          <w:p>
            <w:pPr>
              <w:ind w:left="80"/>
              <w:spacing w:after="0"/>
              <w:rPr>
                <w:sz w:val="20"/>
                <w:szCs w:val="20"/>
                <w:color w:val="auto"/>
              </w:rPr>
            </w:pPr>
            <w:r>
              <w:rPr>
                <w:rFonts w:ascii="Calibri" w:cs="Calibri" w:eastAsia="Calibri" w:hAnsi="Calibri"/>
                <w:sz w:val="14"/>
                <w:szCs w:val="14"/>
                <w:color w:val="auto"/>
              </w:rPr>
              <w:t>the year with six months of</w:t>
            </w:r>
          </w:p>
        </w:tc>
        <w:tc>
          <w:tcPr>
            <w:tcW w:w="1860" w:type="dxa"/>
            <w:vAlign w:val="bottom"/>
            <w:tcBorders>
              <w:right w:val="single" w:sz="8" w:color="012E6C"/>
            </w:tcBorders>
          </w:tcPr>
          <w:p>
            <w:pPr>
              <w:spacing w:after="0"/>
              <w:rPr>
                <w:sz w:val="5"/>
                <w:szCs w:val="5"/>
                <w:color w:val="auto"/>
              </w:rPr>
            </w:pPr>
          </w:p>
        </w:tc>
        <w:tc>
          <w:tcPr>
            <w:tcW w:w="2320" w:type="dxa"/>
            <w:vAlign w:val="bottom"/>
            <w:tcBorders>
              <w:right w:val="single" w:sz="8" w:color="012E6C"/>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tcBorders>
              <w:right w:val="single" w:sz="8" w:color="012E6C"/>
            </w:tcBorders>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right w:val="single" w:sz="8" w:color="012E6C"/>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060" w:type="dxa"/>
            <w:vAlign w:val="bottom"/>
            <w:tcBorders>
              <w:left w:val="single" w:sz="8" w:color="012E6C"/>
              <w:right w:val="single" w:sz="8" w:color="012E6C"/>
            </w:tcBorders>
          </w:tcPr>
          <w:p>
            <w:pPr>
              <w:spacing w:after="0"/>
              <w:rPr>
                <w:sz w:val="10"/>
                <w:szCs w:val="10"/>
                <w:color w:val="auto"/>
              </w:rPr>
            </w:pPr>
          </w:p>
        </w:tc>
        <w:tc>
          <w:tcPr>
            <w:tcW w:w="1920" w:type="dxa"/>
            <w:vAlign w:val="bottom"/>
            <w:tcBorders>
              <w:right w:val="single" w:sz="8" w:color="012E6C"/>
            </w:tcBorders>
            <w:vMerge w:val="continue"/>
          </w:tcPr>
          <w:p>
            <w:pPr>
              <w:spacing w:after="0"/>
              <w:rPr>
                <w:sz w:val="10"/>
                <w:szCs w:val="10"/>
                <w:color w:val="auto"/>
              </w:rPr>
            </w:pPr>
          </w:p>
        </w:tc>
        <w:tc>
          <w:tcPr>
            <w:tcW w:w="1860" w:type="dxa"/>
            <w:vAlign w:val="bottom"/>
            <w:tcBorders>
              <w:right w:val="single" w:sz="8" w:color="012E6C"/>
            </w:tcBorders>
          </w:tcPr>
          <w:p>
            <w:pPr>
              <w:spacing w:after="0"/>
              <w:rPr>
                <w:sz w:val="10"/>
                <w:szCs w:val="10"/>
                <w:color w:val="auto"/>
              </w:rPr>
            </w:pPr>
          </w:p>
        </w:tc>
        <w:tc>
          <w:tcPr>
            <w:tcW w:w="232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tme during the year, including on</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60" w:type="dxa"/>
            <w:vAlign w:val="bottom"/>
            <w:tcBorders>
              <w:right w:val="single" w:sz="8" w:color="012E6C"/>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right w:val="single" w:sz="8" w:color="012E6C"/>
            </w:tcBorders>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012E6C"/>
              <w:right w:val="single" w:sz="8" w:color="012E6C"/>
            </w:tcBorders>
          </w:tcPr>
          <w:p>
            <w:pPr>
              <w:spacing w:after="0"/>
              <w:rPr>
                <w:sz w:val="4"/>
                <w:szCs w:val="4"/>
                <w:color w:val="auto"/>
              </w:rPr>
            </w:pPr>
          </w:p>
        </w:tc>
        <w:tc>
          <w:tcPr>
            <w:tcW w:w="1920" w:type="dxa"/>
            <w:vAlign w:val="bottom"/>
            <w:tcBorders>
              <w:right w:val="single" w:sz="8" w:color="012E6C"/>
            </w:tcBorders>
            <w:vMerge w:val="restart"/>
          </w:tcPr>
          <w:p>
            <w:pPr>
              <w:ind w:left="80"/>
              <w:spacing w:after="0"/>
              <w:rPr>
                <w:sz w:val="20"/>
                <w:szCs w:val="20"/>
                <w:color w:val="auto"/>
              </w:rPr>
            </w:pPr>
            <w:r>
              <w:rPr>
                <w:rFonts w:ascii="Calibri" w:cs="Calibri" w:eastAsia="Calibri" w:hAnsi="Calibri"/>
                <w:sz w:val="14"/>
                <w:szCs w:val="14"/>
                <w:color w:val="auto"/>
              </w:rPr>
              <w:t>partcipaton in the year.</w:t>
            </w:r>
          </w:p>
        </w:tc>
        <w:tc>
          <w:tcPr>
            <w:tcW w:w="1860" w:type="dxa"/>
            <w:vAlign w:val="bottom"/>
            <w:tcBorders>
              <w:right w:val="single" w:sz="8" w:color="012E6C"/>
            </w:tcBorders>
          </w:tcPr>
          <w:p>
            <w:pPr>
              <w:spacing w:after="0"/>
              <w:rPr>
                <w:sz w:val="4"/>
                <w:szCs w:val="4"/>
                <w:color w:val="auto"/>
              </w:rPr>
            </w:pPr>
          </w:p>
        </w:tc>
        <w:tc>
          <w:tcPr>
            <w:tcW w:w="2320" w:type="dxa"/>
            <w:vAlign w:val="bottom"/>
            <w:tcBorders>
              <w:right w:val="single" w:sz="8" w:color="012E6C"/>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Borders>
              <w:right w:val="single" w:sz="8" w:color="012E6C"/>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right w:val="single" w:sz="8" w:color="012E6C"/>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60" w:type="dxa"/>
            <w:vAlign w:val="bottom"/>
            <w:tcBorders>
              <w:left w:val="single" w:sz="8" w:color="012E6C"/>
              <w:right w:val="single" w:sz="8" w:color="012E6C"/>
            </w:tcBorders>
          </w:tcPr>
          <w:p>
            <w:pPr>
              <w:spacing w:after="0"/>
              <w:rPr>
                <w:sz w:val="11"/>
                <w:szCs w:val="11"/>
                <w:color w:val="auto"/>
              </w:rPr>
            </w:pPr>
          </w:p>
        </w:tc>
        <w:tc>
          <w:tcPr>
            <w:tcW w:w="1920" w:type="dxa"/>
            <w:vAlign w:val="bottom"/>
            <w:tcBorders>
              <w:right w:val="single" w:sz="8" w:color="012E6C"/>
            </w:tcBorders>
            <w:vMerge w:val="continue"/>
          </w:tcPr>
          <w:p>
            <w:pPr>
              <w:spacing w:after="0"/>
              <w:rPr>
                <w:sz w:val="11"/>
                <w:szCs w:val="11"/>
                <w:color w:val="auto"/>
              </w:rPr>
            </w:pPr>
          </w:p>
        </w:tc>
        <w:tc>
          <w:tcPr>
            <w:tcW w:w="1860" w:type="dxa"/>
            <w:vAlign w:val="bottom"/>
            <w:tcBorders>
              <w:right w:val="single" w:sz="8" w:color="012E6C"/>
            </w:tcBorders>
          </w:tcPr>
          <w:p>
            <w:pPr>
              <w:spacing w:after="0"/>
              <w:rPr>
                <w:sz w:val="11"/>
                <w:szCs w:val="11"/>
                <w:color w:val="auto"/>
              </w:rPr>
            </w:pPr>
          </w:p>
        </w:tc>
        <w:tc>
          <w:tcPr>
            <w:tcW w:w="232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the last day of the year, and</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Borders>
              <w:right w:val="single" w:sz="8" w:color="012E6C"/>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right w:val="single" w:sz="8" w:color="012E6C"/>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60" w:type="dxa"/>
            <w:vAlign w:val="bottom"/>
            <w:tcBorders>
              <w:left w:val="single" w:sz="8" w:color="012E6C"/>
              <w:right w:val="single" w:sz="8" w:color="012E6C"/>
            </w:tcBorders>
          </w:tcPr>
          <w:p>
            <w:pPr>
              <w:spacing w:after="0"/>
              <w:rPr>
                <w:sz w:val="4"/>
                <w:szCs w:val="4"/>
                <w:color w:val="auto"/>
              </w:rPr>
            </w:pPr>
          </w:p>
        </w:tc>
        <w:tc>
          <w:tcPr>
            <w:tcW w:w="1920" w:type="dxa"/>
            <w:vAlign w:val="bottom"/>
            <w:tcBorders>
              <w:right w:val="single" w:sz="8" w:color="012E6C"/>
            </w:tcBorders>
          </w:tcPr>
          <w:p>
            <w:pPr>
              <w:spacing w:after="0"/>
              <w:rPr>
                <w:sz w:val="4"/>
                <w:szCs w:val="4"/>
                <w:color w:val="auto"/>
              </w:rPr>
            </w:pPr>
          </w:p>
        </w:tc>
        <w:tc>
          <w:tcPr>
            <w:tcW w:w="1860" w:type="dxa"/>
            <w:vAlign w:val="bottom"/>
            <w:tcBorders>
              <w:right w:val="single" w:sz="8" w:color="012E6C"/>
            </w:tcBorders>
          </w:tcPr>
          <w:p>
            <w:pPr>
              <w:spacing w:after="0"/>
              <w:rPr>
                <w:sz w:val="4"/>
                <w:szCs w:val="4"/>
                <w:color w:val="auto"/>
              </w:rPr>
            </w:pPr>
          </w:p>
        </w:tc>
        <w:tc>
          <w:tcPr>
            <w:tcW w:w="2320" w:type="dxa"/>
            <w:vAlign w:val="bottom"/>
            <w:tcBorders>
              <w:right w:val="single" w:sz="8" w:color="012E6C"/>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Borders>
              <w:right w:val="single" w:sz="8" w:color="012E6C"/>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right w:val="single" w:sz="8" w:color="012E6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tcPr>
          <w:p>
            <w:pPr>
              <w:spacing w:after="0"/>
              <w:rPr>
                <w:sz w:val="16"/>
                <w:szCs w:val="16"/>
                <w:color w:val="auto"/>
              </w:rPr>
            </w:pPr>
          </w:p>
        </w:tc>
        <w:tc>
          <w:tcPr>
            <w:tcW w:w="1920" w:type="dxa"/>
            <w:vAlign w:val="bottom"/>
            <w:tcBorders>
              <w:right w:val="single" w:sz="8" w:color="012E6C"/>
            </w:tcBorders>
          </w:tcPr>
          <w:p>
            <w:pPr>
              <w:spacing w:after="0"/>
              <w:rPr>
                <w:sz w:val="16"/>
                <w:szCs w:val="16"/>
                <w:color w:val="auto"/>
              </w:rPr>
            </w:pP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benefts are paid to the Executve</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Borders>
              <w:right w:val="single" w:sz="8" w:color="012E6C"/>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right w:val="single" w:sz="8" w:color="012E6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tcPr>
          <w:p>
            <w:pPr>
              <w:spacing w:after="0"/>
              <w:rPr>
                <w:sz w:val="16"/>
                <w:szCs w:val="16"/>
                <w:color w:val="auto"/>
              </w:rPr>
            </w:pPr>
          </w:p>
        </w:tc>
        <w:tc>
          <w:tcPr>
            <w:tcW w:w="1920" w:type="dxa"/>
            <w:vAlign w:val="bottom"/>
            <w:tcBorders>
              <w:right w:val="single" w:sz="8" w:color="012E6C"/>
            </w:tcBorders>
          </w:tcPr>
          <w:p>
            <w:pPr>
              <w:spacing w:after="0"/>
              <w:rPr>
                <w:sz w:val="16"/>
                <w:szCs w:val="16"/>
                <w:color w:val="auto"/>
              </w:rPr>
            </w:pP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under the Executve</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Borders>
              <w:right w:val="single" w:sz="8" w:color="012E6C"/>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right w:val="single" w:sz="8" w:color="012E6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tcPr>
          <w:p>
            <w:pPr>
              <w:spacing w:after="0"/>
              <w:rPr>
                <w:sz w:val="16"/>
                <w:szCs w:val="16"/>
                <w:color w:val="auto"/>
              </w:rPr>
            </w:pPr>
          </w:p>
        </w:tc>
        <w:tc>
          <w:tcPr>
            <w:tcW w:w="1920" w:type="dxa"/>
            <w:vAlign w:val="bottom"/>
            <w:tcBorders>
              <w:right w:val="single" w:sz="8" w:color="012E6C"/>
            </w:tcBorders>
          </w:tcPr>
          <w:p>
            <w:pPr>
              <w:spacing w:after="0"/>
              <w:rPr>
                <w:sz w:val="16"/>
                <w:szCs w:val="16"/>
                <w:color w:val="auto"/>
              </w:rPr>
            </w:pP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Severance Plan.</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Borders>
              <w:right w:val="single" w:sz="8" w:color="012E6C"/>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right w:val="single" w:sz="8" w:color="012E6C"/>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060" w:type="dxa"/>
            <w:vAlign w:val="bottom"/>
            <w:tcBorders>
              <w:left w:val="single" w:sz="8" w:color="012E6C"/>
              <w:bottom w:val="single" w:sz="8" w:color="012E6C"/>
              <w:right w:val="single" w:sz="8" w:color="012E6C"/>
            </w:tcBorders>
          </w:tcPr>
          <w:p>
            <w:pPr>
              <w:spacing w:after="0"/>
              <w:rPr>
                <w:sz w:val="9"/>
                <w:szCs w:val="9"/>
                <w:color w:val="auto"/>
              </w:rPr>
            </w:pPr>
          </w:p>
        </w:tc>
        <w:tc>
          <w:tcPr>
            <w:tcW w:w="1920" w:type="dxa"/>
            <w:vAlign w:val="bottom"/>
            <w:tcBorders>
              <w:bottom w:val="single" w:sz="8" w:color="012E6C"/>
              <w:right w:val="single" w:sz="8" w:color="012E6C"/>
            </w:tcBorders>
          </w:tcPr>
          <w:p>
            <w:pPr>
              <w:spacing w:after="0"/>
              <w:rPr>
                <w:sz w:val="9"/>
                <w:szCs w:val="9"/>
                <w:color w:val="auto"/>
              </w:rPr>
            </w:pPr>
          </w:p>
        </w:tc>
        <w:tc>
          <w:tcPr>
            <w:tcW w:w="1860" w:type="dxa"/>
            <w:vAlign w:val="bottom"/>
            <w:tcBorders>
              <w:bottom w:val="single" w:sz="8" w:color="012E6C"/>
              <w:right w:val="single" w:sz="8" w:color="012E6C"/>
            </w:tcBorders>
          </w:tcPr>
          <w:p>
            <w:pPr>
              <w:spacing w:after="0"/>
              <w:rPr>
                <w:sz w:val="9"/>
                <w:szCs w:val="9"/>
                <w:color w:val="auto"/>
              </w:rPr>
            </w:pPr>
          </w:p>
        </w:tc>
        <w:tc>
          <w:tcPr>
            <w:tcW w:w="2320" w:type="dxa"/>
            <w:vAlign w:val="bottom"/>
            <w:tcBorders>
              <w:bottom w:val="single" w:sz="8" w:color="012E6C"/>
              <w:right w:val="single" w:sz="8" w:color="012E6C"/>
            </w:tcBorders>
          </w:tcPr>
          <w:p>
            <w:pPr>
              <w:spacing w:after="0"/>
              <w:rPr>
                <w:sz w:val="9"/>
                <w:szCs w:val="9"/>
                <w:color w:val="auto"/>
              </w:rPr>
            </w:pPr>
          </w:p>
        </w:tc>
        <w:tc>
          <w:tcPr>
            <w:tcW w:w="80" w:type="dxa"/>
            <w:vAlign w:val="bottom"/>
            <w:tcBorders>
              <w:bottom w:val="single" w:sz="8" w:color="012E6C"/>
            </w:tcBorders>
          </w:tcPr>
          <w:p>
            <w:pPr>
              <w:spacing w:after="0"/>
              <w:rPr>
                <w:sz w:val="9"/>
                <w:szCs w:val="9"/>
                <w:color w:val="auto"/>
              </w:rPr>
            </w:pPr>
          </w:p>
        </w:tc>
        <w:tc>
          <w:tcPr>
            <w:tcW w:w="1100" w:type="dxa"/>
            <w:vAlign w:val="bottom"/>
            <w:tcBorders>
              <w:bottom w:val="single" w:sz="8" w:color="012E6C"/>
            </w:tcBorders>
          </w:tcPr>
          <w:p>
            <w:pPr>
              <w:spacing w:after="0"/>
              <w:rPr>
                <w:sz w:val="9"/>
                <w:szCs w:val="9"/>
                <w:color w:val="auto"/>
              </w:rPr>
            </w:pPr>
          </w:p>
        </w:tc>
        <w:tc>
          <w:tcPr>
            <w:tcW w:w="860" w:type="dxa"/>
            <w:vAlign w:val="bottom"/>
            <w:tcBorders>
              <w:bottom w:val="single" w:sz="8" w:color="012E6C"/>
              <w:right w:val="single" w:sz="8" w:color="012E6C"/>
            </w:tcBorders>
          </w:tcPr>
          <w:p>
            <w:pPr>
              <w:spacing w:after="0"/>
              <w:rPr>
                <w:sz w:val="9"/>
                <w:szCs w:val="9"/>
                <w:color w:val="auto"/>
              </w:rPr>
            </w:pPr>
          </w:p>
        </w:tc>
        <w:tc>
          <w:tcPr>
            <w:tcW w:w="100" w:type="dxa"/>
            <w:vAlign w:val="bottom"/>
            <w:tcBorders>
              <w:bottom w:val="single" w:sz="8" w:color="012E6C"/>
            </w:tcBorders>
          </w:tcPr>
          <w:p>
            <w:pPr>
              <w:spacing w:after="0"/>
              <w:rPr>
                <w:sz w:val="9"/>
                <w:szCs w:val="9"/>
                <w:color w:val="auto"/>
              </w:rPr>
            </w:pPr>
          </w:p>
        </w:tc>
        <w:tc>
          <w:tcPr>
            <w:tcW w:w="460" w:type="dxa"/>
            <w:vAlign w:val="bottom"/>
            <w:tcBorders>
              <w:bottom w:val="single" w:sz="8" w:color="012E6C"/>
            </w:tcBorders>
          </w:tcPr>
          <w:p>
            <w:pPr>
              <w:spacing w:after="0"/>
              <w:rPr>
                <w:sz w:val="9"/>
                <w:szCs w:val="9"/>
                <w:color w:val="auto"/>
              </w:rPr>
            </w:pPr>
          </w:p>
        </w:tc>
        <w:tc>
          <w:tcPr>
            <w:tcW w:w="120" w:type="dxa"/>
            <w:vAlign w:val="bottom"/>
            <w:tcBorders>
              <w:bottom w:val="single" w:sz="8" w:color="012E6C"/>
            </w:tcBorders>
          </w:tcPr>
          <w:p>
            <w:pPr>
              <w:spacing w:after="0"/>
              <w:rPr>
                <w:sz w:val="9"/>
                <w:szCs w:val="9"/>
                <w:color w:val="auto"/>
              </w:rPr>
            </w:pPr>
          </w:p>
        </w:tc>
        <w:tc>
          <w:tcPr>
            <w:tcW w:w="540" w:type="dxa"/>
            <w:vAlign w:val="bottom"/>
            <w:tcBorders>
              <w:bottom w:val="single" w:sz="8" w:color="012E6C"/>
            </w:tcBorders>
          </w:tcPr>
          <w:p>
            <w:pPr>
              <w:spacing w:after="0"/>
              <w:rPr>
                <w:sz w:val="9"/>
                <w:szCs w:val="9"/>
                <w:color w:val="auto"/>
              </w:rPr>
            </w:pPr>
          </w:p>
        </w:tc>
        <w:tc>
          <w:tcPr>
            <w:tcW w:w="460" w:type="dxa"/>
            <w:vAlign w:val="bottom"/>
            <w:tcBorders>
              <w:bottom w:val="single" w:sz="8" w:color="012E6C"/>
            </w:tcBorders>
          </w:tcPr>
          <w:p>
            <w:pPr>
              <w:spacing w:after="0"/>
              <w:rPr>
                <w:sz w:val="9"/>
                <w:szCs w:val="9"/>
                <w:color w:val="auto"/>
              </w:rPr>
            </w:pPr>
          </w:p>
        </w:tc>
        <w:tc>
          <w:tcPr>
            <w:tcW w:w="240" w:type="dxa"/>
            <w:vAlign w:val="bottom"/>
            <w:tcBorders>
              <w:bottom w:val="single" w:sz="8" w:color="012E6C"/>
            </w:tcBorders>
          </w:tcPr>
          <w:p>
            <w:pPr>
              <w:spacing w:after="0"/>
              <w:rPr>
                <w:sz w:val="9"/>
                <w:szCs w:val="9"/>
                <w:color w:val="auto"/>
              </w:rPr>
            </w:pPr>
          </w:p>
        </w:tc>
        <w:tc>
          <w:tcPr>
            <w:tcW w:w="140" w:type="dxa"/>
            <w:vAlign w:val="bottom"/>
            <w:tcBorders>
              <w:bottom w:val="single" w:sz="8" w:color="012E6C"/>
              <w:right w:val="single" w:sz="8" w:color="012E6C"/>
            </w:tcBorders>
          </w:tcPr>
          <w:p>
            <w:pPr>
              <w:spacing w:after="0"/>
              <w:rPr>
                <w:sz w:val="9"/>
                <w:szCs w:val="9"/>
                <w:color w:val="auto"/>
              </w:rPr>
            </w:pPr>
          </w:p>
        </w:tc>
        <w:tc>
          <w:tcPr>
            <w:tcW w:w="0" w:type="dxa"/>
            <w:vAlign w:val="bottom"/>
          </w:tcPr>
          <w:p>
            <w:pPr>
              <w:spacing w:after="0"/>
              <w:rPr>
                <w:sz w:val="1"/>
                <w:szCs w:val="1"/>
                <w:color w:val="auto"/>
              </w:rPr>
            </w:pPr>
          </w:p>
        </w:tc>
      </w:tr>
      <w:tr>
        <w:trPr>
          <w:trHeight w:val="506"/>
        </w:trPr>
        <w:tc>
          <w:tcPr>
            <w:tcW w:w="1060" w:type="dxa"/>
            <w:vAlign w:val="bottom"/>
            <w:tcBorders>
              <w:left w:val="single" w:sz="8" w:color="012E6C"/>
              <w:right w:val="single" w:sz="8" w:color="012E6C"/>
            </w:tcBorders>
            <w:shd w:val="clear" w:color="auto" w:fill="E5E7EF"/>
          </w:tcPr>
          <w:p>
            <w:pPr>
              <w:spacing w:after="0"/>
              <w:rPr>
                <w:sz w:val="24"/>
                <w:szCs w:val="24"/>
                <w:color w:val="auto"/>
              </w:rPr>
            </w:pPr>
          </w:p>
        </w:tc>
        <w:tc>
          <w:tcPr>
            <w:tcW w:w="1920" w:type="dxa"/>
            <w:vAlign w:val="bottom"/>
            <w:tcBorders>
              <w:right w:val="single" w:sz="8" w:color="012E6C"/>
            </w:tcBorders>
            <w:shd w:val="clear" w:color="auto" w:fill="E5E7EF"/>
          </w:tcPr>
          <w:p>
            <w:pPr>
              <w:spacing w:after="0"/>
              <w:rPr>
                <w:sz w:val="24"/>
                <w:szCs w:val="24"/>
                <w:color w:val="auto"/>
              </w:rPr>
            </w:pPr>
          </w:p>
        </w:tc>
        <w:tc>
          <w:tcPr>
            <w:tcW w:w="1860" w:type="dxa"/>
            <w:vAlign w:val="bottom"/>
            <w:tcBorders>
              <w:right w:val="single" w:sz="8" w:color="012E6C"/>
            </w:tcBorders>
            <w:shd w:val="clear" w:color="auto" w:fill="E5E7EF"/>
          </w:tcPr>
          <w:p>
            <w:pPr>
              <w:spacing w:after="0"/>
              <w:rPr>
                <w:sz w:val="24"/>
                <w:szCs w:val="24"/>
                <w:color w:val="auto"/>
              </w:rPr>
            </w:pPr>
          </w:p>
        </w:tc>
        <w:tc>
          <w:tcPr>
            <w:tcW w:w="2320" w:type="dxa"/>
            <w:vAlign w:val="bottom"/>
            <w:tcBorders>
              <w:right w:val="single" w:sz="8" w:color="012E6C"/>
            </w:tcBorders>
            <w:shd w:val="clear" w:color="auto" w:fill="E5E7EF"/>
          </w:tcPr>
          <w:p>
            <w:pPr>
              <w:ind w:left="100"/>
              <w:spacing w:after="0"/>
              <w:rPr>
                <w:sz w:val="20"/>
                <w:szCs w:val="20"/>
                <w:color w:val="auto"/>
              </w:rPr>
            </w:pPr>
            <w:r>
              <w:rPr>
                <w:rFonts w:ascii="Calibri" w:cs="Calibri" w:eastAsia="Calibri" w:hAnsi="Calibri"/>
                <w:sz w:val="14"/>
                <w:szCs w:val="14"/>
                <w:color w:val="auto"/>
              </w:rPr>
              <w:t>Upon layof and subject to six-</w:t>
            </w:r>
          </w:p>
        </w:tc>
        <w:tc>
          <w:tcPr>
            <w:tcW w:w="80" w:type="dxa"/>
            <w:vAlign w:val="bottom"/>
            <w:shd w:val="clear" w:color="auto" w:fill="E5E7EF"/>
          </w:tcPr>
          <w:p>
            <w:pPr>
              <w:spacing w:after="0"/>
              <w:rPr>
                <w:sz w:val="24"/>
                <w:szCs w:val="24"/>
                <w:color w:val="auto"/>
              </w:rPr>
            </w:pPr>
          </w:p>
        </w:tc>
        <w:tc>
          <w:tcPr>
            <w:tcW w:w="1960" w:type="dxa"/>
            <w:vAlign w:val="bottom"/>
            <w:tcBorders>
              <w:right w:val="single" w:sz="8" w:color="012E6C"/>
            </w:tcBorders>
            <w:gridSpan w:val="2"/>
            <w:shd w:val="clear" w:color="auto" w:fill="E5E7EF"/>
          </w:tcPr>
          <w:p>
            <w:pPr>
              <w:spacing w:after="0"/>
              <w:rPr>
                <w:sz w:val="20"/>
                <w:szCs w:val="20"/>
                <w:color w:val="auto"/>
              </w:rPr>
            </w:pPr>
            <w:r>
              <w:rPr>
                <w:rFonts w:ascii="Calibri" w:cs="Calibri" w:eastAsia="Calibri" w:hAnsi="Calibri"/>
                <w:sz w:val="14"/>
                <w:szCs w:val="14"/>
                <w:color w:val="auto"/>
              </w:rPr>
              <w:t>Unless assumed by the</w:t>
            </w:r>
          </w:p>
        </w:tc>
        <w:tc>
          <w:tcPr>
            <w:tcW w:w="100" w:type="dxa"/>
            <w:vAlign w:val="bottom"/>
            <w:shd w:val="clear" w:color="auto" w:fill="E5E7EF"/>
          </w:tcPr>
          <w:p>
            <w:pPr>
              <w:spacing w:after="0"/>
              <w:rPr>
                <w:sz w:val="24"/>
                <w:szCs w:val="24"/>
                <w:color w:val="auto"/>
              </w:rPr>
            </w:pPr>
          </w:p>
        </w:tc>
        <w:tc>
          <w:tcPr>
            <w:tcW w:w="460" w:type="dxa"/>
            <w:vAlign w:val="bottom"/>
            <w:shd w:val="clear" w:color="auto" w:fill="E5E7EF"/>
          </w:tcPr>
          <w:p>
            <w:pPr>
              <w:spacing w:after="0"/>
              <w:rPr>
                <w:sz w:val="24"/>
                <w:szCs w:val="24"/>
                <w:color w:val="auto"/>
              </w:rPr>
            </w:pPr>
          </w:p>
        </w:tc>
        <w:tc>
          <w:tcPr>
            <w:tcW w:w="120" w:type="dxa"/>
            <w:vAlign w:val="bottom"/>
            <w:shd w:val="clear" w:color="auto" w:fill="E5E7EF"/>
          </w:tcPr>
          <w:p>
            <w:pPr>
              <w:spacing w:after="0"/>
              <w:rPr>
                <w:sz w:val="24"/>
                <w:szCs w:val="24"/>
                <w:color w:val="auto"/>
              </w:rPr>
            </w:pPr>
          </w:p>
        </w:tc>
        <w:tc>
          <w:tcPr>
            <w:tcW w:w="540" w:type="dxa"/>
            <w:vAlign w:val="bottom"/>
            <w:shd w:val="clear" w:color="auto" w:fill="E5E7EF"/>
          </w:tcPr>
          <w:p>
            <w:pPr>
              <w:spacing w:after="0"/>
              <w:rPr>
                <w:sz w:val="24"/>
                <w:szCs w:val="24"/>
                <w:color w:val="auto"/>
              </w:rPr>
            </w:pPr>
          </w:p>
        </w:tc>
        <w:tc>
          <w:tcPr>
            <w:tcW w:w="460" w:type="dxa"/>
            <w:vAlign w:val="bottom"/>
            <w:shd w:val="clear" w:color="auto" w:fill="E5E7EF"/>
          </w:tcPr>
          <w:p>
            <w:pPr>
              <w:spacing w:after="0"/>
              <w:rPr>
                <w:sz w:val="24"/>
                <w:szCs w:val="24"/>
                <w:color w:val="auto"/>
              </w:rPr>
            </w:pPr>
          </w:p>
        </w:tc>
        <w:tc>
          <w:tcPr>
            <w:tcW w:w="240" w:type="dxa"/>
            <w:vAlign w:val="bottom"/>
            <w:tcBorders>
              <w:right w:val="single" w:sz="8" w:color="E5E7EF"/>
            </w:tcBorders>
            <w:shd w:val="clear" w:color="auto" w:fill="E5E7EF"/>
          </w:tcPr>
          <w:p>
            <w:pPr>
              <w:spacing w:after="0"/>
              <w:rPr>
                <w:sz w:val="24"/>
                <w:szCs w:val="24"/>
                <w:color w:val="auto"/>
              </w:rPr>
            </w:pPr>
          </w:p>
        </w:tc>
        <w:tc>
          <w:tcPr>
            <w:tcW w:w="140" w:type="dxa"/>
            <w:vAlign w:val="bottom"/>
            <w:tcBorders>
              <w:right w:val="single" w:sz="8" w:color="012E6C"/>
            </w:tcBorders>
            <w:shd w:val="clear" w:color="auto" w:fill="E5E7E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shd w:val="clear" w:color="auto" w:fill="E5E7EF"/>
          </w:tcPr>
          <w:p>
            <w:pPr>
              <w:spacing w:after="0"/>
              <w:rPr>
                <w:sz w:val="16"/>
                <w:szCs w:val="16"/>
                <w:color w:val="auto"/>
              </w:rPr>
            </w:pPr>
          </w:p>
        </w:tc>
        <w:tc>
          <w:tcPr>
            <w:tcW w:w="1920" w:type="dxa"/>
            <w:vAlign w:val="bottom"/>
            <w:tcBorders>
              <w:right w:val="single" w:sz="8" w:color="012E6C"/>
            </w:tcBorders>
            <w:shd w:val="clear" w:color="auto" w:fill="E5E7EF"/>
          </w:tcPr>
          <w:p>
            <w:pPr>
              <w:spacing w:after="0"/>
              <w:rPr>
                <w:sz w:val="16"/>
                <w:szCs w:val="16"/>
                <w:color w:val="auto"/>
              </w:rPr>
            </w:pPr>
          </w:p>
        </w:tc>
        <w:tc>
          <w:tcPr>
            <w:tcW w:w="1860" w:type="dxa"/>
            <w:vAlign w:val="bottom"/>
            <w:tcBorders>
              <w:right w:val="single" w:sz="8" w:color="012E6C"/>
            </w:tcBorders>
            <w:shd w:val="clear" w:color="auto" w:fill="E5E7EF"/>
          </w:tcPr>
          <w:p>
            <w:pPr>
              <w:spacing w:after="0"/>
              <w:rPr>
                <w:sz w:val="16"/>
                <w:szCs w:val="16"/>
                <w:color w:val="auto"/>
              </w:rPr>
            </w:pPr>
          </w:p>
        </w:tc>
        <w:tc>
          <w:tcPr>
            <w:tcW w:w="2320" w:type="dxa"/>
            <w:vAlign w:val="bottom"/>
            <w:tcBorders>
              <w:right w:val="single" w:sz="8" w:color="012E6C"/>
            </w:tcBorders>
            <w:shd w:val="clear" w:color="auto" w:fill="E5E7EF"/>
          </w:tcPr>
          <w:p>
            <w:pPr>
              <w:ind w:left="100"/>
              <w:spacing w:after="0"/>
              <w:rPr>
                <w:sz w:val="20"/>
                <w:szCs w:val="20"/>
                <w:color w:val="auto"/>
              </w:rPr>
            </w:pPr>
            <w:r>
              <w:rPr>
                <w:rFonts w:ascii="Calibri" w:cs="Calibri" w:eastAsia="Calibri" w:hAnsi="Calibri"/>
                <w:sz w:val="14"/>
                <w:szCs w:val="14"/>
                <w:color w:val="auto"/>
              </w:rPr>
              <w:t>month minimum service from date</w:t>
            </w:r>
          </w:p>
        </w:tc>
        <w:tc>
          <w:tcPr>
            <w:tcW w:w="80" w:type="dxa"/>
            <w:vAlign w:val="bottom"/>
            <w:shd w:val="clear" w:color="auto" w:fill="E5E7EF"/>
          </w:tcPr>
          <w:p>
            <w:pPr>
              <w:spacing w:after="0"/>
              <w:rPr>
                <w:sz w:val="16"/>
                <w:szCs w:val="16"/>
                <w:color w:val="auto"/>
              </w:rPr>
            </w:pPr>
          </w:p>
        </w:tc>
        <w:tc>
          <w:tcPr>
            <w:tcW w:w="1960" w:type="dxa"/>
            <w:vAlign w:val="bottom"/>
            <w:tcBorders>
              <w:right w:val="single" w:sz="8" w:color="012E6C"/>
            </w:tcBorders>
            <w:gridSpan w:val="2"/>
            <w:shd w:val="clear" w:color="auto" w:fill="E5E7EF"/>
          </w:tcPr>
          <w:p>
            <w:pPr>
              <w:spacing w:after="0"/>
              <w:rPr>
                <w:sz w:val="20"/>
                <w:szCs w:val="20"/>
                <w:color w:val="auto"/>
              </w:rPr>
            </w:pPr>
            <w:r>
              <w:rPr>
                <w:rFonts w:ascii="Calibri" w:cs="Calibri" w:eastAsia="Calibri" w:hAnsi="Calibri"/>
                <w:sz w:val="14"/>
                <w:szCs w:val="14"/>
                <w:color w:val="auto"/>
              </w:rPr>
              <w:t>successor, RSUs and dividend</w:t>
            </w:r>
          </w:p>
        </w:tc>
        <w:tc>
          <w:tcPr>
            <w:tcW w:w="10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120" w:type="dxa"/>
            <w:vAlign w:val="bottom"/>
            <w:shd w:val="clear" w:color="auto" w:fill="E5E7EF"/>
          </w:tcPr>
          <w:p>
            <w:pPr>
              <w:spacing w:after="0"/>
              <w:rPr>
                <w:sz w:val="16"/>
                <w:szCs w:val="16"/>
                <w:color w:val="auto"/>
              </w:rPr>
            </w:pPr>
          </w:p>
        </w:tc>
        <w:tc>
          <w:tcPr>
            <w:tcW w:w="54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240" w:type="dxa"/>
            <w:vAlign w:val="bottom"/>
            <w:tcBorders>
              <w:right w:val="single" w:sz="8" w:color="E5E7EF"/>
            </w:tcBorders>
            <w:shd w:val="clear" w:color="auto" w:fill="E5E7EF"/>
          </w:tcPr>
          <w:p>
            <w:pPr>
              <w:spacing w:after="0"/>
              <w:rPr>
                <w:sz w:val="16"/>
                <w:szCs w:val="16"/>
                <w:color w:val="auto"/>
              </w:rPr>
            </w:pPr>
          </w:p>
        </w:tc>
        <w:tc>
          <w:tcPr>
            <w:tcW w:w="140" w:type="dxa"/>
            <w:vAlign w:val="bottom"/>
            <w:tcBorders>
              <w:right w:val="single" w:sz="8" w:color="012E6C"/>
            </w:tcBorders>
            <w:shd w:val="clear" w:color="auto" w:fill="E5E7E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shd w:val="clear" w:color="auto" w:fill="E5E7EF"/>
          </w:tcPr>
          <w:p>
            <w:pPr>
              <w:spacing w:after="0"/>
              <w:rPr>
                <w:sz w:val="16"/>
                <w:szCs w:val="16"/>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For most awards, contnued</w:t>
            </w:r>
          </w:p>
        </w:tc>
        <w:tc>
          <w:tcPr>
            <w:tcW w:w="1860" w:type="dxa"/>
            <w:vAlign w:val="bottom"/>
            <w:tcBorders>
              <w:right w:val="single" w:sz="8" w:color="012E6C"/>
            </w:tcBorders>
            <w:shd w:val="clear" w:color="auto" w:fill="E5E7EF"/>
          </w:tcPr>
          <w:p>
            <w:pPr>
              <w:spacing w:after="0"/>
              <w:rPr>
                <w:sz w:val="16"/>
                <w:szCs w:val="16"/>
                <w:color w:val="auto"/>
              </w:rPr>
            </w:pPr>
          </w:p>
        </w:tc>
        <w:tc>
          <w:tcPr>
            <w:tcW w:w="2320" w:type="dxa"/>
            <w:vAlign w:val="bottom"/>
            <w:tcBorders>
              <w:right w:val="single" w:sz="8" w:color="012E6C"/>
            </w:tcBorders>
            <w:shd w:val="clear" w:color="auto" w:fill="E5E7EF"/>
          </w:tcPr>
          <w:p>
            <w:pPr>
              <w:ind w:left="100"/>
              <w:spacing w:after="0"/>
              <w:rPr>
                <w:sz w:val="20"/>
                <w:szCs w:val="20"/>
                <w:color w:val="auto"/>
              </w:rPr>
            </w:pPr>
            <w:r>
              <w:rPr>
                <w:rFonts w:ascii="Calibri" w:cs="Calibri" w:eastAsia="Calibri" w:hAnsi="Calibri"/>
                <w:sz w:val="14"/>
                <w:szCs w:val="14"/>
                <w:color w:val="auto"/>
              </w:rPr>
              <w:t>of grant and executon of a release</w:t>
            </w:r>
          </w:p>
        </w:tc>
        <w:tc>
          <w:tcPr>
            <w:tcW w:w="80" w:type="dxa"/>
            <w:vAlign w:val="bottom"/>
            <w:shd w:val="clear" w:color="auto" w:fill="E5E7EF"/>
          </w:tcPr>
          <w:p>
            <w:pPr>
              <w:spacing w:after="0"/>
              <w:rPr>
                <w:sz w:val="16"/>
                <w:szCs w:val="16"/>
                <w:color w:val="auto"/>
              </w:rPr>
            </w:pPr>
          </w:p>
        </w:tc>
        <w:tc>
          <w:tcPr>
            <w:tcW w:w="1960" w:type="dxa"/>
            <w:vAlign w:val="bottom"/>
            <w:tcBorders>
              <w:right w:val="single" w:sz="8" w:color="012E6C"/>
            </w:tcBorders>
            <w:gridSpan w:val="2"/>
            <w:shd w:val="clear" w:color="auto" w:fill="E5E7EF"/>
          </w:tcPr>
          <w:p>
            <w:pPr>
              <w:spacing w:after="0"/>
              <w:rPr>
                <w:sz w:val="20"/>
                <w:szCs w:val="20"/>
                <w:color w:val="auto"/>
              </w:rPr>
            </w:pPr>
            <w:r>
              <w:rPr>
                <w:rFonts w:ascii="Calibri" w:cs="Calibri" w:eastAsia="Calibri" w:hAnsi="Calibri"/>
                <w:sz w:val="14"/>
                <w:szCs w:val="14"/>
                <w:color w:val="auto"/>
              </w:rPr>
              <w:t>equivalents will vest on a pro</w:t>
            </w:r>
          </w:p>
        </w:tc>
        <w:tc>
          <w:tcPr>
            <w:tcW w:w="10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120" w:type="dxa"/>
            <w:vAlign w:val="bottom"/>
            <w:shd w:val="clear" w:color="auto" w:fill="E5E7EF"/>
          </w:tcPr>
          <w:p>
            <w:pPr>
              <w:spacing w:after="0"/>
              <w:rPr>
                <w:sz w:val="16"/>
                <w:szCs w:val="16"/>
                <w:color w:val="auto"/>
              </w:rPr>
            </w:pPr>
          </w:p>
        </w:tc>
        <w:tc>
          <w:tcPr>
            <w:tcW w:w="54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240" w:type="dxa"/>
            <w:vAlign w:val="bottom"/>
            <w:tcBorders>
              <w:right w:val="single" w:sz="8" w:color="E5E7EF"/>
            </w:tcBorders>
            <w:shd w:val="clear" w:color="auto" w:fill="E5E7EF"/>
          </w:tcPr>
          <w:p>
            <w:pPr>
              <w:spacing w:after="0"/>
              <w:rPr>
                <w:sz w:val="16"/>
                <w:szCs w:val="16"/>
                <w:color w:val="auto"/>
              </w:rPr>
            </w:pPr>
          </w:p>
        </w:tc>
        <w:tc>
          <w:tcPr>
            <w:tcW w:w="140" w:type="dxa"/>
            <w:vAlign w:val="bottom"/>
            <w:tcBorders>
              <w:right w:val="single" w:sz="8" w:color="012E6C"/>
            </w:tcBorders>
            <w:shd w:val="clear" w:color="auto" w:fill="E5E7EF"/>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060" w:type="dxa"/>
            <w:vAlign w:val="bottom"/>
            <w:tcBorders>
              <w:left w:val="single" w:sz="8" w:color="012E6C"/>
              <w:right w:val="single" w:sz="8" w:color="012E6C"/>
            </w:tcBorders>
            <w:shd w:val="clear" w:color="auto" w:fill="E5E7EF"/>
          </w:tcPr>
          <w:p>
            <w:pPr>
              <w:spacing w:after="0"/>
              <w:rPr>
                <w:sz w:val="10"/>
                <w:szCs w:val="10"/>
                <w:color w:val="auto"/>
              </w:rPr>
            </w:pPr>
          </w:p>
        </w:tc>
        <w:tc>
          <w:tcPr>
            <w:tcW w:w="1920" w:type="dxa"/>
            <w:vAlign w:val="bottom"/>
            <w:tcBorders>
              <w:right w:val="single" w:sz="8" w:color="012E6C"/>
            </w:tcBorders>
            <w:vMerge w:val="continue"/>
            <w:shd w:val="clear" w:color="auto" w:fill="E5E7EF"/>
          </w:tcPr>
          <w:p>
            <w:pPr>
              <w:spacing w:after="0"/>
              <w:rPr>
                <w:sz w:val="10"/>
                <w:szCs w:val="10"/>
                <w:color w:val="auto"/>
              </w:rPr>
            </w:pPr>
          </w:p>
        </w:tc>
        <w:tc>
          <w:tcPr>
            <w:tcW w:w="1860" w:type="dxa"/>
            <w:vAlign w:val="bottom"/>
            <w:tcBorders>
              <w:right w:val="single" w:sz="8" w:color="012E6C"/>
            </w:tcBorders>
            <w:shd w:val="clear" w:color="auto" w:fill="E5E7EF"/>
          </w:tcPr>
          <w:p>
            <w:pPr>
              <w:spacing w:after="0"/>
              <w:rPr>
                <w:sz w:val="10"/>
                <w:szCs w:val="10"/>
                <w:color w:val="auto"/>
              </w:rPr>
            </w:pP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of claims, for 2020 and 2021</w:t>
            </w:r>
          </w:p>
        </w:tc>
        <w:tc>
          <w:tcPr>
            <w:tcW w:w="80" w:type="dxa"/>
            <w:vAlign w:val="bottom"/>
            <w:shd w:val="clear" w:color="auto" w:fill="E5E7EF"/>
          </w:tcPr>
          <w:p>
            <w:pPr>
              <w:spacing w:after="0"/>
              <w:rPr>
                <w:sz w:val="10"/>
                <w:szCs w:val="10"/>
                <w:color w:val="auto"/>
              </w:rPr>
            </w:pPr>
          </w:p>
        </w:tc>
        <w:tc>
          <w:tcPr>
            <w:tcW w:w="1960" w:type="dxa"/>
            <w:vAlign w:val="bottom"/>
            <w:tcBorders>
              <w:right w:val="single" w:sz="8" w:color="012E6C"/>
            </w:tcBorders>
            <w:gridSpan w:val="2"/>
            <w:vMerge w:val="restart"/>
            <w:shd w:val="clear" w:color="auto" w:fill="E5E7EF"/>
          </w:tcPr>
          <w:p>
            <w:pPr>
              <w:spacing w:after="0"/>
              <w:rPr>
                <w:sz w:val="20"/>
                <w:szCs w:val="20"/>
                <w:color w:val="auto"/>
              </w:rPr>
            </w:pPr>
            <w:r>
              <w:rPr>
                <w:rFonts w:ascii="Calibri" w:cs="Calibri" w:eastAsia="Calibri" w:hAnsi="Calibri"/>
                <w:sz w:val="14"/>
                <w:szCs w:val="14"/>
                <w:color w:val="auto"/>
              </w:rPr>
              <w:t>rata basis based on the days</w:t>
            </w:r>
          </w:p>
        </w:tc>
        <w:tc>
          <w:tcPr>
            <w:tcW w:w="100" w:type="dxa"/>
            <w:vAlign w:val="bottom"/>
            <w:shd w:val="clear" w:color="auto" w:fill="E5E7EF"/>
          </w:tcPr>
          <w:p>
            <w:pPr>
              <w:spacing w:after="0"/>
              <w:rPr>
                <w:sz w:val="10"/>
                <w:szCs w:val="10"/>
                <w:color w:val="auto"/>
              </w:rPr>
            </w:pPr>
          </w:p>
        </w:tc>
        <w:tc>
          <w:tcPr>
            <w:tcW w:w="460" w:type="dxa"/>
            <w:vAlign w:val="bottom"/>
            <w:shd w:val="clear" w:color="auto" w:fill="E5E7EF"/>
          </w:tcPr>
          <w:p>
            <w:pPr>
              <w:spacing w:after="0"/>
              <w:rPr>
                <w:sz w:val="10"/>
                <w:szCs w:val="10"/>
                <w:color w:val="auto"/>
              </w:rPr>
            </w:pPr>
          </w:p>
        </w:tc>
        <w:tc>
          <w:tcPr>
            <w:tcW w:w="120" w:type="dxa"/>
            <w:vAlign w:val="bottom"/>
            <w:shd w:val="clear" w:color="auto" w:fill="E5E7EF"/>
          </w:tcPr>
          <w:p>
            <w:pPr>
              <w:spacing w:after="0"/>
              <w:rPr>
                <w:sz w:val="10"/>
                <w:szCs w:val="10"/>
                <w:color w:val="auto"/>
              </w:rPr>
            </w:pPr>
          </w:p>
        </w:tc>
        <w:tc>
          <w:tcPr>
            <w:tcW w:w="540" w:type="dxa"/>
            <w:vAlign w:val="bottom"/>
            <w:shd w:val="clear" w:color="auto" w:fill="E5E7EF"/>
          </w:tcPr>
          <w:p>
            <w:pPr>
              <w:spacing w:after="0"/>
              <w:rPr>
                <w:sz w:val="10"/>
                <w:szCs w:val="10"/>
                <w:color w:val="auto"/>
              </w:rPr>
            </w:pPr>
          </w:p>
        </w:tc>
        <w:tc>
          <w:tcPr>
            <w:tcW w:w="460" w:type="dxa"/>
            <w:vAlign w:val="bottom"/>
            <w:shd w:val="clear" w:color="auto" w:fill="E5E7EF"/>
          </w:tcPr>
          <w:p>
            <w:pPr>
              <w:spacing w:after="0"/>
              <w:rPr>
                <w:sz w:val="10"/>
                <w:szCs w:val="10"/>
                <w:color w:val="auto"/>
              </w:rPr>
            </w:pPr>
          </w:p>
        </w:tc>
        <w:tc>
          <w:tcPr>
            <w:tcW w:w="240" w:type="dxa"/>
            <w:vAlign w:val="bottom"/>
            <w:tcBorders>
              <w:right w:val="single" w:sz="8" w:color="E5E7EF"/>
            </w:tcBorders>
            <w:shd w:val="clear" w:color="auto" w:fill="E5E7EF"/>
          </w:tcPr>
          <w:p>
            <w:pPr>
              <w:spacing w:after="0"/>
              <w:rPr>
                <w:sz w:val="10"/>
                <w:szCs w:val="10"/>
                <w:color w:val="auto"/>
              </w:rPr>
            </w:pPr>
          </w:p>
        </w:tc>
        <w:tc>
          <w:tcPr>
            <w:tcW w:w="140" w:type="dxa"/>
            <w:vAlign w:val="bottom"/>
            <w:tcBorders>
              <w:right w:val="single" w:sz="8" w:color="012E6C"/>
            </w:tcBorders>
            <w:shd w:val="clear" w:color="auto" w:fill="E5E7EF"/>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60" w:type="dxa"/>
            <w:vAlign w:val="bottom"/>
            <w:tcBorders>
              <w:left w:val="single" w:sz="8" w:color="012E6C"/>
              <w:right w:val="single" w:sz="8" w:color="012E6C"/>
            </w:tcBorders>
            <w:shd w:val="clear" w:color="auto" w:fill="E5E7EF"/>
          </w:tcPr>
          <w:p>
            <w:pPr>
              <w:spacing w:after="0"/>
              <w:rPr>
                <w:sz w:val="6"/>
                <w:szCs w:val="6"/>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vestng of RSUs and dividend</w:t>
            </w:r>
          </w:p>
        </w:tc>
        <w:tc>
          <w:tcPr>
            <w:tcW w:w="1860" w:type="dxa"/>
            <w:vAlign w:val="bottom"/>
            <w:tcBorders>
              <w:right w:val="single" w:sz="8" w:color="012E6C"/>
            </w:tcBorders>
            <w:shd w:val="clear" w:color="auto" w:fill="E5E7EF"/>
          </w:tcPr>
          <w:p>
            <w:pPr>
              <w:spacing w:after="0"/>
              <w:rPr>
                <w:sz w:val="6"/>
                <w:szCs w:val="6"/>
                <w:color w:val="auto"/>
              </w:rPr>
            </w:pPr>
          </w:p>
        </w:tc>
        <w:tc>
          <w:tcPr>
            <w:tcW w:w="2320" w:type="dxa"/>
            <w:vAlign w:val="bottom"/>
            <w:tcBorders>
              <w:right w:val="single" w:sz="8" w:color="012E6C"/>
            </w:tcBorders>
            <w:vMerge w:val="continue"/>
            <w:shd w:val="clear" w:color="auto" w:fill="E5E7EF"/>
          </w:tcPr>
          <w:p>
            <w:pPr>
              <w:spacing w:after="0"/>
              <w:rPr>
                <w:sz w:val="6"/>
                <w:szCs w:val="6"/>
                <w:color w:val="auto"/>
              </w:rPr>
            </w:pPr>
          </w:p>
        </w:tc>
        <w:tc>
          <w:tcPr>
            <w:tcW w:w="80" w:type="dxa"/>
            <w:vAlign w:val="bottom"/>
            <w:shd w:val="clear" w:color="auto" w:fill="E5E7EF"/>
          </w:tcPr>
          <w:p>
            <w:pPr>
              <w:spacing w:after="0"/>
              <w:rPr>
                <w:sz w:val="6"/>
                <w:szCs w:val="6"/>
                <w:color w:val="auto"/>
              </w:rPr>
            </w:pPr>
          </w:p>
        </w:tc>
        <w:tc>
          <w:tcPr>
            <w:tcW w:w="1960" w:type="dxa"/>
            <w:vAlign w:val="bottom"/>
            <w:tcBorders>
              <w:right w:val="single" w:sz="8" w:color="012E6C"/>
            </w:tcBorders>
            <w:gridSpan w:val="2"/>
            <w:vMerge w:val="continue"/>
            <w:shd w:val="clear" w:color="auto" w:fill="E5E7EF"/>
          </w:tcPr>
          <w:p>
            <w:pPr>
              <w:spacing w:after="0"/>
              <w:rPr>
                <w:sz w:val="6"/>
                <w:szCs w:val="6"/>
                <w:color w:val="auto"/>
              </w:rPr>
            </w:pPr>
          </w:p>
        </w:tc>
        <w:tc>
          <w:tcPr>
            <w:tcW w:w="100" w:type="dxa"/>
            <w:vAlign w:val="bottom"/>
            <w:shd w:val="clear" w:color="auto" w:fill="E5E7EF"/>
          </w:tcPr>
          <w:p>
            <w:pPr>
              <w:spacing w:after="0"/>
              <w:rPr>
                <w:sz w:val="6"/>
                <w:szCs w:val="6"/>
                <w:color w:val="auto"/>
              </w:rPr>
            </w:pPr>
          </w:p>
        </w:tc>
        <w:tc>
          <w:tcPr>
            <w:tcW w:w="460" w:type="dxa"/>
            <w:vAlign w:val="bottom"/>
            <w:shd w:val="clear" w:color="auto" w:fill="E5E7EF"/>
          </w:tcPr>
          <w:p>
            <w:pPr>
              <w:spacing w:after="0"/>
              <w:rPr>
                <w:sz w:val="6"/>
                <w:szCs w:val="6"/>
                <w:color w:val="auto"/>
              </w:rPr>
            </w:pPr>
          </w:p>
        </w:tc>
        <w:tc>
          <w:tcPr>
            <w:tcW w:w="120" w:type="dxa"/>
            <w:vAlign w:val="bottom"/>
            <w:shd w:val="clear" w:color="auto" w:fill="E5E7EF"/>
          </w:tcPr>
          <w:p>
            <w:pPr>
              <w:spacing w:after="0"/>
              <w:rPr>
                <w:sz w:val="6"/>
                <w:szCs w:val="6"/>
                <w:color w:val="auto"/>
              </w:rPr>
            </w:pPr>
          </w:p>
        </w:tc>
        <w:tc>
          <w:tcPr>
            <w:tcW w:w="540" w:type="dxa"/>
            <w:vAlign w:val="bottom"/>
            <w:shd w:val="clear" w:color="auto" w:fill="E5E7EF"/>
          </w:tcPr>
          <w:p>
            <w:pPr>
              <w:spacing w:after="0"/>
              <w:rPr>
                <w:sz w:val="6"/>
                <w:szCs w:val="6"/>
                <w:color w:val="auto"/>
              </w:rPr>
            </w:pPr>
          </w:p>
        </w:tc>
        <w:tc>
          <w:tcPr>
            <w:tcW w:w="460" w:type="dxa"/>
            <w:vAlign w:val="bottom"/>
            <w:shd w:val="clear" w:color="auto" w:fill="E5E7EF"/>
          </w:tcPr>
          <w:p>
            <w:pPr>
              <w:spacing w:after="0"/>
              <w:rPr>
                <w:sz w:val="6"/>
                <w:szCs w:val="6"/>
                <w:color w:val="auto"/>
              </w:rPr>
            </w:pPr>
          </w:p>
        </w:tc>
        <w:tc>
          <w:tcPr>
            <w:tcW w:w="240" w:type="dxa"/>
            <w:vAlign w:val="bottom"/>
            <w:tcBorders>
              <w:right w:val="single" w:sz="8" w:color="E5E7EF"/>
            </w:tcBorders>
            <w:shd w:val="clear" w:color="auto" w:fill="E5E7EF"/>
          </w:tcPr>
          <w:p>
            <w:pPr>
              <w:spacing w:after="0"/>
              <w:rPr>
                <w:sz w:val="6"/>
                <w:szCs w:val="6"/>
                <w:color w:val="auto"/>
              </w:rPr>
            </w:pPr>
          </w:p>
        </w:tc>
        <w:tc>
          <w:tcPr>
            <w:tcW w:w="140" w:type="dxa"/>
            <w:vAlign w:val="bottom"/>
            <w:tcBorders>
              <w:right w:val="single" w:sz="8" w:color="012E6C"/>
            </w:tcBorders>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8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Immediate vestng of RSUs,</w:t>
            </w: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awards, contnued vestng of RSUs</w:t>
            </w:r>
          </w:p>
        </w:tc>
        <w:tc>
          <w:tcPr>
            <w:tcW w:w="80" w:type="dxa"/>
            <w:vAlign w:val="bottom"/>
            <w:shd w:val="clear" w:color="auto" w:fill="E5E7EF"/>
          </w:tcPr>
          <w:p>
            <w:pPr>
              <w:spacing w:after="0"/>
              <w:rPr>
                <w:sz w:val="8"/>
                <w:szCs w:val="8"/>
                <w:color w:val="auto"/>
              </w:rPr>
            </w:pPr>
          </w:p>
        </w:tc>
        <w:tc>
          <w:tcPr>
            <w:tcW w:w="1960" w:type="dxa"/>
            <w:vAlign w:val="bottom"/>
            <w:tcBorders>
              <w:right w:val="single" w:sz="8" w:color="012E6C"/>
            </w:tcBorders>
            <w:gridSpan w:val="2"/>
            <w:vMerge w:val="restart"/>
            <w:shd w:val="clear" w:color="auto" w:fill="E5E7EF"/>
          </w:tcPr>
          <w:p>
            <w:pPr>
              <w:spacing w:after="0"/>
              <w:rPr>
                <w:sz w:val="20"/>
                <w:szCs w:val="20"/>
                <w:color w:val="auto"/>
              </w:rPr>
            </w:pPr>
            <w:r>
              <w:rPr>
                <w:rFonts w:ascii="Calibri" w:cs="Calibri" w:eastAsia="Calibri" w:hAnsi="Calibri"/>
                <w:sz w:val="14"/>
                <w:szCs w:val="14"/>
                <w:color w:val="auto"/>
              </w:rPr>
              <w:t>into the vestng period at</w:t>
            </w:r>
          </w:p>
        </w:tc>
        <w:tc>
          <w:tcPr>
            <w:tcW w:w="100" w:type="dxa"/>
            <w:vAlign w:val="bottom"/>
            <w:shd w:val="clear" w:color="auto" w:fill="E5E7EF"/>
          </w:tcPr>
          <w:p>
            <w:pPr>
              <w:spacing w:after="0"/>
              <w:rPr>
                <w:sz w:val="8"/>
                <w:szCs w:val="8"/>
                <w:color w:val="auto"/>
              </w:rPr>
            </w:pPr>
          </w:p>
        </w:tc>
        <w:tc>
          <w:tcPr>
            <w:tcW w:w="1960" w:type="dxa"/>
            <w:vAlign w:val="bottom"/>
            <w:tcBorders>
              <w:right w:val="single" w:sz="8" w:color="012E6C"/>
            </w:tcBorders>
            <w:gridSpan w:val="6"/>
            <w:vMerge w:val="restart"/>
            <w:shd w:val="clear" w:color="auto" w:fill="E5E7EF"/>
          </w:tcPr>
          <w:p>
            <w:pPr>
              <w:spacing w:after="0"/>
              <w:rPr>
                <w:sz w:val="20"/>
                <w:szCs w:val="20"/>
                <w:color w:val="auto"/>
              </w:rPr>
            </w:pPr>
            <w:r>
              <w:rPr>
                <w:rFonts w:ascii="Calibri" w:cs="Calibri" w:eastAsia="Calibri" w:hAnsi="Calibri"/>
                <w:sz w:val="14"/>
                <w:szCs w:val="14"/>
                <w:color w:val="auto"/>
              </w:rPr>
              <w:t>Forfeit unvested RSUs, PSUs</w:t>
            </w:r>
          </w:p>
        </w:tc>
        <w:tc>
          <w:tcPr>
            <w:tcW w:w="0" w:type="dxa"/>
            <w:vAlign w:val="bottom"/>
          </w:tcPr>
          <w:p>
            <w:pPr>
              <w:spacing w:after="0"/>
              <w:rPr>
                <w:sz w:val="1"/>
                <w:szCs w:val="1"/>
                <w:color w:val="auto"/>
              </w:rPr>
            </w:pPr>
          </w:p>
        </w:tc>
      </w:tr>
      <w:tr>
        <w:trPr>
          <w:trHeight w:val="73"/>
        </w:trPr>
        <w:tc>
          <w:tcPr>
            <w:tcW w:w="1060" w:type="dxa"/>
            <w:vAlign w:val="bottom"/>
            <w:tcBorders>
              <w:left w:val="single" w:sz="8" w:color="012E6C"/>
              <w:right w:val="single" w:sz="8" w:color="012E6C"/>
            </w:tcBorders>
            <w:vMerge w:val="restart"/>
            <w:shd w:val="clear" w:color="auto" w:fill="E5E7EF"/>
          </w:tcPr>
          <w:p>
            <w:pPr>
              <w:jc w:val="right"/>
              <w:ind w:right="189"/>
              <w:spacing w:after="0"/>
              <w:rPr>
                <w:sz w:val="20"/>
                <w:szCs w:val="20"/>
                <w:color w:val="auto"/>
              </w:rPr>
            </w:pPr>
            <w:r>
              <w:rPr>
                <w:rFonts w:ascii="Arial" w:cs="Arial" w:eastAsia="Arial" w:hAnsi="Arial"/>
                <w:sz w:val="10"/>
                <w:szCs w:val="10"/>
                <w:b w:val="1"/>
                <w:bCs w:val="1"/>
                <w:color w:val="003478"/>
              </w:rPr>
              <w:t>(3)</w:t>
            </w:r>
          </w:p>
        </w:tc>
        <w:tc>
          <w:tcPr>
            <w:tcW w:w="1920" w:type="dxa"/>
            <w:vAlign w:val="bottom"/>
            <w:tcBorders>
              <w:right w:val="single" w:sz="8" w:color="012E6C"/>
            </w:tcBorders>
            <w:vMerge w:val="restart"/>
            <w:shd w:val="clear" w:color="auto" w:fill="E5E7EF"/>
          </w:tcPr>
          <w:p>
            <w:pPr>
              <w:ind w:left="80"/>
              <w:spacing w:after="0" w:line="155" w:lineRule="exact"/>
              <w:rPr>
                <w:sz w:val="20"/>
                <w:szCs w:val="20"/>
                <w:color w:val="auto"/>
              </w:rPr>
            </w:pPr>
            <w:r>
              <w:rPr>
                <w:rFonts w:ascii="Calibri" w:cs="Calibri" w:eastAsia="Calibri" w:hAnsi="Calibri"/>
                <w:sz w:val="14"/>
                <w:szCs w:val="14"/>
                <w:color w:val="auto"/>
              </w:rPr>
              <w:t>equivalents subject to six-</w:t>
            </w:r>
          </w:p>
        </w:tc>
        <w:tc>
          <w:tcPr>
            <w:tcW w:w="1860" w:type="dxa"/>
            <w:vAlign w:val="bottom"/>
            <w:tcBorders>
              <w:right w:val="single" w:sz="8" w:color="012E6C"/>
            </w:tcBorders>
            <w:vMerge w:val="continue"/>
            <w:shd w:val="clear" w:color="auto" w:fill="E5E7EF"/>
          </w:tcPr>
          <w:p>
            <w:pPr>
              <w:spacing w:after="0"/>
              <w:rPr>
                <w:sz w:val="6"/>
                <w:szCs w:val="6"/>
                <w:color w:val="auto"/>
              </w:rPr>
            </w:pPr>
          </w:p>
        </w:tc>
        <w:tc>
          <w:tcPr>
            <w:tcW w:w="2320" w:type="dxa"/>
            <w:vAlign w:val="bottom"/>
            <w:tcBorders>
              <w:right w:val="single" w:sz="8" w:color="012E6C"/>
            </w:tcBorders>
            <w:vMerge w:val="continue"/>
            <w:shd w:val="clear" w:color="auto" w:fill="E5E7EF"/>
          </w:tcPr>
          <w:p>
            <w:pPr>
              <w:spacing w:after="0"/>
              <w:rPr>
                <w:sz w:val="6"/>
                <w:szCs w:val="6"/>
                <w:color w:val="auto"/>
              </w:rPr>
            </w:pPr>
          </w:p>
        </w:tc>
        <w:tc>
          <w:tcPr>
            <w:tcW w:w="80" w:type="dxa"/>
            <w:vAlign w:val="bottom"/>
            <w:shd w:val="clear" w:color="auto" w:fill="E5E7EF"/>
          </w:tcPr>
          <w:p>
            <w:pPr>
              <w:spacing w:after="0"/>
              <w:rPr>
                <w:sz w:val="6"/>
                <w:szCs w:val="6"/>
                <w:color w:val="auto"/>
              </w:rPr>
            </w:pPr>
          </w:p>
        </w:tc>
        <w:tc>
          <w:tcPr>
            <w:tcW w:w="1960" w:type="dxa"/>
            <w:vAlign w:val="bottom"/>
            <w:tcBorders>
              <w:right w:val="single" w:sz="8" w:color="012E6C"/>
            </w:tcBorders>
            <w:gridSpan w:val="2"/>
            <w:vMerge w:val="continue"/>
            <w:shd w:val="clear" w:color="auto" w:fill="E5E7EF"/>
          </w:tcPr>
          <w:p>
            <w:pPr>
              <w:spacing w:after="0"/>
              <w:rPr>
                <w:sz w:val="6"/>
                <w:szCs w:val="6"/>
                <w:color w:val="auto"/>
              </w:rPr>
            </w:pPr>
          </w:p>
        </w:tc>
        <w:tc>
          <w:tcPr>
            <w:tcW w:w="100" w:type="dxa"/>
            <w:vAlign w:val="bottom"/>
            <w:shd w:val="clear" w:color="auto" w:fill="E5E7EF"/>
          </w:tcPr>
          <w:p>
            <w:pPr>
              <w:spacing w:after="0"/>
              <w:rPr>
                <w:sz w:val="6"/>
                <w:szCs w:val="6"/>
                <w:color w:val="auto"/>
              </w:rPr>
            </w:pPr>
          </w:p>
        </w:tc>
        <w:tc>
          <w:tcPr>
            <w:tcW w:w="1960" w:type="dxa"/>
            <w:vAlign w:val="bottom"/>
            <w:tcBorders>
              <w:right w:val="single" w:sz="8" w:color="012E6C"/>
            </w:tcBorders>
            <w:gridSpan w:val="6"/>
            <w:vMerge w:val="continue"/>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060" w:type="dxa"/>
            <w:vAlign w:val="bottom"/>
            <w:tcBorders>
              <w:left w:val="single" w:sz="8" w:color="012E6C"/>
              <w:right w:val="single" w:sz="8" w:color="012E6C"/>
            </w:tcBorders>
            <w:vMerge w:val="continue"/>
            <w:shd w:val="clear" w:color="auto" w:fill="E5E7EF"/>
          </w:tcPr>
          <w:p>
            <w:pPr>
              <w:spacing w:after="0"/>
              <w:rPr>
                <w:sz w:val="7"/>
                <w:szCs w:val="7"/>
                <w:color w:val="auto"/>
              </w:rPr>
            </w:pPr>
          </w:p>
        </w:tc>
        <w:tc>
          <w:tcPr>
            <w:tcW w:w="1920" w:type="dxa"/>
            <w:vAlign w:val="bottom"/>
            <w:tcBorders>
              <w:right w:val="single" w:sz="8" w:color="012E6C"/>
            </w:tcBorders>
            <w:vMerge w:val="continue"/>
            <w:shd w:val="clear" w:color="auto" w:fill="E5E7EF"/>
          </w:tcPr>
          <w:p>
            <w:pPr>
              <w:spacing w:after="0"/>
              <w:rPr>
                <w:sz w:val="7"/>
                <w:szCs w:val="7"/>
                <w:color w:val="auto"/>
              </w:rPr>
            </w:pPr>
          </w:p>
        </w:tc>
        <w:tc>
          <w:tcPr>
            <w:tcW w:w="18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PSUs at Target, LTIP at</w:t>
            </w: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and dividend equivalents; for most</w:t>
            </w:r>
          </w:p>
        </w:tc>
        <w:tc>
          <w:tcPr>
            <w:tcW w:w="80" w:type="dxa"/>
            <w:vAlign w:val="bottom"/>
            <w:shd w:val="clear" w:color="auto" w:fill="E5E7EF"/>
          </w:tcPr>
          <w:p>
            <w:pPr>
              <w:spacing w:after="0"/>
              <w:rPr>
                <w:sz w:val="7"/>
                <w:szCs w:val="7"/>
                <w:color w:val="auto"/>
              </w:rPr>
            </w:pPr>
          </w:p>
        </w:tc>
        <w:tc>
          <w:tcPr>
            <w:tcW w:w="1960" w:type="dxa"/>
            <w:vAlign w:val="bottom"/>
            <w:tcBorders>
              <w:right w:val="single" w:sz="8" w:color="012E6C"/>
            </w:tcBorders>
            <w:gridSpan w:val="2"/>
            <w:vMerge w:val="restart"/>
            <w:shd w:val="clear" w:color="auto" w:fill="E5E7EF"/>
          </w:tcPr>
          <w:p>
            <w:pPr>
              <w:spacing w:after="0"/>
              <w:rPr>
                <w:sz w:val="20"/>
                <w:szCs w:val="20"/>
                <w:color w:val="auto"/>
              </w:rPr>
            </w:pPr>
            <w:r>
              <w:rPr>
                <w:rFonts w:ascii="Calibri" w:cs="Calibri" w:eastAsia="Calibri" w:hAnsi="Calibri"/>
                <w:sz w:val="14"/>
                <w:szCs w:val="14"/>
                <w:color w:val="auto"/>
              </w:rPr>
              <w:t>closing unless the employee is</w:t>
            </w:r>
          </w:p>
        </w:tc>
        <w:tc>
          <w:tcPr>
            <w:tcW w:w="100" w:type="dxa"/>
            <w:vAlign w:val="bottom"/>
            <w:shd w:val="clear" w:color="auto" w:fill="E5E7EF"/>
          </w:tcPr>
          <w:p>
            <w:pPr>
              <w:spacing w:after="0"/>
              <w:rPr>
                <w:sz w:val="7"/>
                <w:szCs w:val="7"/>
                <w:color w:val="auto"/>
              </w:rPr>
            </w:pPr>
          </w:p>
        </w:tc>
        <w:tc>
          <w:tcPr>
            <w:tcW w:w="1960" w:type="dxa"/>
            <w:vAlign w:val="bottom"/>
            <w:tcBorders>
              <w:right w:val="single" w:sz="8" w:color="012E6C"/>
            </w:tcBorders>
            <w:gridSpan w:val="6"/>
            <w:vMerge w:val="restart"/>
            <w:shd w:val="clear" w:color="auto" w:fill="E5E7EF"/>
          </w:tcPr>
          <w:p>
            <w:pPr>
              <w:spacing w:after="0"/>
              <w:rPr>
                <w:sz w:val="20"/>
                <w:szCs w:val="20"/>
                <w:color w:val="auto"/>
              </w:rPr>
            </w:pPr>
            <w:r>
              <w:rPr>
                <w:rFonts w:ascii="Calibri" w:cs="Calibri" w:eastAsia="Calibri" w:hAnsi="Calibri"/>
                <w:sz w:val="14"/>
                <w:szCs w:val="14"/>
                <w:color w:val="auto"/>
              </w:rPr>
              <w:t>and LTIP and dividend</w:t>
            </w:r>
          </w:p>
        </w:tc>
        <w:tc>
          <w:tcPr>
            <w:tcW w:w="0" w:type="dxa"/>
            <w:vAlign w:val="bottom"/>
          </w:tcPr>
          <w:p>
            <w:pPr>
              <w:spacing w:after="0"/>
              <w:rPr>
                <w:sz w:val="1"/>
                <w:szCs w:val="1"/>
                <w:color w:val="auto"/>
              </w:rPr>
            </w:pPr>
          </w:p>
        </w:tc>
      </w:tr>
      <w:tr>
        <w:trPr>
          <w:trHeight w:val="107"/>
        </w:trPr>
        <w:tc>
          <w:tcPr>
            <w:tcW w:w="1060" w:type="dxa"/>
            <w:vAlign w:val="bottom"/>
            <w:tcBorders>
              <w:left w:val="single" w:sz="8" w:color="012E6C"/>
              <w:right w:val="single" w:sz="8" w:color="012E6C"/>
            </w:tcBorders>
            <w:shd w:val="clear" w:color="auto" w:fill="E5E7EF"/>
          </w:tcPr>
          <w:p>
            <w:pPr>
              <w:jc w:val="right"/>
              <w:ind w:right="309"/>
              <w:spacing w:after="0" w:line="107" w:lineRule="exact"/>
              <w:rPr>
                <w:sz w:val="20"/>
                <w:szCs w:val="20"/>
                <w:color w:val="auto"/>
              </w:rPr>
            </w:pPr>
            <w:r>
              <w:rPr>
                <w:rFonts w:ascii="Arial" w:cs="Arial" w:eastAsia="Arial" w:hAnsi="Arial"/>
                <w:sz w:val="12"/>
                <w:szCs w:val="12"/>
                <w:b w:val="1"/>
                <w:bCs w:val="1"/>
                <w:color w:val="003478"/>
              </w:rPr>
              <w:t>RSUs</w:t>
            </w: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month minimum service</w:t>
            </w:r>
          </w:p>
        </w:tc>
        <w:tc>
          <w:tcPr>
            <w:tcW w:w="1860" w:type="dxa"/>
            <w:vAlign w:val="bottom"/>
            <w:tcBorders>
              <w:right w:val="single" w:sz="8" w:color="012E6C"/>
            </w:tcBorders>
            <w:vMerge w:val="continue"/>
            <w:shd w:val="clear" w:color="auto" w:fill="E5E7EF"/>
          </w:tcPr>
          <w:p>
            <w:pPr>
              <w:spacing w:after="0"/>
              <w:rPr>
                <w:sz w:val="9"/>
                <w:szCs w:val="9"/>
                <w:color w:val="auto"/>
              </w:rPr>
            </w:pPr>
          </w:p>
        </w:tc>
        <w:tc>
          <w:tcPr>
            <w:tcW w:w="2320" w:type="dxa"/>
            <w:vAlign w:val="bottom"/>
            <w:tcBorders>
              <w:right w:val="single" w:sz="8" w:color="012E6C"/>
            </w:tcBorders>
            <w:vMerge w:val="continue"/>
            <w:shd w:val="clear" w:color="auto" w:fill="E5E7EF"/>
          </w:tcPr>
          <w:p>
            <w:pPr>
              <w:spacing w:after="0"/>
              <w:rPr>
                <w:sz w:val="9"/>
                <w:szCs w:val="9"/>
                <w:color w:val="auto"/>
              </w:rPr>
            </w:pPr>
          </w:p>
        </w:tc>
        <w:tc>
          <w:tcPr>
            <w:tcW w:w="80" w:type="dxa"/>
            <w:vAlign w:val="bottom"/>
            <w:shd w:val="clear" w:color="auto" w:fill="E5E7EF"/>
          </w:tcPr>
          <w:p>
            <w:pPr>
              <w:spacing w:after="0"/>
              <w:rPr>
                <w:sz w:val="9"/>
                <w:szCs w:val="9"/>
                <w:color w:val="auto"/>
              </w:rPr>
            </w:pPr>
          </w:p>
        </w:tc>
        <w:tc>
          <w:tcPr>
            <w:tcW w:w="1960" w:type="dxa"/>
            <w:vAlign w:val="bottom"/>
            <w:tcBorders>
              <w:right w:val="single" w:sz="8" w:color="012E6C"/>
            </w:tcBorders>
            <w:gridSpan w:val="2"/>
            <w:vMerge w:val="continue"/>
            <w:shd w:val="clear" w:color="auto" w:fill="E5E7EF"/>
          </w:tcPr>
          <w:p>
            <w:pPr>
              <w:spacing w:after="0"/>
              <w:rPr>
                <w:sz w:val="9"/>
                <w:szCs w:val="9"/>
                <w:color w:val="auto"/>
              </w:rPr>
            </w:pPr>
          </w:p>
        </w:tc>
        <w:tc>
          <w:tcPr>
            <w:tcW w:w="100" w:type="dxa"/>
            <w:vAlign w:val="bottom"/>
            <w:shd w:val="clear" w:color="auto" w:fill="E5E7EF"/>
          </w:tcPr>
          <w:p>
            <w:pPr>
              <w:spacing w:after="0"/>
              <w:rPr>
                <w:sz w:val="9"/>
                <w:szCs w:val="9"/>
                <w:color w:val="auto"/>
              </w:rPr>
            </w:pPr>
          </w:p>
        </w:tc>
        <w:tc>
          <w:tcPr>
            <w:tcW w:w="1960" w:type="dxa"/>
            <w:vAlign w:val="bottom"/>
            <w:tcBorders>
              <w:right w:val="single" w:sz="8" w:color="012E6C"/>
            </w:tcBorders>
            <w:gridSpan w:val="6"/>
            <w:vMerge w:val="continue"/>
            <w:shd w:val="clear" w:color="auto" w:fill="E5E7E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60" w:type="dxa"/>
            <w:vAlign w:val="bottom"/>
            <w:tcBorders>
              <w:left w:val="single" w:sz="8" w:color="012E6C"/>
              <w:right w:val="single" w:sz="8" w:color="012E6C"/>
            </w:tcBorders>
            <w:shd w:val="clear" w:color="auto" w:fill="E5E7EF"/>
          </w:tcPr>
          <w:p>
            <w:pPr>
              <w:spacing w:after="0"/>
              <w:rPr>
                <w:sz w:val="5"/>
                <w:szCs w:val="5"/>
                <w:color w:val="auto"/>
              </w:rPr>
            </w:pPr>
          </w:p>
        </w:tc>
        <w:tc>
          <w:tcPr>
            <w:tcW w:w="1920" w:type="dxa"/>
            <w:vAlign w:val="bottom"/>
            <w:tcBorders>
              <w:right w:val="single" w:sz="8" w:color="012E6C"/>
            </w:tcBorders>
            <w:vMerge w:val="continue"/>
            <w:shd w:val="clear" w:color="auto" w:fill="E5E7EF"/>
          </w:tcPr>
          <w:p>
            <w:pPr>
              <w:spacing w:after="0"/>
              <w:rPr>
                <w:sz w:val="5"/>
                <w:szCs w:val="5"/>
                <w:color w:val="auto"/>
              </w:rPr>
            </w:pPr>
          </w:p>
        </w:tc>
        <w:tc>
          <w:tcPr>
            <w:tcW w:w="18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Target and dividend</w:t>
            </w: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2022 awards, prorated vestng of</w:t>
            </w:r>
          </w:p>
        </w:tc>
        <w:tc>
          <w:tcPr>
            <w:tcW w:w="80" w:type="dxa"/>
            <w:vAlign w:val="bottom"/>
            <w:shd w:val="clear" w:color="auto" w:fill="E5E7EF"/>
          </w:tcPr>
          <w:p>
            <w:pPr>
              <w:spacing w:after="0"/>
              <w:rPr>
                <w:sz w:val="5"/>
                <w:szCs w:val="5"/>
                <w:color w:val="auto"/>
              </w:rPr>
            </w:pPr>
          </w:p>
        </w:tc>
        <w:tc>
          <w:tcPr>
            <w:tcW w:w="1100" w:type="dxa"/>
            <w:vAlign w:val="bottom"/>
            <w:shd w:val="clear" w:color="auto" w:fill="E5E7EF"/>
          </w:tcPr>
          <w:p>
            <w:pPr>
              <w:spacing w:after="0"/>
              <w:rPr>
                <w:sz w:val="5"/>
                <w:szCs w:val="5"/>
                <w:color w:val="auto"/>
              </w:rPr>
            </w:pPr>
          </w:p>
        </w:tc>
        <w:tc>
          <w:tcPr>
            <w:tcW w:w="860" w:type="dxa"/>
            <w:vAlign w:val="bottom"/>
            <w:tcBorders>
              <w:right w:val="single" w:sz="8" w:color="012E6C"/>
            </w:tcBorders>
            <w:shd w:val="clear" w:color="auto" w:fill="E5E7EF"/>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1960" w:type="dxa"/>
            <w:vAlign w:val="bottom"/>
            <w:tcBorders>
              <w:right w:val="single" w:sz="8" w:color="012E6C"/>
            </w:tcBorders>
            <w:gridSpan w:val="6"/>
            <w:vMerge w:val="restart"/>
            <w:shd w:val="clear" w:color="auto" w:fill="E5E7EF"/>
          </w:tcPr>
          <w:p>
            <w:pPr>
              <w:spacing w:after="0"/>
              <w:rPr>
                <w:sz w:val="20"/>
                <w:szCs w:val="20"/>
                <w:color w:val="auto"/>
              </w:rPr>
            </w:pPr>
            <w:r>
              <w:rPr>
                <w:rFonts w:ascii="Calibri" w:cs="Calibri" w:eastAsia="Calibri" w:hAnsi="Calibri"/>
                <w:sz w:val="14"/>
                <w:szCs w:val="14"/>
                <w:color w:val="auto"/>
              </w:rPr>
              <w:t>equivalents on RSUs and PSUs</w:t>
            </w:r>
          </w:p>
        </w:tc>
        <w:tc>
          <w:tcPr>
            <w:tcW w:w="0" w:type="dxa"/>
            <w:vAlign w:val="bottom"/>
          </w:tcPr>
          <w:p>
            <w:pPr>
              <w:spacing w:after="0"/>
              <w:rPr>
                <w:sz w:val="1"/>
                <w:szCs w:val="1"/>
                <w:color w:val="auto"/>
              </w:rPr>
            </w:pPr>
          </w:p>
        </w:tc>
      </w:tr>
      <w:tr>
        <w:trPr>
          <w:trHeight w:val="48"/>
        </w:trPr>
        <w:tc>
          <w:tcPr>
            <w:tcW w:w="1060" w:type="dxa"/>
            <w:vAlign w:val="bottom"/>
            <w:tcBorders>
              <w:left w:val="single" w:sz="8" w:color="012E6C"/>
              <w:right w:val="single" w:sz="8" w:color="012E6C"/>
            </w:tcBorders>
            <w:shd w:val="clear" w:color="auto" w:fill="E5E7EF"/>
          </w:tcPr>
          <w:p>
            <w:pPr>
              <w:spacing w:after="0"/>
              <w:rPr>
                <w:sz w:val="4"/>
                <w:szCs w:val="4"/>
                <w:color w:val="auto"/>
              </w:rPr>
            </w:pPr>
          </w:p>
        </w:tc>
        <w:tc>
          <w:tcPr>
            <w:tcW w:w="1920" w:type="dxa"/>
            <w:vAlign w:val="bottom"/>
            <w:tcBorders>
              <w:right w:val="single" w:sz="8" w:color="012E6C"/>
            </w:tcBorders>
            <w:vMerge w:val="continue"/>
            <w:shd w:val="clear" w:color="auto" w:fill="E5E7EF"/>
          </w:tcPr>
          <w:p>
            <w:pPr>
              <w:spacing w:after="0"/>
              <w:rPr>
                <w:sz w:val="4"/>
                <w:szCs w:val="4"/>
                <w:color w:val="auto"/>
              </w:rPr>
            </w:pPr>
          </w:p>
        </w:tc>
        <w:tc>
          <w:tcPr>
            <w:tcW w:w="1860" w:type="dxa"/>
            <w:vAlign w:val="bottom"/>
            <w:tcBorders>
              <w:right w:val="single" w:sz="8" w:color="012E6C"/>
            </w:tcBorders>
            <w:vMerge w:val="continue"/>
            <w:shd w:val="clear" w:color="auto" w:fill="E5E7EF"/>
          </w:tcPr>
          <w:p>
            <w:pPr>
              <w:spacing w:after="0"/>
              <w:rPr>
                <w:sz w:val="4"/>
                <w:szCs w:val="4"/>
                <w:color w:val="auto"/>
              </w:rPr>
            </w:pPr>
          </w:p>
        </w:tc>
        <w:tc>
          <w:tcPr>
            <w:tcW w:w="2320" w:type="dxa"/>
            <w:vAlign w:val="bottom"/>
            <w:tcBorders>
              <w:right w:val="single" w:sz="8" w:color="012E6C"/>
            </w:tcBorders>
            <w:vMerge w:val="continue"/>
            <w:shd w:val="clear" w:color="auto" w:fill="E5E7EF"/>
          </w:tcPr>
          <w:p>
            <w:pPr>
              <w:spacing w:after="0"/>
              <w:rPr>
                <w:sz w:val="4"/>
                <w:szCs w:val="4"/>
                <w:color w:val="auto"/>
              </w:rPr>
            </w:pPr>
          </w:p>
        </w:tc>
        <w:tc>
          <w:tcPr>
            <w:tcW w:w="80" w:type="dxa"/>
            <w:vAlign w:val="bottom"/>
            <w:shd w:val="clear" w:color="auto" w:fill="E5E7EF"/>
          </w:tcPr>
          <w:p>
            <w:pPr>
              <w:spacing w:after="0"/>
              <w:rPr>
                <w:sz w:val="4"/>
                <w:szCs w:val="4"/>
                <w:color w:val="auto"/>
              </w:rPr>
            </w:pPr>
          </w:p>
        </w:tc>
        <w:tc>
          <w:tcPr>
            <w:tcW w:w="1100" w:type="dxa"/>
            <w:vAlign w:val="bottom"/>
            <w:vMerge w:val="restart"/>
            <w:shd w:val="clear" w:color="auto" w:fill="E4E6EF"/>
          </w:tcPr>
          <w:p>
            <w:pPr>
              <w:spacing w:after="0" w:line="121" w:lineRule="exact"/>
              <w:rPr>
                <w:sz w:val="20"/>
                <w:szCs w:val="20"/>
                <w:color w:val="auto"/>
              </w:rPr>
            </w:pPr>
            <w:r>
              <w:rPr>
                <w:rFonts w:ascii="Calibri" w:cs="Calibri" w:eastAsia="Calibri" w:hAnsi="Calibri"/>
                <w:sz w:val="13"/>
                <w:szCs w:val="13"/>
                <w:color w:val="auto"/>
                <w:shd w:val="clear" w:color="auto" w:fill="E4E6EF"/>
              </w:rPr>
              <w:t>retrement-eligible</w:t>
            </w:r>
          </w:p>
        </w:tc>
        <w:tc>
          <w:tcPr>
            <w:tcW w:w="860" w:type="dxa"/>
            <w:vAlign w:val="bottom"/>
            <w:tcBorders>
              <w:right w:val="single" w:sz="8" w:color="012E6C"/>
            </w:tcBorders>
            <w:vMerge w:val="restart"/>
            <w:shd w:val="clear" w:color="auto" w:fill="E5E7EF"/>
          </w:tcPr>
          <w:p>
            <w:pPr>
              <w:ind w:left="20"/>
              <w:spacing w:after="0" w:line="121" w:lineRule="exact"/>
              <w:rPr>
                <w:sz w:val="20"/>
                <w:szCs w:val="20"/>
                <w:color w:val="auto"/>
              </w:rPr>
            </w:pPr>
            <w:r>
              <w:rPr>
                <w:rFonts w:ascii="Calibri" w:cs="Calibri" w:eastAsia="Calibri" w:hAnsi="Calibri"/>
                <w:sz w:val="13"/>
                <w:szCs w:val="13"/>
                <w:color w:val="auto"/>
              </w:rPr>
              <w:t>in which</w:t>
            </w:r>
          </w:p>
        </w:tc>
        <w:tc>
          <w:tcPr>
            <w:tcW w:w="100" w:type="dxa"/>
            <w:vAlign w:val="bottom"/>
            <w:shd w:val="clear" w:color="auto" w:fill="E5E7EF"/>
          </w:tcPr>
          <w:p>
            <w:pPr>
              <w:spacing w:after="0"/>
              <w:rPr>
                <w:sz w:val="4"/>
                <w:szCs w:val="4"/>
                <w:color w:val="auto"/>
              </w:rPr>
            </w:pPr>
          </w:p>
        </w:tc>
        <w:tc>
          <w:tcPr>
            <w:tcW w:w="1960" w:type="dxa"/>
            <w:vAlign w:val="bottom"/>
            <w:tcBorders>
              <w:right w:val="single" w:sz="8" w:color="012E6C"/>
            </w:tcBorders>
            <w:gridSpan w:val="6"/>
            <w:vMerge w:val="continue"/>
            <w:shd w:val="clear" w:color="auto" w:fill="E5E7EF"/>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bottom w:val="single" w:sz="8" w:color="E5E7EF"/>
              <w:right w:val="single" w:sz="8" w:color="012E6C"/>
            </w:tcBorders>
            <w:shd w:val="clear" w:color="auto" w:fill="E5E7EF"/>
          </w:tcPr>
          <w:p>
            <w:pPr>
              <w:spacing w:after="0"/>
              <w:rPr>
                <w:sz w:val="7"/>
                <w:szCs w:val="7"/>
                <w:color w:val="auto"/>
              </w:rPr>
            </w:pPr>
          </w:p>
        </w:tc>
        <w:tc>
          <w:tcPr>
            <w:tcW w:w="1920" w:type="dxa"/>
            <w:vAlign w:val="bottom"/>
            <w:tcBorders>
              <w:bottom w:val="single" w:sz="8" w:color="E5E7EF"/>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from date of grant.</w:t>
            </w:r>
            <w:r>
              <w:rPr>
                <w:rFonts w:ascii="Calibri" w:cs="Calibri" w:eastAsia="Calibri" w:hAnsi="Calibri"/>
                <w:sz w:val="18"/>
                <w:szCs w:val="18"/>
                <w:color w:val="auto"/>
                <w:vertAlign w:val="superscript"/>
              </w:rPr>
              <w:t>(3)</w:t>
            </w:r>
          </w:p>
        </w:tc>
        <w:tc>
          <w:tcPr>
            <w:tcW w:w="1860" w:type="dxa"/>
            <w:vAlign w:val="bottom"/>
            <w:tcBorders>
              <w:bottom w:val="single" w:sz="8" w:color="E5E7EF"/>
              <w:right w:val="single" w:sz="8" w:color="012E6C"/>
            </w:tcBorders>
            <w:vMerge w:val="continue"/>
            <w:shd w:val="clear" w:color="auto" w:fill="E5E7EF"/>
          </w:tcPr>
          <w:p>
            <w:pPr>
              <w:spacing w:after="0"/>
              <w:rPr>
                <w:sz w:val="7"/>
                <w:szCs w:val="7"/>
                <w:color w:val="auto"/>
              </w:rPr>
            </w:pPr>
          </w:p>
        </w:tc>
        <w:tc>
          <w:tcPr>
            <w:tcW w:w="2320" w:type="dxa"/>
            <w:vAlign w:val="bottom"/>
            <w:tcBorders>
              <w:bottom w:val="single" w:sz="8" w:color="E5E7EF"/>
              <w:right w:val="single" w:sz="8" w:color="012E6C"/>
            </w:tcBorders>
            <w:vMerge w:val="continue"/>
            <w:shd w:val="clear" w:color="auto" w:fill="E5E7EF"/>
          </w:tcPr>
          <w:p>
            <w:pPr>
              <w:spacing w:after="0"/>
              <w:rPr>
                <w:sz w:val="7"/>
                <w:szCs w:val="7"/>
                <w:color w:val="auto"/>
              </w:rPr>
            </w:pPr>
          </w:p>
        </w:tc>
        <w:tc>
          <w:tcPr>
            <w:tcW w:w="80" w:type="dxa"/>
            <w:vAlign w:val="bottom"/>
            <w:tcBorders>
              <w:bottom w:val="single" w:sz="8" w:color="E5E7EF"/>
            </w:tcBorders>
            <w:shd w:val="clear" w:color="auto" w:fill="E5E7EF"/>
          </w:tcPr>
          <w:p>
            <w:pPr>
              <w:spacing w:after="0"/>
              <w:rPr>
                <w:sz w:val="7"/>
                <w:szCs w:val="7"/>
                <w:color w:val="auto"/>
              </w:rPr>
            </w:pPr>
          </w:p>
        </w:tc>
        <w:tc>
          <w:tcPr>
            <w:tcW w:w="1100" w:type="dxa"/>
            <w:vAlign w:val="bottom"/>
            <w:tcBorders>
              <w:bottom w:val="single" w:sz="8" w:color="E4E6EF"/>
            </w:tcBorders>
            <w:vMerge w:val="continue"/>
            <w:shd w:val="clear" w:color="auto" w:fill="E4E6EF"/>
          </w:tcPr>
          <w:p>
            <w:pPr>
              <w:spacing w:after="0"/>
              <w:rPr>
                <w:sz w:val="7"/>
                <w:szCs w:val="7"/>
                <w:color w:val="auto"/>
              </w:rPr>
            </w:pPr>
          </w:p>
        </w:tc>
        <w:tc>
          <w:tcPr>
            <w:tcW w:w="860" w:type="dxa"/>
            <w:vAlign w:val="bottom"/>
            <w:tcBorders>
              <w:bottom w:val="single" w:sz="8" w:color="E5E7EF"/>
              <w:right w:val="single" w:sz="8" w:color="012E6C"/>
            </w:tcBorders>
            <w:vMerge w:val="continue"/>
            <w:shd w:val="clear" w:color="auto" w:fill="E5E7EF"/>
          </w:tcPr>
          <w:p>
            <w:pPr>
              <w:spacing w:after="0"/>
              <w:rPr>
                <w:sz w:val="7"/>
                <w:szCs w:val="7"/>
                <w:color w:val="auto"/>
              </w:rPr>
            </w:pPr>
          </w:p>
        </w:tc>
        <w:tc>
          <w:tcPr>
            <w:tcW w:w="100" w:type="dxa"/>
            <w:vAlign w:val="bottom"/>
            <w:tcBorders>
              <w:bottom w:val="single" w:sz="8" w:color="E5E7EF"/>
            </w:tcBorders>
            <w:shd w:val="clear" w:color="auto" w:fill="E5E7EF"/>
          </w:tcPr>
          <w:p>
            <w:pPr>
              <w:spacing w:after="0"/>
              <w:rPr>
                <w:sz w:val="7"/>
                <w:szCs w:val="7"/>
                <w:color w:val="auto"/>
              </w:rPr>
            </w:pPr>
          </w:p>
        </w:tc>
        <w:tc>
          <w:tcPr>
            <w:tcW w:w="1960" w:type="dxa"/>
            <w:vAlign w:val="bottom"/>
            <w:tcBorders>
              <w:bottom w:val="single" w:sz="8" w:color="E5E7EF"/>
              <w:right w:val="single" w:sz="8" w:color="012E6C"/>
            </w:tcBorders>
            <w:gridSpan w:val="6"/>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shd w:val="clear" w:color="auto" w:fill="E5E7EF"/>
          </w:tcPr>
          <w:p>
            <w:pPr>
              <w:spacing w:after="0"/>
              <w:rPr>
                <w:sz w:val="16"/>
                <w:szCs w:val="16"/>
                <w:color w:val="auto"/>
              </w:rPr>
            </w:pPr>
          </w:p>
        </w:tc>
        <w:tc>
          <w:tcPr>
            <w:tcW w:w="1920" w:type="dxa"/>
            <w:vAlign w:val="bottom"/>
            <w:tcBorders>
              <w:right w:val="single" w:sz="8" w:color="012E6C"/>
            </w:tcBorders>
            <w:vMerge w:val="continue"/>
            <w:shd w:val="clear" w:color="auto" w:fill="E5E7EF"/>
          </w:tcPr>
          <w:p>
            <w:pPr>
              <w:spacing w:after="0"/>
              <w:rPr>
                <w:sz w:val="16"/>
                <w:szCs w:val="16"/>
                <w:color w:val="auto"/>
              </w:rPr>
            </w:pPr>
          </w:p>
        </w:tc>
        <w:tc>
          <w:tcPr>
            <w:tcW w:w="1860" w:type="dxa"/>
            <w:vAlign w:val="bottom"/>
            <w:tcBorders>
              <w:right w:val="single" w:sz="8" w:color="012E6C"/>
            </w:tcBorders>
            <w:shd w:val="clear" w:color="auto" w:fill="E5E7EF"/>
          </w:tcPr>
          <w:p>
            <w:pPr>
              <w:ind w:left="100"/>
              <w:spacing w:after="0" w:line="169" w:lineRule="exact"/>
              <w:rPr>
                <w:sz w:val="20"/>
                <w:szCs w:val="20"/>
                <w:color w:val="auto"/>
              </w:rPr>
            </w:pPr>
            <w:r>
              <w:rPr>
                <w:rFonts w:ascii="Calibri" w:cs="Calibri" w:eastAsia="Calibri" w:hAnsi="Calibri"/>
                <w:sz w:val="14"/>
                <w:szCs w:val="14"/>
                <w:color w:val="auto"/>
              </w:rPr>
              <w:t>equivalents on RSUs and</w:t>
            </w:r>
          </w:p>
        </w:tc>
        <w:tc>
          <w:tcPr>
            <w:tcW w:w="2320" w:type="dxa"/>
            <w:vAlign w:val="bottom"/>
            <w:tcBorders>
              <w:right w:val="single" w:sz="8" w:color="012E6C"/>
            </w:tcBorders>
            <w:shd w:val="clear" w:color="auto" w:fill="E5E7EF"/>
          </w:tcPr>
          <w:p>
            <w:pPr>
              <w:ind w:left="100"/>
              <w:spacing w:after="0" w:line="189" w:lineRule="exact"/>
              <w:rPr>
                <w:sz w:val="20"/>
                <w:szCs w:val="20"/>
                <w:color w:val="auto"/>
              </w:rPr>
            </w:pPr>
            <w:r>
              <w:rPr>
                <w:rFonts w:ascii="Calibri" w:cs="Calibri" w:eastAsia="Calibri" w:hAnsi="Calibri"/>
                <w:sz w:val="14"/>
                <w:szCs w:val="14"/>
                <w:color w:val="auto"/>
              </w:rPr>
              <w:t>RSUs and dividend equivalents.</w:t>
            </w:r>
            <w:r>
              <w:rPr>
                <w:rFonts w:ascii="Calibri" w:cs="Calibri" w:eastAsia="Calibri" w:hAnsi="Calibri"/>
                <w:sz w:val="18"/>
                <w:szCs w:val="18"/>
                <w:color w:val="auto"/>
                <w:vertAlign w:val="superscript"/>
              </w:rPr>
              <w:t>(3)</w:t>
            </w:r>
          </w:p>
        </w:tc>
        <w:tc>
          <w:tcPr>
            <w:tcW w:w="80" w:type="dxa"/>
            <w:vAlign w:val="bottom"/>
            <w:shd w:val="clear" w:color="auto" w:fill="E5E7EF"/>
          </w:tcPr>
          <w:p>
            <w:pPr>
              <w:spacing w:after="0"/>
              <w:rPr>
                <w:sz w:val="16"/>
                <w:szCs w:val="16"/>
                <w:color w:val="auto"/>
              </w:rPr>
            </w:pPr>
          </w:p>
        </w:tc>
        <w:tc>
          <w:tcPr>
            <w:tcW w:w="1960" w:type="dxa"/>
            <w:vAlign w:val="bottom"/>
            <w:tcBorders>
              <w:right w:val="single" w:sz="8" w:color="012E6C"/>
            </w:tcBorders>
            <w:gridSpan w:val="2"/>
            <w:shd w:val="clear" w:color="auto" w:fill="E5E7EF"/>
          </w:tcPr>
          <w:p>
            <w:pPr>
              <w:spacing w:after="0"/>
              <w:rPr>
                <w:sz w:val="20"/>
                <w:szCs w:val="20"/>
                <w:color w:val="auto"/>
              </w:rPr>
            </w:pPr>
            <w:r>
              <w:rPr>
                <w:rFonts w:ascii="Calibri" w:cs="Calibri" w:eastAsia="Calibri" w:hAnsi="Calibri"/>
                <w:sz w:val="14"/>
                <w:szCs w:val="14"/>
                <w:color w:val="auto"/>
              </w:rPr>
              <w:t>case the RSU grant will</w:t>
            </w:r>
          </w:p>
        </w:tc>
        <w:tc>
          <w:tcPr>
            <w:tcW w:w="100" w:type="dxa"/>
            <w:vAlign w:val="bottom"/>
            <w:shd w:val="clear" w:color="auto" w:fill="E5E7EF"/>
          </w:tcPr>
          <w:p>
            <w:pPr>
              <w:spacing w:after="0"/>
              <w:rPr>
                <w:sz w:val="16"/>
                <w:szCs w:val="16"/>
                <w:color w:val="auto"/>
              </w:rPr>
            </w:pPr>
          </w:p>
        </w:tc>
        <w:tc>
          <w:tcPr>
            <w:tcW w:w="1960" w:type="dxa"/>
            <w:vAlign w:val="bottom"/>
            <w:tcBorders>
              <w:right w:val="single" w:sz="8" w:color="012E6C"/>
            </w:tcBorders>
            <w:gridSpan w:val="6"/>
            <w:shd w:val="clear" w:color="auto" w:fill="E5E7EF"/>
          </w:tcPr>
          <w:p>
            <w:pPr>
              <w:spacing w:after="0" w:line="142" w:lineRule="exact"/>
              <w:rPr>
                <w:sz w:val="20"/>
                <w:szCs w:val="20"/>
                <w:color w:val="auto"/>
              </w:rPr>
            </w:pPr>
            <w:r>
              <w:rPr>
                <w:rFonts w:ascii="Calibri" w:cs="Calibri" w:eastAsia="Calibri" w:hAnsi="Calibri"/>
                <w:sz w:val="14"/>
                <w:szCs w:val="14"/>
                <w:color w:val="auto"/>
              </w:rPr>
              <w:t>if terminaton occurs prior to</w:t>
            </w:r>
          </w:p>
        </w:tc>
        <w:tc>
          <w:tcPr>
            <w:tcW w:w="0" w:type="dxa"/>
            <w:vAlign w:val="bottom"/>
          </w:tcPr>
          <w:p>
            <w:pPr>
              <w:spacing w:after="0"/>
              <w:rPr>
                <w:sz w:val="1"/>
                <w:szCs w:val="1"/>
                <w:color w:val="auto"/>
              </w:rPr>
            </w:pPr>
          </w:p>
        </w:tc>
      </w:tr>
      <w:tr>
        <w:trPr>
          <w:trHeight w:val="169"/>
        </w:trPr>
        <w:tc>
          <w:tcPr>
            <w:tcW w:w="1060" w:type="dxa"/>
            <w:vAlign w:val="bottom"/>
            <w:tcBorders>
              <w:left w:val="single" w:sz="8" w:color="012E6C"/>
              <w:bottom w:val="single" w:sz="8" w:color="E5E7EF"/>
              <w:right w:val="single" w:sz="8" w:color="012E6C"/>
            </w:tcBorders>
            <w:shd w:val="clear" w:color="auto" w:fill="E5E7EF"/>
          </w:tcPr>
          <w:p>
            <w:pPr>
              <w:spacing w:after="0"/>
              <w:rPr>
                <w:sz w:val="14"/>
                <w:szCs w:val="14"/>
                <w:color w:val="auto"/>
              </w:rPr>
            </w:pPr>
          </w:p>
        </w:tc>
        <w:tc>
          <w:tcPr>
            <w:tcW w:w="1920" w:type="dxa"/>
            <w:vAlign w:val="bottom"/>
            <w:tcBorders>
              <w:bottom w:val="single" w:sz="8" w:color="E5E7EF"/>
              <w:right w:val="single" w:sz="8" w:color="012E6C"/>
            </w:tcBorders>
            <w:shd w:val="clear" w:color="auto" w:fill="E5E7EF"/>
          </w:tcPr>
          <w:p>
            <w:pPr>
              <w:spacing w:after="0"/>
              <w:rPr>
                <w:sz w:val="14"/>
                <w:szCs w:val="14"/>
                <w:color w:val="auto"/>
              </w:rPr>
            </w:pPr>
          </w:p>
        </w:tc>
        <w:tc>
          <w:tcPr>
            <w:tcW w:w="1860" w:type="dxa"/>
            <w:vAlign w:val="bottom"/>
            <w:tcBorders>
              <w:bottom w:val="single" w:sz="8" w:color="E5E7EF"/>
              <w:right w:val="single" w:sz="8" w:color="012E6C"/>
            </w:tcBorders>
            <w:shd w:val="clear" w:color="auto" w:fill="E5E7EF"/>
          </w:tcPr>
          <w:p>
            <w:pPr>
              <w:ind w:left="100"/>
              <w:spacing w:after="0" w:line="169" w:lineRule="exact"/>
              <w:rPr>
                <w:sz w:val="20"/>
                <w:szCs w:val="20"/>
                <w:color w:val="auto"/>
              </w:rPr>
            </w:pPr>
            <w:r>
              <w:rPr>
                <w:rFonts w:ascii="Calibri" w:cs="Calibri" w:eastAsia="Calibri" w:hAnsi="Calibri"/>
                <w:sz w:val="14"/>
                <w:szCs w:val="14"/>
                <w:color w:val="auto"/>
              </w:rPr>
              <w:t>PSUs if not assumed by</w:t>
            </w:r>
          </w:p>
        </w:tc>
        <w:tc>
          <w:tcPr>
            <w:tcW w:w="2320" w:type="dxa"/>
            <w:vAlign w:val="bottom"/>
            <w:tcBorders>
              <w:bottom w:val="single" w:sz="8" w:color="E5E7EF"/>
              <w:right w:val="single" w:sz="8" w:color="012E6C"/>
            </w:tcBorders>
            <w:shd w:val="clear" w:color="auto" w:fill="E5E7EF"/>
          </w:tcPr>
          <w:p>
            <w:pPr>
              <w:ind w:left="100"/>
              <w:spacing w:after="0" w:line="169" w:lineRule="exact"/>
              <w:rPr>
                <w:sz w:val="20"/>
                <w:szCs w:val="20"/>
                <w:color w:val="auto"/>
              </w:rPr>
            </w:pPr>
            <w:r>
              <w:rPr>
                <w:rFonts w:ascii="Calibri" w:cs="Calibri" w:eastAsia="Calibri" w:hAnsi="Calibri"/>
                <w:sz w:val="14"/>
                <w:szCs w:val="14"/>
                <w:color w:val="auto"/>
              </w:rPr>
              <w:t>Full immediate vestng following</w:t>
            </w:r>
          </w:p>
        </w:tc>
        <w:tc>
          <w:tcPr>
            <w:tcW w:w="80" w:type="dxa"/>
            <w:vAlign w:val="bottom"/>
            <w:tcBorders>
              <w:bottom w:val="single" w:sz="8" w:color="E5E7EF"/>
            </w:tcBorders>
            <w:shd w:val="clear" w:color="auto" w:fill="E5E7EF"/>
          </w:tcPr>
          <w:p>
            <w:pPr>
              <w:spacing w:after="0"/>
              <w:rPr>
                <w:sz w:val="14"/>
                <w:szCs w:val="14"/>
                <w:color w:val="auto"/>
              </w:rPr>
            </w:pPr>
          </w:p>
        </w:tc>
        <w:tc>
          <w:tcPr>
            <w:tcW w:w="1960" w:type="dxa"/>
            <w:vAlign w:val="bottom"/>
            <w:tcBorders>
              <w:bottom w:val="single" w:sz="8" w:color="E5E7EF"/>
              <w:right w:val="single" w:sz="8" w:color="012E6C"/>
            </w:tcBorders>
            <w:gridSpan w:val="2"/>
            <w:shd w:val="clear" w:color="auto" w:fill="E5E7EF"/>
          </w:tcPr>
          <w:p>
            <w:pPr>
              <w:spacing w:after="0" w:line="169" w:lineRule="exact"/>
              <w:rPr>
                <w:sz w:val="20"/>
                <w:szCs w:val="20"/>
                <w:color w:val="auto"/>
              </w:rPr>
            </w:pPr>
            <w:r>
              <w:rPr>
                <w:rFonts w:ascii="Calibri" w:cs="Calibri" w:eastAsia="Calibri" w:hAnsi="Calibri"/>
                <w:sz w:val="14"/>
                <w:szCs w:val="14"/>
                <w:color w:val="auto"/>
              </w:rPr>
              <w:t>contnue to vest untl the</w:t>
            </w:r>
          </w:p>
        </w:tc>
        <w:tc>
          <w:tcPr>
            <w:tcW w:w="100" w:type="dxa"/>
            <w:vAlign w:val="bottom"/>
            <w:tcBorders>
              <w:bottom w:val="single" w:sz="8" w:color="E5E7EF"/>
            </w:tcBorders>
            <w:shd w:val="clear" w:color="auto" w:fill="E5E7EF"/>
          </w:tcPr>
          <w:p>
            <w:pPr>
              <w:spacing w:after="0"/>
              <w:rPr>
                <w:sz w:val="14"/>
                <w:szCs w:val="14"/>
                <w:color w:val="auto"/>
              </w:rPr>
            </w:pPr>
          </w:p>
        </w:tc>
        <w:tc>
          <w:tcPr>
            <w:tcW w:w="580" w:type="dxa"/>
            <w:vAlign w:val="bottom"/>
            <w:tcBorders>
              <w:bottom w:val="single" w:sz="8" w:color="E5E7EF"/>
            </w:tcBorders>
            <w:gridSpan w:val="2"/>
            <w:shd w:val="clear" w:color="auto" w:fill="E5E7EF"/>
          </w:tcPr>
          <w:p>
            <w:pPr>
              <w:spacing w:after="0" w:line="129" w:lineRule="exact"/>
              <w:rPr>
                <w:sz w:val="20"/>
                <w:szCs w:val="20"/>
                <w:color w:val="auto"/>
              </w:rPr>
            </w:pPr>
            <w:r>
              <w:rPr>
                <w:rFonts w:ascii="Calibri" w:cs="Calibri" w:eastAsia="Calibri" w:hAnsi="Calibri"/>
                <w:sz w:val="14"/>
                <w:szCs w:val="14"/>
                <w:color w:val="auto"/>
                <w:w w:val="99"/>
              </w:rPr>
              <w:t>becoming</w:t>
            </w:r>
          </w:p>
        </w:tc>
        <w:tc>
          <w:tcPr>
            <w:tcW w:w="1240" w:type="dxa"/>
            <w:vAlign w:val="bottom"/>
            <w:tcBorders>
              <w:bottom w:val="single" w:sz="8" w:color="E5E7EF"/>
              <w:right w:val="single" w:sz="8" w:color="E5E7EF"/>
            </w:tcBorders>
            <w:gridSpan w:val="3"/>
            <w:shd w:val="clear" w:color="auto" w:fill="E4E6EF"/>
          </w:tcPr>
          <w:p>
            <w:pPr>
              <w:ind w:left="20"/>
              <w:spacing w:after="0" w:line="129" w:lineRule="exact"/>
              <w:rPr>
                <w:sz w:val="20"/>
                <w:szCs w:val="20"/>
                <w:color w:val="auto"/>
              </w:rPr>
            </w:pPr>
            <w:r>
              <w:rPr>
                <w:rFonts w:ascii="Calibri" w:cs="Calibri" w:eastAsia="Calibri" w:hAnsi="Calibri"/>
                <w:sz w:val="14"/>
                <w:szCs w:val="14"/>
                <w:color w:val="auto"/>
                <w:shd w:val="clear" w:color="auto" w:fill="E4E6EF"/>
              </w:rPr>
              <w:t>retrement-eligible</w:t>
            </w:r>
          </w:p>
        </w:tc>
        <w:tc>
          <w:tcPr>
            <w:tcW w:w="140" w:type="dxa"/>
            <w:vAlign w:val="bottom"/>
            <w:tcBorders>
              <w:bottom w:val="single" w:sz="8" w:color="E5E7EF"/>
              <w:right w:val="single" w:sz="8" w:color="012E6C"/>
            </w:tcBorders>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012E6C"/>
              <w:bottom w:val="single" w:sz="8" w:color="E5E7EF"/>
              <w:right w:val="single" w:sz="8" w:color="012E6C"/>
            </w:tcBorders>
            <w:shd w:val="clear" w:color="auto" w:fill="E5E7EF"/>
          </w:tcPr>
          <w:p>
            <w:pPr>
              <w:spacing w:after="0"/>
              <w:rPr>
                <w:sz w:val="14"/>
                <w:szCs w:val="14"/>
                <w:color w:val="auto"/>
              </w:rPr>
            </w:pPr>
          </w:p>
        </w:tc>
        <w:tc>
          <w:tcPr>
            <w:tcW w:w="1920" w:type="dxa"/>
            <w:vAlign w:val="bottom"/>
            <w:tcBorders>
              <w:bottom w:val="single" w:sz="8" w:color="E5E7EF"/>
              <w:right w:val="single" w:sz="8" w:color="012E6C"/>
            </w:tcBorders>
            <w:shd w:val="clear" w:color="auto" w:fill="E5E7EF"/>
          </w:tcPr>
          <w:p>
            <w:pPr>
              <w:spacing w:after="0"/>
              <w:rPr>
                <w:sz w:val="14"/>
                <w:szCs w:val="14"/>
                <w:color w:val="auto"/>
              </w:rPr>
            </w:pPr>
          </w:p>
        </w:tc>
        <w:tc>
          <w:tcPr>
            <w:tcW w:w="1860" w:type="dxa"/>
            <w:vAlign w:val="bottom"/>
            <w:tcBorders>
              <w:bottom w:val="single" w:sz="8" w:color="E5E7EF"/>
              <w:right w:val="single" w:sz="8" w:color="012E6C"/>
            </w:tcBorders>
            <w:shd w:val="clear" w:color="auto" w:fill="E5E7EF"/>
          </w:tcPr>
          <w:p>
            <w:pPr>
              <w:ind w:left="100"/>
              <w:spacing w:after="0" w:line="169" w:lineRule="exact"/>
              <w:rPr>
                <w:sz w:val="20"/>
                <w:szCs w:val="20"/>
                <w:color w:val="auto"/>
              </w:rPr>
            </w:pPr>
            <w:r>
              <w:rPr>
                <w:rFonts w:ascii="Calibri" w:cs="Calibri" w:eastAsia="Calibri" w:hAnsi="Calibri"/>
                <w:sz w:val="14"/>
                <w:szCs w:val="14"/>
                <w:color w:val="auto"/>
              </w:rPr>
              <w:t>successor. Immediate</w:t>
            </w:r>
          </w:p>
        </w:tc>
        <w:tc>
          <w:tcPr>
            <w:tcW w:w="2320" w:type="dxa"/>
            <w:vAlign w:val="bottom"/>
            <w:tcBorders>
              <w:bottom w:val="single" w:sz="8" w:color="E5E7EF"/>
              <w:right w:val="single" w:sz="8" w:color="012E6C"/>
            </w:tcBorders>
            <w:shd w:val="clear" w:color="auto" w:fill="E5E7EF"/>
          </w:tcPr>
          <w:p>
            <w:pPr>
              <w:ind w:left="100"/>
              <w:spacing w:after="0" w:line="169" w:lineRule="exact"/>
              <w:rPr>
                <w:sz w:val="20"/>
                <w:szCs w:val="20"/>
                <w:color w:val="auto"/>
              </w:rPr>
            </w:pPr>
            <w:r>
              <w:rPr>
                <w:rFonts w:ascii="Calibri" w:cs="Calibri" w:eastAsia="Calibri" w:hAnsi="Calibri"/>
                <w:sz w:val="14"/>
                <w:szCs w:val="14"/>
                <w:color w:val="auto"/>
              </w:rPr>
              <w:t>death or disability.</w:t>
            </w:r>
          </w:p>
        </w:tc>
        <w:tc>
          <w:tcPr>
            <w:tcW w:w="80" w:type="dxa"/>
            <w:vAlign w:val="bottom"/>
            <w:tcBorders>
              <w:bottom w:val="single" w:sz="8" w:color="E5E7EF"/>
            </w:tcBorders>
            <w:shd w:val="clear" w:color="auto" w:fill="E5E7EF"/>
          </w:tcPr>
          <w:p>
            <w:pPr>
              <w:spacing w:after="0"/>
              <w:rPr>
                <w:sz w:val="14"/>
                <w:szCs w:val="14"/>
                <w:color w:val="auto"/>
              </w:rPr>
            </w:pPr>
          </w:p>
        </w:tc>
        <w:tc>
          <w:tcPr>
            <w:tcW w:w="1960" w:type="dxa"/>
            <w:vAlign w:val="bottom"/>
            <w:tcBorders>
              <w:bottom w:val="single" w:sz="8" w:color="E5E7EF"/>
              <w:right w:val="single" w:sz="8" w:color="012E6C"/>
            </w:tcBorders>
            <w:gridSpan w:val="2"/>
            <w:shd w:val="clear" w:color="auto" w:fill="E5E7EF"/>
          </w:tcPr>
          <w:p>
            <w:pPr>
              <w:spacing w:after="0" w:line="169" w:lineRule="exact"/>
              <w:rPr>
                <w:sz w:val="20"/>
                <w:szCs w:val="20"/>
                <w:color w:val="auto"/>
              </w:rPr>
            </w:pPr>
            <w:r>
              <w:rPr>
                <w:rFonts w:ascii="Calibri" w:cs="Calibri" w:eastAsia="Calibri" w:hAnsi="Calibri"/>
                <w:sz w:val="14"/>
                <w:szCs w:val="14"/>
                <w:color w:val="auto"/>
              </w:rPr>
              <w:t>vestng date.</w:t>
            </w:r>
          </w:p>
        </w:tc>
        <w:tc>
          <w:tcPr>
            <w:tcW w:w="100" w:type="dxa"/>
            <w:vAlign w:val="bottom"/>
            <w:tcBorders>
              <w:bottom w:val="single" w:sz="8" w:color="E5E7EF"/>
            </w:tcBorders>
            <w:shd w:val="clear" w:color="auto" w:fill="E5E7EF"/>
          </w:tcPr>
          <w:p>
            <w:pPr>
              <w:spacing w:after="0"/>
              <w:rPr>
                <w:sz w:val="14"/>
                <w:szCs w:val="14"/>
                <w:color w:val="auto"/>
              </w:rPr>
            </w:pPr>
          </w:p>
        </w:tc>
        <w:tc>
          <w:tcPr>
            <w:tcW w:w="1580" w:type="dxa"/>
            <w:vAlign w:val="bottom"/>
            <w:tcBorders>
              <w:bottom w:val="single" w:sz="8" w:color="E5E7EF"/>
            </w:tcBorders>
            <w:gridSpan w:val="4"/>
            <w:shd w:val="clear" w:color="auto" w:fill="E4E6EF"/>
          </w:tcPr>
          <w:p>
            <w:pPr>
              <w:spacing w:after="0" w:line="129" w:lineRule="exact"/>
              <w:rPr>
                <w:sz w:val="20"/>
                <w:szCs w:val="20"/>
                <w:color w:val="auto"/>
              </w:rPr>
            </w:pPr>
            <w:r>
              <w:rPr>
                <w:rFonts w:ascii="Calibri" w:cs="Calibri" w:eastAsia="Calibri" w:hAnsi="Calibri"/>
                <w:sz w:val="14"/>
                <w:szCs w:val="14"/>
                <w:color w:val="auto"/>
                <w:shd w:val="clear" w:color="auto" w:fill="E4E6EF"/>
              </w:rPr>
              <w:t>or anytme if terminaton is</w:t>
            </w:r>
          </w:p>
        </w:tc>
        <w:tc>
          <w:tcPr>
            <w:tcW w:w="240" w:type="dxa"/>
            <w:vAlign w:val="bottom"/>
            <w:tcBorders>
              <w:bottom w:val="single" w:sz="8" w:color="E5E7EF"/>
              <w:right w:val="single" w:sz="8" w:color="E5E7EF"/>
            </w:tcBorders>
            <w:shd w:val="clear" w:color="auto" w:fill="E5E7EF"/>
          </w:tcPr>
          <w:p>
            <w:pPr>
              <w:spacing w:after="0"/>
              <w:rPr>
                <w:sz w:val="14"/>
                <w:szCs w:val="14"/>
                <w:color w:val="auto"/>
              </w:rPr>
            </w:pPr>
          </w:p>
        </w:tc>
        <w:tc>
          <w:tcPr>
            <w:tcW w:w="140" w:type="dxa"/>
            <w:vAlign w:val="bottom"/>
            <w:tcBorders>
              <w:bottom w:val="single" w:sz="8" w:color="E5E7EF"/>
              <w:right w:val="single" w:sz="8" w:color="012E6C"/>
            </w:tcBorders>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Borders>
              <w:left w:val="single" w:sz="8" w:color="012E6C"/>
              <w:right w:val="single" w:sz="8" w:color="012E6C"/>
            </w:tcBorders>
            <w:shd w:val="clear" w:color="auto" w:fill="E5E7EF"/>
          </w:tcPr>
          <w:p>
            <w:pPr>
              <w:spacing w:after="0"/>
              <w:rPr>
                <w:sz w:val="12"/>
                <w:szCs w:val="12"/>
                <w:color w:val="auto"/>
              </w:rPr>
            </w:pPr>
          </w:p>
        </w:tc>
        <w:tc>
          <w:tcPr>
            <w:tcW w:w="1920" w:type="dxa"/>
            <w:vAlign w:val="bottom"/>
            <w:tcBorders>
              <w:right w:val="single" w:sz="8" w:color="012E6C"/>
            </w:tcBorders>
            <w:shd w:val="clear" w:color="auto" w:fill="E5E7EF"/>
          </w:tcPr>
          <w:p>
            <w:pPr>
              <w:spacing w:after="0"/>
              <w:rPr>
                <w:sz w:val="12"/>
                <w:szCs w:val="12"/>
                <w:color w:val="auto"/>
              </w:rPr>
            </w:pPr>
          </w:p>
        </w:tc>
        <w:tc>
          <w:tcPr>
            <w:tcW w:w="1860" w:type="dxa"/>
            <w:vAlign w:val="bottom"/>
            <w:tcBorders>
              <w:right w:val="single" w:sz="8" w:color="012E6C"/>
            </w:tcBorders>
            <w:shd w:val="clear" w:color="auto" w:fill="E5E7EF"/>
          </w:tcPr>
          <w:p>
            <w:pPr>
              <w:ind w:left="100"/>
              <w:spacing w:after="0" w:line="149" w:lineRule="exact"/>
              <w:rPr>
                <w:sz w:val="20"/>
                <w:szCs w:val="20"/>
                <w:color w:val="auto"/>
              </w:rPr>
            </w:pPr>
            <w:r>
              <w:rPr>
                <w:rFonts w:ascii="Calibri" w:cs="Calibri" w:eastAsia="Calibri" w:hAnsi="Calibri"/>
                <w:sz w:val="14"/>
                <w:szCs w:val="14"/>
                <w:color w:val="auto"/>
              </w:rPr>
              <w:t>vestng following</w:t>
            </w:r>
          </w:p>
        </w:tc>
        <w:tc>
          <w:tcPr>
            <w:tcW w:w="2320" w:type="dxa"/>
            <w:vAlign w:val="bottom"/>
            <w:tcBorders>
              <w:right w:val="single" w:sz="8" w:color="012E6C"/>
            </w:tcBorders>
            <w:shd w:val="clear" w:color="auto" w:fill="E5E7EF"/>
          </w:tcPr>
          <w:p>
            <w:pPr>
              <w:spacing w:after="0"/>
              <w:rPr>
                <w:sz w:val="12"/>
                <w:szCs w:val="12"/>
                <w:color w:val="auto"/>
              </w:rPr>
            </w:pPr>
          </w:p>
        </w:tc>
        <w:tc>
          <w:tcPr>
            <w:tcW w:w="80" w:type="dxa"/>
            <w:vAlign w:val="bottom"/>
            <w:shd w:val="clear" w:color="auto" w:fill="E5E7EF"/>
          </w:tcPr>
          <w:p>
            <w:pPr>
              <w:spacing w:after="0"/>
              <w:rPr>
                <w:sz w:val="12"/>
                <w:szCs w:val="12"/>
                <w:color w:val="auto"/>
              </w:rPr>
            </w:pPr>
          </w:p>
        </w:tc>
        <w:tc>
          <w:tcPr>
            <w:tcW w:w="1100" w:type="dxa"/>
            <w:vAlign w:val="bottom"/>
            <w:shd w:val="clear" w:color="auto" w:fill="E5E7EF"/>
          </w:tcPr>
          <w:p>
            <w:pPr>
              <w:spacing w:after="0"/>
              <w:rPr>
                <w:sz w:val="12"/>
                <w:szCs w:val="12"/>
                <w:color w:val="auto"/>
              </w:rPr>
            </w:pPr>
          </w:p>
        </w:tc>
        <w:tc>
          <w:tcPr>
            <w:tcW w:w="860" w:type="dxa"/>
            <w:vAlign w:val="bottom"/>
            <w:tcBorders>
              <w:right w:val="single" w:sz="8" w:color="012E6C"/>
            </w:tcBorders>
            <w:shd w:val="clear" w:color="auto" w:fill="E5E7EF"/>
          </w:tcPr>
          <w:p>
            <w:pPr>
              <w:spacing w:after="0"/>
              <w:rPr>
                <w:sz w:val="12"/>
                <w:szCs w:val="12"/>
                <w:color w:val="auto"/>
              </w:rPr>
            </w:pPr>
          </w:p>
        </w:tc>
        <w:tc>
          <w:tcPr>
            <w:tcW w:w="100" w:type="dxa"/>
            <w:vAlign w:val="bottom"/>
            <w:shd w:val="clear" w:color="auto" w:fill="E5E7EF"/>
          </w:tcPr>
          <w:p>
            <w:pPr>
              <w:spacing w:after="0"/>
              <w:rPr>
                <w:sz w:val="12"/>
                <w:szCs w:val="12"/>
                <w:color w:val="auto"/>
              </w:rPr>
            </w:pPr>
          </w:p>
        </w:tc>
        <w:tc>
          <w:tcPr>
            <w:tcW w:w="1120" w:type="dxa"/>
            <w:vAlign w:val="bottom"/>
            <w:gridSpan w:val="3"/>
            <w:shd w:val="clear" w:color="auto" w:fill="E4E6EF"/>
          </w:tcPr>
          <w:p>
            <w:pPr>
              <w:spacing w:after="0" w:line="149" w:lineRule="exact"/>
              <w:rPr>
                <w:sz w:val="20"/>
                <w:szCs w:val="20"/>
                <w:color w:val="auto"/>
              </w:rPr>
            </w:pPr>
            <w:r>
              <w:rPr>
                <w:rFonts w:ascii="Calibri" w:cs="Calibri" w:eastAsia="Calibri" w:hAnsi="Calibri"/>
                <w:sz w:val="14"/>
                <w:szCs w:val="14"/>
                <w:color w:val="auto"/>
                <w:shd w:val="clear" w:color="auto" w:fill="E4E6EF"/>
              </w:rPr>
              <w:t>due to misconduct.</w:t>
            </w:r>
          </w:p>
        </w:tc>
        <w:tc>
          <w:tcPr>
            <w:tcW w:w="700" w:type="dxa"/>
            <w:vAlign w:val="bottom"/>
            <w:tcBorders>
              <w:right w:val="single" w:sz="8" w:color="E5E7EF"/>
            </w:tcBorders>
            <w:gridSpan w:val="2"/>
            <w:shd w:val="clear" w:color="auto" w:fill="E5E7EF"/>
          </w:tcPr>
          <w:p>
            <w:pPr>
              <w:spacing w:after="0"/>
              <w:rPr>
                <w:sz w:val="12"/>
                <w:szCs w:val="12"/>
                <w:color w:val="auto"/>
              </w:rPr>
            </w:pPr>
          </w:p>
        </w:tc>
        <w:tc>
          <w:tcPr>
            <w:tcW w:w="140" w:type="dxa"/>
            <w:vAlign w:val="bottom"/>
            <w:tcBorders>
              <w:right w:val="single" w:sz="8" w:color="012E6C"/>
            </w:tcBorders>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shd w:val="clear" w:color="auto" w:fill="E5E7EF"/>
          </w:tcPr>
          <w:p>
            <w:pPr>
              <w:spacing w:after="0"/>
              <w:rPr>
                <w:sz w:val="8"/>
                <w:szCs w:val="8"/>
                <w:color w:val="auto"/>
              </w:rPr>
            </w:pPr>
          </w:p>
        </w:tc>
        <w:tc>
          <w:tcPr>
            <w:tcW w:w="18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involuntary terminaton</w:t>
            </w:r>
          </w:p>
        </w:tc>
        <w:tc>
          <w:tcPr>
            <w:tcW w:w="2320" w:type="dxa"/>
            <w:vAlign w:val="bottom"/>
            <w:tcBorders>
              <w:right w:val="single" w:sz="8" w:color="012E6C"/>
            </w:tcBorders>
            <w:shd w:val="clear" w:color="auto" w:fill="E5E7EF"/>
          </w:tcPr>
          <w:p>
            <w:pPr>
              <w:spacing w:after="0"/>
              <w:rPr>
                <w:sz w:val="8"/>
                <w:szCs w:val="8"/>
                <w:color w:val="auto"/>
              </w:rPr>
            </w:pPr>
          </w:p>
        </w:tc>
        <w:tc>
          <w:tcPr>
            <w:tcW w:w="80" w:type="dxa"/>
            <w:vAlign w:val="bottom"/>
            <w:shd w:val="clear" w:color="auto" w:fill="E5E7EF"/>
          </w:tcPr>
          <w:p>
            <w:pPr>
              <w:spacing w:after="0"/>
              <w:rPr>
                <w:sz w:val="8"/>
                <w:szCs w:val="8"/>
                <w:color w:val="auto"/>
              </w:rPr>
            </w:pPr>
          </w:p>
        </w:tc>
        <w:tc>
          <w:tcPr>
            <w:tcW w:w="1100" w:type="dxa"/>
            <w:vAlign w:val="bottom"/>
            <w:shd w:val="clear" w:color="auto" w:fill="E5E7EF"/>
          </w:tcPr>
          <w:p>
            <w:pPr>
              <w:spacing w:after="0"/>
              <w:rPr>
                <w:sz w:val="8"/>
                <w:szCs w:val="8"/>
                <w:color w:val="auto"/>
              </w:rPr>
            </w:pPr>
          </w:p>
        </w:tc>
        <w:tc>
          <w:tcPr>
            <w:tcW w:w="860" w:type="dxa"/>
            <w:vAlign w:val="bottom"/>
            <w:tcBorders>
              <w:right w:val="single" w:sz="8" w:color="012E6C"/>
            </w:tcBorders>
            <w:shd w:val="clear" w:color="auto" w:fill="E5E7EF"/>
          </w:tcPr>
          <w:p>
            <w:pPr>
              <w:spacing w:after="0"/>
              <w:rPr>
                <w:sz w:val="8"/>
                <w:szCs w:val="8"/>
                <w:color w:val="auto"/>
              </w:rPr>
            </w:pPr>
          </w:p>
        </w:tc>
        <w:tc>
          <w:tcPr>
            <w:tcW w:w="100" w:type="dxa"/>
            <w:vAlign w:val="bottom"/>
            <w:shd w:val="clear" w:color="auto" w:fill="E5E7EF"/>
          </w:tcPr>
          <w:p>
            <w:pPr>
              <w:spacing w:after="0"/>
              <w:rPr>
                <w:sz w:val="8"/>
                <w:szCs w:val="8"/>
                <w:color w:val="auto"/>
              </w:rPr>
            </w:pPr>
          </w:p>
        </w:tc>
        <w:tc>
          <w:tcPr>
            <w:tcW w:w="460" w:type="dxa"/>
            <w:vAlign w:val="bottom"/>
            <w:shd w:val="clear" w:color="auto" w:fill="E5E7EF"/>
          </w:tcPr>
          <w:p>
            <w:pPr>
              <w:spacing w:after="0"/>
              <w:rPr>
                <w:sz w:val="8"/>
                <w:szCs w:val="8"/>
                <w:color w:val="auto"/>
              </w:rPr>
            </w:pPr>
          </w:p>
        </w:tc>
        <w:tc>
          <w:tcPr>
            <w:tcW w:w="1360" w:type="dxa"/>
            <w:vAlign w:val="bottom"/>
            <w:tcBorders>
              <w:right w:val="single" w:sz="8" w:color="E5E7EF"/>
            </w:tcBorders>
            <w:gridSpan w:val="4"/>
            <w:shd w:val="clear" w:color="auto" w:fill="E5E7EF"/>
          </w:tcPr>
          <w:p>
            <w:pPr>
              <w:spacing w:after="0"/>
              <w:rPr>
                <w:sz w:val="8"/>
                <w:szCs w:val="8"/>
                <w:color w:val="auto"/>
              </w:rPr>
            </w:pPr>
          </w:p>
        </w:tc>
        <w:tc>
          <w:tcPr>
            <w:tcW w:w="140" w:type="dxa"/>
            <w:vAlign w:val="bottom"/>
            <w:tcBorders>
              <w:right w:val="single" w:sz="8" w:color="012E6C"/>
            </w:tcBorders>
            <w:vMerge w:val="restart"/>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060" w:type="dxa"/>
            <w:vAlign w:val="bottom"/>
            <w:tcBorders>
              <w:left w:val="single" w:sz="8" w:color="012E6C"/>
              <w:bottom w:val="single" w:sz="8" w:color="E5E7EF"/>
              <w:right w:val="single" w:sz="8" w:color="012E6C"/>
            </w:tcBorders>
            <w:shd w:val="clear" w:color="auto" w:fill="E5E7EF"/>
          </w:tcPr>
          <w:p>
            <w:pPr>
              <w:spacing w:after="0"/>
              <w:rPr>
                <w:sz w:val="14"/>
                <w:szCs w:val="14"/>
                <w:color w:val="auto"/>
              </w:rPr>
            </w:pPr>
          </w:p>
        </w:tc>
        <w:tc>
          <w:tcPr>
            <w:tcW w:w="1920" w:type="dxa"/>
            <w:vAlign w:val="bottom"/>
            <w:tcBorders>
              <w:bottom w:val="single" w:sz="8" w:color="E5E7EF"/>
              <w:right w:val="single" w:sz="8" w:color="012E6C"/>
            </w:tcBorders>
            <w:shd w:val="clear" w:color="auto" w:fill="E5E7EF"/>
          </w:tcPr>
          <w:p>
            <w:pPr>
              <w:spacing w:after="0"/>
              <w:rPr>
                <w:sz w:val="14"/>
                <w:szCs w:val="14"/>
                <w:color w:val="auto"/>
              </w:rPr>
            </w:pPr>
          </w:p>
        </w:tc>
        <w:tc>
          <w:tcPr>
            <w:tcW w:w="1860" w:type="dxa"/>
            <w:vAlign w:val="bottom"/>
            <w:tcBorders>
              <w:bottom w:val="single" w:sz="8" w:color="E5E7EF"/>
              <w:right w:val="single" w:sz="8" w:color="012E6C"/>
            </w:tcBorders>
            <w:vMerge w:val="continue"/>
            <w:shd w:val="clear" w:color="auto" w:fill="E5E7EF"/>
          </w:tcPr>
          <w:p>
            <w:pPr>
              <w:spacing w:after="0"/>
              <w:rPr>
                <w:sz w:val="14"/>
                <w:szCs w:val="14"/>
                <w:color w:val="auto"/>
              </w:rPr>
            </w:pPr>
          </w:p>
        </w:tc>
        <w:tc>
          <w:tcPr>
            <w:tcW w:w="2320" w:type="dxa"/>
            <w:vAlign w:val="bottom"/>
            <w:tcBorders>
              <w:bottom w:val="single" w:sz="8" w:color="E5E7EF"/>
              <w:right w:val="single" w:sz="8" w:color="012E6C"/>
            </w:tcBorders>
            <w:shd w:val="clear" w:color="auto" w:fill="E5E7EF"/>
          </w:tcPr>
          <w:p>
            <w:pPr>
              <w:spacing w:after="0"/>
              <w:rPr>
                <w:sz w:val="14"/>
                <w:szCs w:val="14"/>
                <w:color w:val="auto"/>
              </w:rPr>
            </w:pPr>
          </w:p>
        </w:tc>
        <w:tc>
          <w:tcPr>
            <w:tcW w:w="80" w:type="dxa"/>
            <w:vAlign w:val="bottom"/>
            <w:tcBorders>
              <w:bottom w:val="single" w:sz="8" w:color="E5E7EF"/>
            </w:tcBorders>
            <w:shd w:val="clear" w:color="auto" w:fill="E5E7EF"/>
          </w:tcPr>
          <w:p>
            <w:pPr>
              <w:spacing w:after="0"/>
              <w:rPr>
                <w:sz w:val="14"/>
                <w:szCs w:val="14"/>
                <w:color w:val="auto"/>
              </w:rPr>
            </w:pPr>
          </w:p>
        </w:tc>
        <w:tc>
          <w:tcPr>
            <w:tcW w:w="1100" w:type="dxa"/>
            <w:vAlign w:val="bottom"/>
            <w:tcBorders>
              <w:bottom w:val="single" w:sz="8" w:color="E5E7EF"/>
            </w:tcBorders>
            <w:shd w:val="clear" w:color="auto" w:fill="E5E7EF"/>
          </w:tcPr>
          <w:p>
            <w:pPr>
              <w:spacing w:after="0"/>
              <w:rPr>
                <w:sz w:val="14"/>
                <w:szCs w:val="14"/>
                <w:color w:val="auto"/>
              </w:rPr>
            </w:pPr>
          </w:p>
        </w:tc>
        <w:tc>
          <w:tcPr>
            <w:tcW w:w="860" w:type="dxa"/>
            <w:vAlign w:val="bottom"/>
            <w:tcBorders>
              <w:bottom w:val="single" w:sz="8" w:color="E5E7EF"/>
              <w:right w:val="single" w:sz="8" w:color="012E6C"/>
            </w:tcBorders>
            <w:shd w:val="clear" w:color="auto" w:fill="E5E7EF"/>
          </w:tcPr>
          <w:p>
            <w:pPr>
              <w:spacing w:after="0"/>
              <w:rPr>
                <w:sz w:val="14"/>
                <w:szCs w:val="14"/>
                <w:color w:val="auto"/>
              </w:rPr>
            </w:pPr>
          </w:p>
        </w:tc>
        <w:tc>
          <w:tcPr>
            <w:tcW w:w="100" w:type="dxa"/>
            <w:vAlign w:val="bottom"/>
            <w:tcBorders>
              <w:bottom w:val="single" w:sz="8" w:color="E5E7EF"/>
            </w:tcBorders>
            <w:shd w:val="clear" w:color="auto" w:fill="E5E7EF"/>
          </w:tcPr>
          <w:p>
            <w:pPr>
              <w:spacing w:after="0"/>
              <w:rPr>
                <w:sz w:val="14"/>
                <w:szCs w:val="14"/>
                <w:color w:val="auto"/>
              </w:rPr>
            </w:pPr>
          </w:p>
        </w:tc>
        <w:tc>
          <w:tcPr>
            <w:tcW w:w="1820" w:type="dxa"/>
            <w:vAlign w:val="bottom"/>
            <w:tcBorders>
              <w:bottom w:val="single" w:sz="8" w:color="E5E7EF"/>
              <w:right w:val="single" w:sz="8" w:color="E4E6EF"/>
            </w:tcBorders>
            <w:gridSpan w:val="5"/>
            <w:shd w:val="clear" w:color="auto" w:fill="E4E6EF"/>
          </w:tcPr>
          <w:p>
            <w:pPr>
              <w:spacing w:after="0" w:line="149" w:lineRule="exact"/>
              <w:rPr>
                <w:sz w:val="20"/>
                <w:szCs w:val="20"/>
                <w:color w:val="auto"/>
              </w:rPr>
            </w:pPr>
            <w:r>
              <w:rPr>
                <w:rFonts w:ascii="Calibri" w:cs="Calibri" w:eastAsia="Calibri" w:hAnsi="Calibri"/>
                <w:sz w:val="14"/>
                <w:szCs w:val="14"/>
                <w:color w:val="auto"/>
                <w:shd w:val="clear" w:color="auto" w:fill="E4E6EF"/>
              </w:rPr>
              <w:t>Terminaton on or afer the six-</w:t>
            </w:r>
          </w:p>
        </w:tc>
        <w:tc>
          <w:tcPr>
            <w:tcW w:w="140" w:type="dxa"/>
            <w:vAlign w:val="bottom"/>
            <w:tcBorders>
              <w:bottom w:val="single" w:sz="8" w:color="E5E7EF"/>
              <w:right w:val="single" w:sz="8" w:color="012E6C"/>
            </w:tcBorders>
            <w:vMerge w:val="continue"/>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tcBorders>
              <w:top w:val="single" w:sz="8" w:color="012E6C"/>
              <w:left w:val="single" w:sz="8" w:color="012E6C"/>
              <w:bottom w:val="single" w:sz="8" w:color="E5E7EF"/>
              <w:right w:val="single" w:sz="8" w:color="012E6C"/>
            </w:tcBorders>
            <w:shd w:val="clear" w:color="auto" w:fill="E5E7EF"/>
          </w:tcPr>
          <w:p>
            <w:pPr>
              <w:spacing w:after="0"/>
              <w:rPr>
                <w:sz w:val="13"/>
                <w:szCs w:val="13"/>
                <w:color w:val="auto"/>
              </w:rPr>
            </w:pPr>
          </w:p>
        </w:tc>
        <w:tc>
          <w:tcPr>
            <w:tcW w:w="1920" w:type="dxa"/>
            <w:vAlign w:val="bottom"/>
            <w:tcBorders>
              <w:top w:val="single" w:sz="8" w:color="012E6C"/>
              <w:bottom w:val="single" w:sz="8" w:color="E5E7EF"/>
              <w:right w:val="single" w:sz="8" w:color="012E6C"/>
            </w:tcBorders>
            <w:shd w:val="clear" w:color="auto" w:fill="E5E7EF"/>
          </w:tcPr>
          <w:p>
            <w:pPr>
              <w:spacing w:after="0"/>
              <w:rPr>
                <w:sz w:val="13"/>
                <w:szCs w:val="13"/>
                <w:color w:val="auto"/>
              </w:rPr>
            </w:pPr>
          </w:p>
        </w:tc>
        <w:tc>
          <w:tcPr>
            <w:tcW w:w="1860" w:type="dxa"/>
            <w:vAlign w:val="bottom"/>
            <w:tcBorders>
              <w:top w:val="single" w:sz="8" w:color="E5E7EF"/>
              <w:bottom w:val="single" w:sz="8" w:color="E5E7EF"/>
              <w:right w:val="single" w:sz="8" w:color="012E6C"/>
            </w:tcBorders>
            <w:shd w:val="clear" w:color="auto" w:fill="E5E7EF"/>
          </w:tcPr>
          <w:p>
            <w:pPr>
              <w:ind w:left="100"/>
              <w:spacing w:after="0" w:line="130" w:lineRule="exact"/>
              <w:rPr>
                <w:sz w:val="20"/>
                <w:szCs w:val="20"/>
                <w:color w:val="auto"/>
              </w:rPr>
            </w:pPr>
            <w:r>
              <w:rPr>
                <w:rFonts w:ascii="Calibri" w:cs="Calibri" w:eastAsia="Calibri" w:hAnsi="Calibri"/>
                <w:sz w:val="14"/>
                <w:szCs w:val="14"/>
                <w:color w:val="auto"/>
              </w:rPr>
              <w:t>without cause or voluntary</w:t>
            </w:r>
          </w:p>
        </w:tc>
        <w:tc>
          <w:tcPr>
            <w:tcW w:w="2320" w:type="dxa"/>
            <w:vAlign w:val="bottom"/>
            <w:tcBorders>
              <w:top w:val="single" w:sz="8" w:color="012E6C"/>
              <w:bottom w:val="single" w:sz="8" w:color="E5E7EF"/>
              <w:right w:val="single" w:sz="8" w:color="012E6C"/>
            </w:tcBorders>
            <w:shd w:val="clear" w:color="auto" w:fill="E5E7EF"/>
          </w:tcPr>
          <w:p>
            <w:pPr>
              <w:spacing w:after="0"/>
              <w:rPr>
                <w:sz w:val="13"/>
                <w:szCs w:val="13"/>
                <w:color w:val="auto"/>
              </w:rPr>
            </w:pPr>
          </w:p>
        </w:tc>
        <w:tc>
          <w:tcPr>
            <w:tcW w:w="80" w:type="dxa"/>
            <w:vAlign w:val="bottom"/>
            <w:tcBorders>
              <w:top w:val="single" w:sz="8" w:color="012E6C"/>
              <w:bottom w:val="single" w:sz="8" w:color="E5E7EF"/>
            </w:tcBorders>
            <w:shd w:val="clear" w:color="auto" w:fill="E5E7EF"/>
          </w:tcPr>
          <w:p>
            <w:pPr>
              <w:spacing w:after="0"/>
              <w:rPr>
                <w:sz w:val="13"/>
                <w:szCs w:val="13"/>
                <w:color w:val="auto"/>
              </w:rPr>
            </w:pPr>
          </w:p>
        </w:tc>
        <w:tc>
          <w:tcPr>
            <w:tcW w:w="1100" w:type="dxa"/>
            <w:vAlign w:val="bottom"/>
            <w:tcBorders>
              <w:top w:val="single" w:sz="8" w:color="012E6C"/>
              <w:bottom w:val="single" w:sz="8" w:color="E5E7EF"/>
            </w:tcBorders>
            <w:shd w:val="clear" w:color="auto" w:fill="E5E7EF"/>
          </w:tcPr>
          <w:p>
            <w:pPr>
              <w:spacing w:after="0"/>
              <w:rPr>
                <w:sz w:val="13"/>
                <w:szCs w:val="13"/>
                <w:color w:val="auto"/>
              </w:rPr>
            </w:pPr>
          </w:p>
        </w:tc>
        <w:tc>
          <w:tcPr>
            <w:tcW w:w="860" w:type="dxa"/>
            <w:vAlign w:val="bottom"/>
            <w:tcBorders>
              <w:top w:val="single" w:sz="8" w:color="012E6C"/>
              <w:bottom w:val="single" w:sz="8" w:color="E5E7EF"/>
              <w:right w:val="single" w:sz="8" w:color="012E6C"/>
            </w:tcBorders>
            <w:shd w:val="clear" w:color="auto" w:fill="E5E7EF"/>
          </w:tcPr>
          <w:p>
            <w:pPr>
              <w:spacing w:after="0"/>
              <w:rPr>
                <w:sz w:val="13"/>
                <w:szCs w:val="13"/>
                <w:color w:val="auto"/>
              </w:rPr>
            </w:pPr>
          </w:p>
        </w:tc>
        <w:tc>
          <w:tcPr>
            <w:tcW w:w="100" w:type="dxa"/>
            <w:vAlign w:val="bottom"/>
            <w:tcBorders>
              <w:top w:val="single" w:sz="8" w:color="E5E7EF"/>
              <w:bottom w:val="single" w:sz="8" w:color="E5E7EF"/>
            </w:tcBorders>
            <w:shd w:val="clear" w:color="auto" w:fill="E5E7EF"/>
          </w:tcPr>
          <w:p>
            <w:pPr>
              <w:spacing w:after="0"/>
              <w:rPr>
                <w:sz w:val="13"/>
                <w:szCs w:val="13"/>
                <w:color w:val="auto"/>
              </w:rPr>
            </w:pPr>
          </w:p>
        </w:tc>
        <w:tc>
          <w:tcPr>
            <w:tcW w:w="1820" w:type="dxa"/>
            <w:vAlign w:val="bottom"/>
            <w:tcBorders>
              <w:top w:val="single" w:sz="8" w:color="E5E7EF"/>
              <w:bottom w:val="single" w:sz="8" w:color="E5E7EF"/>
              <w:right w:val="single" w:sz="8" w:color="E4E6EF"/>
            </w:tcBorders>
            <w:gridSpan w:val="5"/>
            <w:shd w:val="clear" w:color="auto" w:fill="E4E6EF"/>
          </w:tcPr>
          <w:p>
            <w:pPr>
              <w:spacing w:after="0" w:line="136" w:lineRule="exact"/>
              <w:rPr>
                <w:sz w:val="20"/>
                <w:szCs w:val="20"/>
                <w:color w:val="auto"/>
              </w:rPr>
            </w:pPr>
            <w:r>
              <w:rPr>
                <w:rFonts w:ascii="Calibri" w:cs="Calibri" w:eastAsia="Calibri" w:hAnsi="Calibri"/>
                <w:sz w:val="14"/>
                <w:szCs w:val="14"/>
                <w:color w:val="auto"/>
                <w:shd w:val="clear" w:color="auto" w:fill="E4E6EF"/>
              </w:rPr>
              <w:t>month anniversary of the grant</w:t>
            </w:r>
          </w:p>
        </w:tc>
        <w:tc>
          <w:tcPr>
            <w:tcW w:w="140" w:type="dxa"/>
            <w:vAlign w:val="bottom"/>
            <w:tcBorders>
              <w:top w:val="single" w:sz="8" w:color="E5E7EF"/>
              <w:bottom w:val="single" w:sz="8" w:color="E5E7EF"/>
              <w:right w:val="single" w:sz="8" w:color="012E6C"/>
            </w:tcBorders>
            <w:shd w:val="clear" w:color="auto" w:fill="E5E7E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012E6C"/>
              <w:bottom w:val="single" w:sz="8" w:color="E5E7EF"/>
              <w:right w:val="single" w:sz="8" w:color="012E6C"/>
            </w:tcBorders>
            <w:shd w:val="clear" w:color="auto" w:fill="E5E7EF"/>
          </w:tcPr>
          <w:p>
            <w:pPr>
              <w:spacing w:after="0"/>
              <w:rPr>
                <w:sz w:val="14"/>
                <w:szCs w:val="14"/>
                <w:color w:val="auto"/>
              </w:rPr>
            </w:pPr>
          </w:p>
        </w:tc>
        <w:tc>
          <w:tcPr>
            <w:tcW w:w="1920" w:type="dxa"/>
            <w:vAlign w:val="bottom"/>
            <w:tcBorders>
              <w:bottom w:val="single" w:sz="8" w:color="E5E7EF"/>
              <w:right w:val="single" w:sz="8" w:color="012E6C"/>
            </w:tcBorders>
            <w:shd w:val="clear" w:color="auto" w:fill="E5E7EF"/>
          </w:tcPr>
          <w:p>
            <w:pPr>
              <w:ind w:left="80"/>
              <w:spacing w:after="0" w:line="169" w:lineRule="exact"/>
              <w:rPr>
                <w:sz w:val="20"/>
                <w:szCs w:val="20"/>
                <w:color w:val="auto"/>
              </w:rPr>
            </w:pPr>
            <w:r>
              <w:rPr>
                <w:rFonts w:ascii="Calibri" w:cs="Calibri" w:eastAsia="Calibri" w:hAnsi="Calibri"/>
                <w:sz w:val="14"/>
                <w:szCs w:val="14"/>
                <w:color w:val="auto"/>
              </w:rPr>
              <w:t>Prorated payment of PSUs</w:t>
            </w:r>
          </w:p>
        </w:tc>
        <w:tc>
          <w:tcPr>
            <w:tcW w:w="1860" w:type="dxa"/>
            <w:vAlign w:val="bottom"/>
            <w:tcBorders>
              <w:bottom w:val="single" w:sz="8" w:color="E5E7EF"/>
              <w:right w:val="single" w:sz="8" w:color="012E6C"/>
            </w:tcBorders>
            <w:shd w:val="clear" w:color="auto" w:fill="E5E7EF"/>
          </w:tcPr>
          <w:p>
            <w:pPr>
              <w:ind w:left="100"/>
              <w:spacing w:after="0" w:line="129" w:lineRule="exact"/>
              <w:rPr>
                <w:sz w:val="20"/>
                <w:szCs w:val="20"/>
                <w:color w:val="auto"/>
              </w:rPr>
            </w:pPr>
            <w:r>
              <w:rPr>
                <w:rFonts w:ascii="Calibri" w:cs="Calibri" w:eastAsia="Calibri" w:hAnsi="Calibri"/>
                <w:sz w:val="14"/>
                <w:szCs w:val="14"/>
                <w:color w:val="auto"/>
              </w:rPr>
              <w:t>terminaton with good</w:t>
            </w:r>
          </w:p>
        </w:tc>
        <w:tc>
          <w:tcPr>
            <w:tcW w:w="2320" w:type="dxa"/>
            <w:vAlign w:val="bottom"/>
            <w:tcBorders>
              <w:bottom w:val="single" w:sz="8" w:color="E5E7EF"/>
              <w:right w:val="single" w:sz="8" w:color="012E6C"/>
            </w:tcBorders>
            <w:shd w:val="clear" w:color="auto" w:fill="E5E7EF"/>
          </w:tcPr>
          <w:p>
            <w:pPr>
              <w:ind w:left="100"/>
              <w:spacing w:after="0" w:line="169" w:lineRule="exact"/>
              <w:rPr>
                <w:sz w:val="20"/>
                <w:szCs w:val="20"/>
                <w:color w:val="auto"/>
              </w:rPr>
            </w:pPr>
            <w:r>
              <w:rPr>
                <w:rFonts w:ascii="Calibri" w:cs="Calibri" w:eastAsia="Calibri" w:hAnsi="Calibri"/>
                <w:sz w:val="14"/>
                <w:szCs w:val="14"/>
                <w:color w:val="auto"/>
              </w:rPr>
              <w:t>Prorated payment of PSUs and LTIP</w:t>
            </w:r>
          </w:p>
        </w:tc>
        <w:tc>
          <w:tcPr>
            <w:tcW w:w="80" w:type="dxa"/>
            <w:vAlign w:val="bottom"/>
            <w:tcBorders>
              <w:bottom w:val="single" w:sz="8" w:color="E5E7EF"/>
            </w:tcBorders>
            <w:shd w:val="clear" w:color="auto" w:fill="E5E7EF"/>
          </w:tcPr>
          <w:p>
            <w:pPr>
              <w:spacing w:after="0"/>
              <w:rPr>
                <w:sz w:val="14"/>
                <w:szCs w:val="14"/>
                <w:color w:val="auto"/>
              </w:rPr>
            </w:pPr>
          </w:p>
        </w:tc>
        <w:tc>
          <w:tcPr>
            <w:tcW w:w="1100" w:type="dxa"/>
            <w:vAlign w:val="bottom"/>
            <w:tcBorders>
              <w:bottom w:val="single" w:sz="8" w:color="E5E7EF"/>
            </w:tcBorders>
            <w:shd w:val="clear" w:color="auto" w:fill="E5E7EF"/>
          </w:tcPr>
          <w:p>
            <w:pPr>
              <w:spacing w:after="0"/>
              <w:rPr>
                <w:sz w:val="14"/>
                <w:szCs w:val="14"/>
                <w:color w:val="auto"/>
              </w:rPr>
            </w:pPr>
          </w:p>
        </w:tc>
        <w:tc>
          <w:tcPr>
            <w:tcW w:w="860" w:type="dxa"/>
            <w:vAlign w:val="bottom"/>
            <w:tcBorders>
              <w:bottom w:val="single" w:sz="8" w:color="E5E7EF"/>
              <w:right w:val="single" w:sz="8" w:color="012E6C"/>
            </w:tcBorders>
            <w:shd w:val="clear" w:color="auto" w:fill="E5E7EF"/>
          </w:tcPr>
          <w:p>
            <w:pPr>
              <w:spacing w:after="0"/>
              <w:rPr>
                <w:sz w:val="14"/>
                <w:szCs w:val="14"/>
                <w:color w:val="auto"/>
              </w:rPr>
            </w:pPr>
          </w:p>
        </w:tc>
        <w:tc>
          <w:tcPr>
            <w:tcW w:w="100" w:type="dxa"/>
            <w:vAlign w:val="bottom"/>
            <w:tcBorders>
              <w:bottom w:val="single" w:sz="8" w:color="E5E7EF"/>
            </w:tcBorders>
            <w:shd w:val="clear" w:color="auto" w:fill="E5E7EF"/>
          </w:tcPr>
          <w:p>
            <w:pPr>
              <w:spacing w:after="0"/>
              <w:rPr>
                <w:sz w:val="14"/>
                <w:szCs w:val="14"/>
                <w:color w:val="auto"/>
              </w:rPr>
            </w:pPr>
          </w:p>
        </w:tc>
        <w:tc>
          <w:tcPr>
            <w:tcW w:w="1820" w:type="dxa"/>
            <w:vAlign w:val="bottom"/>
            <w:tcBorders>
              <w:bottom w:val="single" w:sz="8" w:color="E5E7EF"/>
              <w:right w:val="single" w:sz="8" w:color="E4E6EF"/>
            </w:tcBorders>
            <w:gridSpan w:val="5"/>
            <w:shd w:val="clear" w:color="auto" w:fill="E4E6EF"/>
          </w:tcPr>
          <w:p>
            <w:pPr>
              <w:spacing w:after="0" w:line="149" w:lineRule="exact"/>
              <w:rPr>
                <w:sz w:val="20"/>
                <w:szCs w:val="20"/>
                <w:color w:val="auto"/>
              </w:rPr>
            </w:pPr>
            <w:r>
              <w:rPr>
                <w:rFonts w:ascii="Calibri" w:cs="Calibri" w:eastAsia="Calibri" w:hAnsi="Calibri"/>
                <w:sz w:val="14"/>
                <w:szCs w:val="14"/>
                <w:color w:val="auto"/>
                <w:shd w:val="clear" w:color="auto" w:fill="E4E6EF"/>
              </w:rPr>
              <w:t>date and either (i) age 55 and</w:t>
            </w:r>
          </w:p>
        </w:tc>
        <w:tc>
          <w:tcPr>
            <w:tcW w:w="140" w:type="dxa"/>
            <w:vAlign w:val="bottom"/>
            <w:tcBorders>
              <w:bottom w:val="single" w:sz="8" w:color="E5E7EF"/>
              <w:right w:val="single" w:sz="8" w:color="012E6C"/>
            </w:tcBorders>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012E6C"/>
              <w:bottom w:val="single" w:sz="8" w:color="E5E7EF"/>
              <w:right w:val="single" w:sz="8" w:color="012E6C"/>
            </w:tcBorders>
            <w:shd w:val="clear" w:color="auto" w:fill="E5E7EF"/>
          </w:tcPr>
          <w:p>
            <w:pPr>
              <w:spacing w:after="0"/>
              <w:rPr>
                <w:sz w:val="14"/>
                <w:szCs w:val="14"/>
                <w:color w:val="auto"/>
              </w:rPr>
            </w:pPr>
          </w:p>
        </w:tc>
        <w:tc>
          <w:tcPr>
            <w:tcW w:w="1920" w:type="dxa"/>
            <w:vAlign w:val="bottom"/>
            <w:tcBorders>
              <w:bottom w:val="single" w:sz="8" w:color="E5E7EF"/>
              <w:right w:val="single" w:sz="8" w:color="012E6C"/>
            </w:tcBorders>
            <w:shd w:val="clear" w:color="auto" w:fill="E5E7EF"/>
          </w:tcPr>
          <w:p>
            <w:pPr>
              <w:ind w:left="80"/>
              <w:spacing w:after="0" w:line="169" w:lineRule="exact"/>
              <w:rPr>
                <w:sz w:val="20"/>
                <w:szCs w:val="20"/>
                <w:color w:val="auto"/>
              </w:rPr>
            </w:pPr>
            <w:r>
              <w:rPr>
                <w:rFonts w:ascii="Calibri" w:cs="Calibri" w:eastAsia="Calibri" w:hAnsi="Calibri"/>
                <w:sz w:val="14"/>
                <w:szCs w:val="14"/>
                <w:color w:val="auto"/>
              </w:rPr>
              <w:t>and LTIP (and dividend</w:t>
            </w:r>
          </w:p>
        </w:tc>
        <w:tc>
          <w:tcPr>
            <w:tcW w:w="1860" w:type="dxa"/>
            <w:vAlign w:val="bottom"/>
            <w:tcBorders>
              <w:bottom w:val="single" w:sz="8" w:color="E5E7EF"/>
              <w:right w:val="single" w:sz="8" w:color="012E6C"/>
            </w:tcBorders>
            <w:shd w:val="clear" w:color="auto" w:fill="E5E7EF"/>
          </w:tcPr>
          <w:p>
            <w:pPr>
              <w:ind w:left="100"/>
              <w:spacing w:after="0" w:line="129" w:lineRule="exact"/>
              <w:rPr>
                <w:sz w:val="20"/>
                <w:szCs w:val="20"/>
                <w:color w:val="auto"/>
              </w:rPr>
            </w:pPr>
            <w:r>
              <w:rPr>
                <w:rFonts w:ascii="Calibri" w:cs="Calibri" w:eastAsia="Calibri" w:hAnsi="Calibri"/>
                <w:sz w:val="14"/>
                <w:szCs w:val="14"/>
                <w:color w:val="auto"/>
              </w:rPr>
              <w:t>reason within 24 months of</w:t>
            </w:r>
          </w:p>
        </w:tc>
        <w:tc>
          <w:tcPr>
            <w:tcW w:w="2320" w:type="dxa"/>
            <w:vAlign w:val="bottom"/>
            <w:tcBorders>
              <w:bottom w:val="single" w:sz="8" w:color="E5E7EF"/>
              <w:right w:val="single" w:sz="8" w:color="012E6C"/>
            </w:tcBorders>
            <w:shd w:val="clear" w:color="auto" w:fill="E5E7EF"/>
          </w:tcPr>
          <w:p>
            <w:pPr>
              <w:ind w:left="100"/>
              <w:spacing w:after="0" w:line="169" w:lineRule="exact"/>
              <w:rPr>
                <w:sz w:val="20"/>
                <w:szCs w:val="20"/>
                <w:color w:val="auto"/>
              </w:rPr>
            </w:pPr>
            <w:r>
              <w:rPr>
                <w:rFonts w:ascii="Calibri" w:cs="Calibri" w:eastAsia="Calibri" w:hAnsi="Calibri"/>
                <w:sz w:val="14"/>
                <w:szCs w:val="14"/>
                <w:color w:val="auto"/>
              </w:rPr>
              <w:t>(and dividend equivalents on PSUs)</w:t>
            </w:r>
          </w:p>
        </w:tc>
        <w:tc>
          <w:tcPr>
            <w:tcW w:w="80" w:type="dxa"/>
            <w:vAlign w:val="bottom"/>
            <w:tcBorders>
              <w:bottom w:val="single" w:sz="8" w:color="E5E7EF"/>
            </w:tcBorders>
            <w:shd w:val="clear" w:color="auto" w:fill="E5E7EF"/>
          </w:tcPr>
          <w:p>
            <w:pPr>
              <w:spacing w:after="0"/>
              <w:rPr>
                <w:sz w:val="14"/>
                <w:szCs w:val="14"/>
                <w:color w:val="auto"/>
              </w:rPr>
            </w:pPr>
          </w:p>
        </w:tc>
        <w:tc>
          <w:tcPr>
            <w:tcW w:w="1960" w:type="dxa"/>
            <w:vAlign w:val="bottom"/>
            <w:tcBorders>
              <w:bottom w:val="single" w:sz="8" w:color="E5E7EF"/>
              <w:right w:val="single" w:sz="8" w:color="012E6C"/>
            </w:tcBorders>
            <w:gridSpan w:val="2"/>
            <w:shd w:val="clear" w:color="auto" w:fill="E5E7EF"/>
          </w:tcPr>
          <w:p>
            <w:pPr>
              <w:spacing w:after="0" w:line="169" w:lineRule="exact"/>
              <w:rPr>
                <w:sz w:val="20"/>
                <w:szCs w:val="20"/>
                <w:color w:val="auto"/>
              </w:rPr>
            </w:pPr>
            <w:r>
              <w:rPr>
                <w:rFonts w:ascii="Calibri" w:cs="Calibri" w:eastAsia="Calibri" w:hAnsi="Calibri"/>
                <w:sz w:val="14"/>
                <w:szCs w:val="14"/>
                <w:color w:val="auto"/>
              </w:rPr>
              <w:t>Prorated payment of PSUs and</w:t>
            </w:r>
          </w:p>
        </w:tc>
        <w:tc>
          <w:tcPr>
            <w:tcW w:w="100" w:type="dxa"/>
            <w:vAlign w:val="bottom"/>
            <w:tcBorders>
              <w:bottom w:val="single" w:sz="8" w:color="E5E7EF"/>
            </w:tcBorders>
            <w:shd w:val="clear" w:color="auto" w:fill="E5E7EF"/>
          </w:tcPr>
          <w:p>
            <w:pPr>
              <w:spacing w:after="0"/>
              <w:rPr>
                <w:sz w:val="14"/>
                <w:szCs w:val="14"/>
                <w:color w:val="auto"/>
              </w:rPr>
            </w:pPr>
          </w:p>
        </w:tc>
        <w:tc>
          <w:tcPr>
            <w:tcW w:w="1820" w:type="dxa"/>
            <w:vAlign w:val="bottom"/>
            <w:tcBorders>
              <w:bottom w:val="single" w:sz="8" w:color="E5E7EF"/>
              <w:right w:val="single" w:sz="8" w:color="E4E6EF"/>
            </w:tcBorders>
            <w:gridSpan w:val="5"/>
            <w:shd w:val="clear" w:color="auto" w:fill="E4E6EF"/>
          </w:tcPr>
          <w:p>
            <w:pPr>
              <w:spacing w:after="0" w:line="149" w:lineRule="exact"/>
              <w:rPr>
                <w:sz w:val="20"/>
                <w:szCs w:val="20"/>
                <w:color w:val="auto"/>
              </w:rPr>
            </w:pPr>
            <w:r>
              <w:rPr>
                <w:rFonts w:ascii="Calibri" w:cs="Calibri" w:eastAsia="Calibri" w:hAnsi="Calibri"/>
                <w:sz w:val="14"/>
                <w:szCs w:val="14"/>
                <w:color w:val="auto"/>
                <w:shd w:val="clear" w:color="auto" w:fill="E4E6EF"/>
              </w:rPr>
              <w:t>ten years of service or (ii) age</w:t>
            </w:r>
          </w:p>
        </w:tc>
        <w:tc>
          <w:tcPr>
            <w:tcW w:w="140" w:type="dxa"/>
            <w:vAlign w:val="bottom"/>
            <w:tcBorders>
              <w:bottom w:val="single" w:sz="8" w:color="E5E7EF"/>
              <w:right w:val="single" w:sz="8" w:color="012E6C"/>
            </w:tcBorders>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Borders>
              <w:left w:val="single" w:sz="8" w:color="012E6C"/>
              <w:bottom w:val="single" w:sz="8" w:color="E5E7EF"/>
              <w:right w:val="single" w:sz="8" w:color="012E6C"/>
            </w:tcBorders>
            <w:shd w:val="clear" w:color="auto" w:fill="E5E7EF"/>
          </w:tcPr>
          <w:p>
            <w:pPr>
              <w:spacing w:after="0"/>
              <w:rPr>
                <w:sz w:val="14"/>
                <w:szCs w:val="14"/>
                <w:color w:val="auto"/>
              </w:rPr>
            </w:pPr>
          </w:p>
        </w:tc>
        <w:tc>
          <w:tcPr>
            <w:tcW w:w="1920" w:type="dxa"/>
            <w:vAlign w:val="bottom"/>
            <w:tcBorders>
              <w:bottom w:val="single" w:sz="8" w:color="E5E7EF"/>
              <w:right w:val="single" w:sz="8" w:color="012E6C"/>
            </w:tcBorders>
            <w:shd w:val="clear" w:color="auto" w:fill="E5E7EF"/>
          </w:tcPr>
          <w:p>
            <w:pPr>
              <w:ind w:left="80"/>
              <w:spacing w:after="0" w:line="169" w:lineRule="exact"/>
              <w:rPr>
                <w:sz w:val="20"/>
                <w:szCs w:val="20"/>
                <w:color w:val="auto"/>
              </w:rPr>
            </w:pPr>
            <w:r>
              <w:rPr>
                <w:rFonts w:ascii="Calibri" w:cs="Calibri" w:eastAsia="Calibri" w:hAnsi="Calibri"/>
                <w:sz w:val="14"/>
                <w:szCs w:val="14"/>
                <w:color w:val="auto"/>
              </w:rPr>
              <w:t>equivalents on PSUs) based</w:t>
            </w:r>
          </w:p>
        </w:tc>
        <w:tc>
          <w:tcPr>
            <w:tcW w:w="1860" w:type="dxa"/>
            <w:vAlign w:val="bottom"/>
            <w:tcBorders>
              <w:bottom w:val="single" w:sz="8" w:color="E5E7EF"/>
              <w:right w:val="single" w:sz="8" w:color="012E6C"/>
            </w:tcBorders>
            <w:shd w:val="clear" w:color="auto" w:fill="E5E7EF"/>
          </w:tcPr>
          <w:p>
            <w:pPr>
              <w:ind w:left="100"/>
              <w:spacing w:after="0" w:line="129" w:lineRule="exact"/>
              <w:rPr>
                <w:sz w:val="20"/>
                <w:szCs w:val="20"/>
                <w:color w:val="auto"/>
              </w:rPr>
            </w:pPr>
            <w:r>
              <w:rPr>
                <w:rFonts w:ascii="Calibri" w:cs="Calibri" w:eastAsia="Calibri" w:hAnsi="Calibri"/>
                <w:sz w:val="14"/>
                <w:szCs w:val="14"/>
                <w:color w:val="auto"/>
              </w:rPr>
              <w:t>change in control if</w:t>
            </w:r>
          </w:p>
        </w:tc>
        <w:tc>
          <w:tcPr>
            <w:tcW w:w="2320" w:type="dxa"/>
            <w:vAlign w:val="bottom"/>
            <w:tcBorders>
              <w:bottom w:val="single" w:sz="8" w:color="E5E7EF"/>
              <w:right w:val="single" w:sz="8" w:color="012E6C"/>
            </w:tcBorders>
            <w:shd w:val="clear" w:color="auto" w:fill="E5E7EF"/>
          </w:tcPr>
          <w:p>
            <w:pPr>
              <w:ind w:left="100"/>
              <w:spacing w:after="0" w:line="169" w:lineRule="exact"/>
              <w:rPr>
                <w:sz w:val="20"/>
                <w:szCs w:val="20"/>
                <w:color w:val="auto"/>
              </w:rPr>
            </w:pPr>
            <w:r>
              <w:rPr>
                <w:rFonts w:ascii="Calibri" w:cs="Calibri" w:eastAsia="Calibri" w:hAnsi="Calibri"/>
                <w:sz w:val="14"/>
                <w:szCs w:val="14"/>
                <w:color w:val="auto"/>
              </w:rPr>
              <w:t>based on the performance at end</w:t>
            </w:r>
          </w:p>
        </w:tc>
        <w:tc>
          <w:tcPr>
            <w:tcW w:w="80" w:type="dxa"/>
            <w:vAlign w:val="bottom"/>
            <w:tcBorders>
              <w:bottom w:val="single" w:sz="8" w:color="E5E7EF"/>
            </w:tcBorders>
            <w:shd w:val="clear" w:color="auto" w:fill="E5E7EF"/>
          </w:tcPr>
          <w:p>
            <w:pPr>
              <w:spacing w:after="0"/>
              <w:rPr>
                <w:sz w:val="14"/>
                <w:szCs w:val="14"/>
                <w:color w:val="auto"/>
              </w:rPr>
            </w:pPr>
          </w:p>
        </w:tc>
        <w:tc>
          <w:tcPr>
            <w:tcW w:w="1960" w:type="dxa"/>
            <w:vAlign w:val="bottom"/>
            <w:tcBorders>
              <w:bottom w:val="single" w:sz="8" w:color="E5E7EF"/>
              <w:right w:val="single" w:sz="8" w:color="012E6C"/>
            </w:tcBorders>
            <w:gridSpan w:val="2"/>
            <w:shd w:val="clear" w:color="auto" w:fill="E5E7EF"/>
          </w:tcPr>
          <w:p>
            <w:pPr>
              <w:spacing w:after="0" w:line="169" w:lineRule="exact"/>
              <w:rPr>
                <w:sz w:val="20"/>
                <w:szCs w:val="20"/>
                <w:color w:val="auto"/>
              </w:rPr>
            </w:pPr>
            <w:r>
              <w:rPr>
                <w:rFonts w:ascii="Calibri" w:cs="Calibri" w:eastAsia="Calibri" w:hAnsi="Calibri"/>
                <w:sz w:val="14"/>
                <w:szCs w:val="14"/>
                <w:color w:val="auto"/>
              </w:rPr>
              <w:t>LTIP (and dividend equivalents</w:t>
            </w:r>
          </w:p>
        </w:tc>
        <w:tc>
          <w:tcPr>
            <w:tcW w:w="100" w:type="dxa"/>
            <w:vAlign w:val="bottom"/>
            <w:tcBorders>
              <w:bottom w:val="single" w:sz="8" w:color="E5E7EF"/>
            </w:tcBorders>
            <w:shd w:val="clear" w:color="auto" w:fill="E5E7EF"/>
          </w:tcPr>
          <w:p>
            <w:pPr>
              <w:spacing w:after="0"/>
              <w:rPr>
                <w:sz w:val="14"/>
                <w:szCs w:val="14"/>
                <w:color w:val="auto"/>
              </w:rPr>
            </w:pPr>
          </w:p>
        </w:tc>
        <w:tc>
          <w:tcPr>
            <w:tcW w:w="1580" w:type="dxa"/>
            <w:vAlign w:val="bottom"/>
            <w:tcBorders>
              <w:bottom w:val="single" w:sz="8" w:color="E5E7EF"/>
            </w:tcBorders>
            <w:gridSpan w:val="4"/>
            <w:shd w:val="clear" w:color="auto" w:fill="E4E6EF"/>
          </w:tcPr>
          <w:p>
            <w:pPr>
              <w:spacing w:after="0" w:line="149" w:lineRule="exact"/>
              <w:rPr>
                <w:sz w:val="20"/>
                <w:szCs w:val="20"/>
                <w:color w:val="auto"/>
              </w:rPr>
            </w:pPr>
            <w:r>
              <w:rPr>
                <w:rFonts w:ascii="Calibri" w:cs="Calibri" w:eastAsia="Calibri" w:hAnsi="Calibri"/>
                <w:sz w:val="14"/>
                <w:szCs w:val="14"/>
                <w:color w:val="auto"/>
                <w:shd w:val="clear" w:color="auto" w:fill="E4E6EF"/>
              </w:rPr>
              <w:t>65 is treated as retrement-</w:t>
            </w:r>
          </w:p>
        </w:tc>
        <w:tc>
          <w:tcPr>
            <w:tcW w:w="380" w:type="dxa"/>
            <w:vAlign w:val="bottom"/>
            <w:tcBorders>
              <w:bottom w:val="single" w:sz="8" w:color="E5E7EF"/>
              <w:right w:val="single" w:sz="8" w:color="012E6C"/>
            </w:tcBorders>
            <w:gridSpan w:val="2"/>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60" w:type="dxa"/>
            <w:vAlign w:val="bottom"/>
            <w:tcBorders>
              <w:left w:val="single" w:sz="8" w:color="012E6C"/>
              <w:right w:val="single" w:sz="8" w:color="012E6C"/>
            </w:tcBorders>
            <w:shd w:val="clear" w:color="auto" w:fill="E5E7EF"/>
          </w:tcPr>
          <w:p>
            <w:pPr>
              <w:spacing w:after="0"/>
              <w:rPr>
                <w:sz w:val="12"/>
                <w:szCs w:val="12"/>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on the performance at the</w:t>
            </w:r>
          </w:p>
        </w:tc>
        <w:tc>
          <w:tcPr>
            <w:tcW w:w="1860" w:type="dxa"/>
            <w:vAlign w:val="bottom"/>
            <w:tcBorders>
              <w:right w:val="single" w:sz="8" w:color="012E6C"/>
            </w:tcBorders>
            <w:shd w:val="clear" w:color="auto" w:fill="E5E7EF"/>
          </w:tcPr>
          <w:p>
            <w:pPr>
              <w:ind w:left="100"/>
              <w:spacing w:after="0" w:line="129" w:lineRule="exact"/>
              <w:rPr>
                <w:sz w:val="20"/>
                <w:szCs w:val="20"/>
                <w:color w:val="auto"/>
              </w:rPr>
            </w:pPr>
            <w:r>
              <w:rPr>
                <w:rFonts w:ascii="Calibri" w:cs="Calibri" w:eastAsia="Calibri" w:hAnsi="Calibri"/>
                <w:sz w:val="14"/>
                <w:szCs w:val="14"/>
                <w:color w:val="auto"/>
              </w:rPr>
              <w:t>assumed by successor.</w:t>
            </w: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of the three-year performance</w:t>
            </w:r>
          </w:p>
        </w:tc>
        <w:tc>
          <w:tcPr>
            <w:tcW w:w="80" w:type="dxa"/>
            <w:vAlign w:val="bottom"/>
            <w:shd w:val="clear" w:color="auto" w:fill="E5E7EF"/>
          </w:tcPr>
          <w:p>
            <w:pPr>
              <w:spacing w:after="0"/>
              <w:rPr>
                <w:sz w:val="12"/>
                <w:szCs w:val="12"/>
                <w:color w:val="auto"/>
              </w:rPr>
            </w:pPr>
          </w:p>
        </w:tc>
        <w:tc>
          <w:tcPr>
            <w:tcW w:w="1960" w:type="dxa"/>
            <w:vAlign w:val="bottom"/>
            <w:tcBorders>
              <w:right w:val="single" w:sz="8" w:color="012E6C"/>
            </w:tcBorders>
            <w:gridSpan w:val="2"/>
            <w:vMerge w:val="restart"/>
            <w:shd w:val="clear" w:color="auto" w:fill="E5E7EF"/>
          </w:tcPr>
          <w:p>
            <w:pPr>
              <w:spacing w:after="0"/>
              <w:rPr>
                <w:sz w:val="20"/>
                <w:szCs w:val="20"/>
                <w:color w:val="auto"/>
              </w:rPr>
            </w:pPr>
            <w:r>
              <w:rPr>
                <w:rFonts w:ascii="Calibri" w:cs="Calibri" w:eastAsia="Calibri" w:hAnsi="Calibri"/>
                <w:sz w:val="14"/>
                <w:szCs w:val="14"/>
                <w:color w:val="auto"/>
              </w:rPr>
              <w:t>on PSUs) based on the</w:t>
            </w:r>
          </w:p>
        </w:tc>
        <w:tc>
          <w:tcPr>
            <w:tcW w:w="100" w:type="dxa"/>
            <w:vAlign w:val="bottom"/>
            <w:shd w:val="clear" w:color="auto" w:fill="E5E7EF"/>
          </w:tcPr>
          <w:p>
            <w:pPr>
              <w:spacing w:after="0"/>
              <w:rPr>
                <w:sz w:val="12"/>
                <w:szCs w:val="12"/>
                <w:color w:val="auto"/>
              </w:rPr>
            </w:pPr>
          </w:p>
        </w:tc>
        <w:tc>
          <w:tcPr>
            <w:tcW w:w="460" w:type="dxa"/>
            <w:vAlign w:val="bottom"/>
            <w:shd w:val="clear" w:color="auto" w:fill="E4E6EF"/>
          </w:tcPr>
          <w:p>
            <w:pPr>
              <w:spacing w:after="0" w:line="149" w:lineRule="exact"/>
              <w:rPr>
                <w:sz w:val="20"/>
                <w:szCs w:val="20"/>
                <w:color w:val="auto"/>
              </w:rPr>
            </w:pPr>
            <w:r>
              <w:rPr>
                <w:rFonts w:ascii="Calibri" w:cs="Calibri" w:eastAsia="Calibri" w:hAnsi="Calibri"/>
                <w:sz w:val="14"/>
                <w:szCs w:val="14"/>
                <w:color w:val="auto"/>
                <w:w w:val="99"/>
                <w:shd w:val="clear" w:color="auto" w:fill="E4E6EF"/>
              </w:rPr>
              <w:t>eligible.</w:t>
            </w:r>
          </w:p>
        </w:tc>
        <w:tc>
          <w:tcPr>
            <w:tcW w:w="1500" w:type="dxa"/>
            <w:vAlign w:val="bottom"/>
            <w:tcBorders>
              <w:right w:val="single" w:sz="8" w:color="012E6C"/>
            </w:tcBorders>
            <w:gridSpan w:val="5"/>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060" w:type="dxa"/>
            <w:vAlign w:val="bottom"/>
            <w:tcBorders>
              <w:left w:val="single" w:sz="8" w:color="012E6C"/>
              <w:right w:val="single" w:sz="8" w:color="012E6C"/>
            </w:tcBorders>
            <w:vMerge w:val="restart"/>
            <w:shd w:val="clear" w:color="auto" w:fill="E5E7EF"/>
          </w:tcPr>
          <w:p>
            <w:pPr>
              <w:jc w:val="center"/>
              <w:spacing w:after="0"/>
              <w:rPr>
                <w:sz w:val="20"/>
                <w:szCs w:val="20"/>
                <w:color w:val="auto"/>
              </w:rPr>
            </w:pPr>
            <w:r>
              <w:rPr>
                <w:rFonts w:ascii="Arial" w:cs="Arial" w:eastAsia="Arial" w:hAnsi="Arial"/>
                <w:sz w:val="15"/>
                <w:szCs w:val="15"/>
                <w:b w:val="1"/>
                <w:bCs w:val="1"/>
                <w:color w:val="003478"/>
                <w:w w:val="99"/>
              </w:rPr>
              <w:t>PSUs &amp; LTIP</w:t>
            </w:r>
          </w:p>
        </w:tc>
        <w:tc>
          <w:tcPr>
            <w:tcW w:w="1920" w:type="dxa"/>
            <w:vAlign w:val="bottom"/>
            <w:tcBorders>
              <w:right w:val="single" w:sz="8" w:color="012E6C"/>
            </w:tcBorders>
            <w:vMerge w:val="continue"/>
            <w:shd w:val="clear" w:color="auto" w:fill="E5E7EF"/>
          </w:tcPr>
          <w:p>
            <w:pPr>
              <w:spacing w:after="0"/>
              <w:rPr>
                <w:sz w:val="5"/>
                <w:szCs w:val="5"/>
                <w:color w:val="auto"/>
              </w:rPr>
            </w:pPr>
          </w:p>
        </w:tc>
        <w:tc>
          <w:tcPr>
            <w:tcW w:w="1860" w:type="dxa"/>
            <w:vAlign w:val="bottom"/>
            <w:tcBorders>
              <w:right w:val="single" w:sz="8" w:color="012E6C"/>
            </w:tcBorders>
            <w:shd w:val="clear" w:color="auto" w:fill="E5E7EF"/>
          </w:tcPr>
          <w:p>
            <w:pPr>
              <w:spacing w:after="0"/>
              <w:rPr>
                <w:sz w:val="5"/>
                <w:szCs w:val="5"/>
                <w:color w:val="auto"/>
              </w:rPr>
            </w:pPr>
          </w:p>
        </w:tc>
        <w:tc>
          <w:tcPr>
            <w:tcW w:w="2320" w:type="dxa"/>
            <w:vAlign w:val="bottom"/>
            <w:tcBorders>
              <w:right w:val="single" w:sz="8" w:color="012E6C"/>
            </w:tcBorders>
            <w:vMerge w:val="continue"/>
            <w:shd w:val="clear" w:color="auto" w:fill="E5E7EF"/>
          </w:tcPr>
          <w:p>
            <w:pPr>
              <w:spacing w:after="0"/>
              <w:rPr>
                <w:sz w:val="5"/>
                <w:szCs w:val="5"/>
                <w:color w:val="auto"/>
              </w:rPr>
            </w:pPr>
          </w:p>
        </w:tc>
        <w:tc>
          <w:tcPr>
            <w:tcW w:w="80" w:type="dxa"/>
            <w:vAlign w:val="bottom"/>
            <w:shd w:val="clear" w:color="auto" w:fill="E5E7EF"/>
          </w:tcPr>
          <w:p>
            <w:pPr>
              <w:spacing w:after="0"/>
              <w:rPr>
                <w:sz w:val="5"/>
                <w:szCs w:val="5"/>
                <w:color w:val="auto"/>
              </w:rPr>
            </w:pPr>
          </w:p>
        </w:tc>
        <w:tc>
          <w:tcPr>
            <w:tcW w:w="1960" w:type="dxa"/>
            <w:vAlign w:val="bottom"/>
            <w:tcBorders>
              <w:right w:val="single" w:sz="8" w:color="012E6C"/>
            </w:tcBorders>
            <w:gridSpan w:val="2"/>
            <w:vMerge w:val="continue"/>
            <w:shd w:val="clear" w:color="auto" w:fill="E5E7EF"/>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460" w:type="dxa"/>
            <w:vAlign w:val="bottom"/>
            <w:shd w:val="clear" w:color="auto" w:fill="E5E7EF"/>
          </w:tcPr>
          <w:p>
            <w:pPr>
              <w:spacing w:after="0"/>
              <w:rPr>
                <w:sz w:val="5"/>
                <w:szCs w:val="5"/>
                <w:color w:val="auto"/>
              </w:rPr>
            </w:pPr>
          </w:p>
        </w:tc>
        <w:tc>
          <w:tcPr>
            <w:tcW w:w="120" w:type="dxa"/>
            <w:vAlign w:val="bottom"/>
            <w:shd w:val="clear" w:color="auto" w:fill="E5E7EF"/>
          </w:tcPr>
          <w:p>
            <w:pPr>
              <w:spacing w:after="0"/>
              <w:rPr>
                <w:sz w:val="5"/>
                <w:szCs w:val="5"/>
                <w:color w:val="auto"/>
              </w:rPr>
            </w:pPr>
          </w:p>
        </w:tc>
        <w:tc>
          <w:tcPr>
            <w:tcW w:w="540" w:type="dxa"/>
            <w:vAlign w:val="bottom"/>
            <w:shd w:val="clear" w:color="auto" w:fill="E5E7EF"/>
          </w:tcPr>
          <w:p>
            <w:pPr>
              <w:spacing w:after="0"/>
              <w:rPr>
                <w:sz w:val="5"/>
                <w:szCs w:val="5"/>
                <w:color w:val="auto"/>
              </w:rPr>
            </w:pPr>
          </w:p>
        </w:tc>
        <w:tc>
          <w:tcPr>
            <w:tcW w:w="460" w:type="dxa"/>
            <w:vAlign w:val="bottom"/>
            <w:shd w:val="clear" w:color="auto" w:fill="E5E7EF"/>
          </w:tcPr>
          <w:p>
            <w:pPr>
              <w:spacing w:after="0"/>
              <w:rPr>
                <w:sz w:val="5"/>
                <w:szCs w:val="5"/>
                <w:color w:val="auto"/>
              </w:rPr>
            </w:pPr>
          </w:p>
        </w:tc>
        <w:tc>
          <w:tcPr>
            <w:tcW w:w="240" w:type="dxa"/>
            <w:vAlign w:val="bottom"/>
            <w:tcBorders>
              <w:right w:val="single" w:sz="8" w:color="E5E7EF"/>
            </w:tcBorders>
            <w:shd w:val="clear" w:color="auto" w:fill="E5E7EF"/>
          </w:tcPr>
          <w:p>
            <w:pPr>
              <w:spacing w:after="0"/>
              <w:rPr>
                <w:sz w:val="5"/>
                <w:szCs w:val="5"/>
                <w:color w:val="auto"/>
              </w:rPr>
            </w:pPr>
          </w:p>
        </w:tc>
        <w:tc>
          <w:tcPr>
            <w:tcW w:w="140" w:type="dxa"/>
            <w:vAlign w:val="bottom"/>
            <w:tcBorders>
              <w:right w:val="single" w:sz="8" w:color="012E6C"/>
            </w:tcBorders>
            <w:shd w:val="clear" w:color="auto" w:fill="E5E7E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vMerge w:val="continue"/>
            <w:shd w:val="clear" w:color="auto" w:fill="E5E7EF"/>
          </w:tcPr>
          <w:p>
            <w:pPr>
              <w:spacing w:after="0"/>
              <w:rPr>
                <w:sz w:val="16"/>
                <w:szCs w:val="16"/>
                <w:color w:val="auto"/>
              </w:rPr>
            </w:pPr>
          </w:p>
        </w:tc>
        <w:tc>
          <w:tcPr>
            <w:tcW w:w="1920" w:type="dxa"/>
            <w:vAlign w:val="bottom"/>
            <w:tcBorders>
              <w:right w:val="single" w:sz="8" w:color="012E6C"/>
            </w:tcBorders>
            <w:shd w:val="clear" w:color="auto" w:fill="E5E7EF"/>
          </w:tcPr>
          <w:p>
            <w:pPr>
              <w:ind w:left="80"/>
              <w:spacing w:after="0"/>
              <w:rPr>
                <w:sz w:val="20"/>
                <w:szCs w:val="20"/>
                <w:color w:val="auto"/>
              </w:rPr>
            </w:pPr>
            <w:r>
              <w:rPr>
                <w:rFonts w:ascii="Calibri" w:cs="Calibri" w:eastAsia="Calibri" w:hAnsi="Calibri"/>
                <w:sz w:val="14"/>
                <w:szCs w:val="14"/>
                <w:color w:val="auto"/>
              </w:rPr>
              <w:t>end of the three-year</w:t>
            </w:r>
          </w:p>
        </w:tc>
        <w:tc>
          <w:tcPr>
            <w:tcW w:w="1860" w:type="dxa"/>
            <w:vAlign w:val="bottom"/>
            <w:tcBorders>
              <w:right w:val="single" w:sz="8" w:color="012E6C"/>
            </w:tcBorders>
            <w:shd w:val="clear" w:color="auto" w:fill="E5E7EF"/>
          </w:tcPr>
          <w:p>
            <w:pPr>
              <w:spacing w:after="0"/>
              <w:rPr>
                <w:sz w:val="16"/>
                <w:szCs w:val="16"/>
                <w:color w:val="auto"/>
              </w:rPr>
            </w:pPr>
          </w:p>
        </w:tc>
        <w:tc>
          <w:tcPr>
            <w:tcW w:w="2320" w:type="dxa"/>
            <w:vAlign w:val="bottom"/>
            <w:tcBorders>
              <w:right w:val="single" w:sz="8" w:color="012E6C"/>
            </w:tcBorders>
            <w:shd w:val="clear" w:color="auto" w:fill="E5E7EF"/>
          </w:tcPr>
          <w:p>
            <w:pPr>
              <w:ind w:left="100"/>
              <w:spacing w:after="0"/>
              <w:rPr>
                <w:sz w:val="20"/>
                <w:szCs w:val="20"/>
                <w:color w:val="auto"/>
              </w:rPr>
            </w:pPr>
            <w:r>
              <w:rPr>
                <w:rFonts w:ascii="Calibri" w:cs="Calibri" w:eastAsia="Calibri" w:hAnsi="Calibri"/>
                <w:sz w:val="14"/>
                <w:szCs w:val="14"/>
                <w:color w:val="auto"/>
              </w:rPr>
              <w:t>period, subject to six-month</w:t>
            </w:r>
          </w:p>
        </w:tc>
        <w:tc>
          <w:tcPr>
            <w:tcW w:w="80" w:type="dxa"/>
            <w:vAlign w:val="bottom"/>
            <w:shd w:val="clear" w:color="auto" w:fill="E5E7EF"/>
          </w:tcPr>
          <w:p>
            <w:pPr>
              <w:spacing w:after="0"/>
              <w:rPr>
                <w:sz w:val="16"/>
                <w:szCs w:val="16"/>
                <w:color w:val="auto"/>
              </w:rPr>
            </w:pPr>
          </w:p>
        </w:tc>
        <w:tc>
          <w:tcPr>
            <w:tcW w:w="1960" w:type="dxa"/>
            <w:vAlign w:val="bottom"/>
            <w:tcBorders>
              <w:right w:val="single" w:sz="8" w:color="012E6C"/>
            </w:tcBorders>
            <w:gridSpan w:val="2"/>
            <w:shd w:val="clear" w:color="auto" w:fill="E5E7EF"/>
          </w:tcPr>
          <w:p>
            <w:pPr>
              <w:spacing w:after="0"/>
              <w:rPr>
                <w:sz w:val="20"/>
                <w:szCs w:val="20"/>
                <w:color w:val="auto"/>
              </w:rPr>
            </w:pPr>
            <w:r>
              <w:rPr>
                <w:rFonts w:ascii="Calibri" w:cs="Calibri" w:eastAsia="Calibri" w:hAnsi="Calibri"/>
                <w:sz w:val="14"/>
                <w:szCs w:val="14"/>
                <w:color w:val="auto"/>
              </w:rPr>
              <w:t>performance at the end of the</w:t>
            </w:r>
          </w:p>
        </w:tc>
        <w:tc>
          <w:tcPr>
            <w:tcW w:w="10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120" w:type="dxa"/>
            <w:vAlign w:val="bottom"/>
            <w:shd w:val="clear" w:color="auto" w:fill="E5E7EF"/>
          </w:tcPr>
          <w:p>
            <w:pPr>
              <w:spacing w:after="0"/>
              <w:rPr>
                <w:sz w:val="16"/>
                <w:szCs w:val="16"/>
                <w:color w:val="auto"/>
              </w:rPr>
            </w:pPr>
          </w:p>
        </w:tc>
        <w:tc>
          <w:tcPr>
            <w:tcW w:w="54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240" w:type="dxa"/>
            <w:vAlign w:val="bottom"/>
            <w:tcBorders>
              <w:right w:val="single" w:sz="8" w:color="E5E7EF"/>
            </w:tcBorders>
            <w:shd w:val="clear" w:color="auto" w:fill="E5E7EF"/>
          </w:tcPr>
          <w:p>
            <w:pPr>
              <w:spacing w:after="0"/>
              <w:rPr>
                <w:sz w:val="16"/>
                <w:szCs w:val="16"/>
                <w:color w:val="auto"/>
              </w:rPr>
            </w:pPr>
          </w:p>
        </w:tc>
        <w:tc>
          <w:tcPr>
            <w:tcW w:w="140" w:type="dxa"/>
            <w:vAlign w:val="bottom"/>
            <w:tcBorders>
              <w:right w:val="single" w:sz="8" w:color="012E6C"/>
            </w:tcBorders>
            <w:shd w:val="clear" w:color="auto" w:fill="E5E7E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shd w:val="clear" w:color="auto" w:fill="E5E7EF"/>
          </w:tcPr>
          <w:p>
            <w:pPr>
              <w:spacing w:after="0"/>
              <w:rPr>
                <w:sz w:val="16"/>
                <w:szCs w:val="16"/>
                <w:color w:val="auto"/>
              </w:rPr>
            </w:pPr>
          </w:p>
        </w:tc>
        <w:tc>
          <w:tcPr>
            <w:tcW w:w="1920" w:type="dxa"/>
            <w:vAlign w:val="bottom"/>
            <w:tcBorders>
              <w:right w:val="single" w:sz="8" w:color="012E6C"/>
            </w:tcBorders>
            <w:shd w:val="clear" w:color="auto" w:fill="E5E7EF"/>
          </w:tcPr>
          <w:p>
            <w:pPr>
              <w:ind w:left="80"/>
              <w:spacing w:after="0"/>
              <w:rPr>
                <w:sz w:val="20"/>
                <w:szCs w:val="20"/>
                <w:color w:val="auto"/>
              </w:rPr>
            </w:pPr>
            <w:r>
              <w:rPr>
                <w:rFonts w:ascii="Calibri" w:cs="Calibri" w:eastAsia="Calibri" w:hAnsi="Calibri"/>
                <w:sz w:val="14"/>
                <w:szCs w:val="14"/>
                <w:color w:val="auto"/>
              </w:rPr>
              <w:t>performance period, subject</w:t>
            </w:r>
          </w:p>
        </w:tc>
        <w:tc>
          <w:tcPr>
            <w:tcW w:w="1860" w:type="dxa"/>
            <w:vAlign w:val="bottom"/>
            <w:tcBorders>
              <w:right w:val="single" w:sz="8" w:color="012E6C"/>
            </w:tcBorders>
            <w:shd w:val="clear" w:color="auto" w:fill="E5E7EF"/>
          </w:tcPr>
          <w:p>
            <w:pPr>
              <w:spacing w:after="0"/>
              <w:rPr>
                <w:sz w:val="16"/>
                <w:szCs w:val="16"/>
                <w:color w:val="auto"/>
              </w:rPr>
            </w:pPr>
          </w:p>
        </w:tc>
        <w:tc>
          <w:tcPr>
            <w:tcW w:w="2320" w:type="dxa"/>
            <w:vAlign w:val="bottom"/>
            <w:tcBorders>
              <w:right w:val="single" w:sz="8" w:color="012E6C"/>
            </w:tcBorders>
            <w:shd w:val="clear" w:color="auto" w:fill="E5E7EF"/>
          </w:tcPr>
          <w:p>
            <w:pPr>
              <w:ind w:left="100"/>
              <w:spacing w:after="0"/>
              <w:rPr>
                <w:sz w:val="20"/>
                <w:szCs w:val="20"/>
                <w:color w:val="auto"/>
              </w:rPr>
            </w:pPr>
            <w:r>
              <w:rPr>
                <w:rFonts w:ascii="Calibri" w:cs="Calibri" w:eastAsia="Calibri" w:hAnsi="Calibri"/>
                <w:sz w:val="14"/>
                <w:szCs w:val="14"/>
                <w:color w:val="auto"/>
              </w:rPr>
              <w:t>minimum service from date of</w:t>
            </w:r>
          </w:p>
        </w:tc>
        <w:tc>
          <w:tcPr>
            <w:tcW w:w="80" w:type="dxa"/>
            <w:vAlign w:val="bottom"/>
            <w:shd w:val="clear" w:color="auto" w:fill="E5E7EF"/>
          </w:tcPr>
          <w:p>
            <w:pPr>
              <w:spacing w:after="0"/>
              <w:rPr>
                <w:sz w:val="16"/>
                <w:szCs w:val="16"/>
                <w:color w:val="auto"/>
              </w:rPr>
            </w:pPr>
          </w:p>
        </w:tc>
        <w:tc>
          <w:tcPr>
            <w:tcW w:w="1960" w:type="dxa"/>
            <w:vAlign w:val="bottom"/>
            <w:tcBorders>
              <w:right w:val="single" w:sz="8" w:color="012E6C"/>
            </w:tcBorders>
            <w:gridSpan w:val="2"/>
            <w:shd w:val="clear" w:color="auto" w:fill="E5E7EF"/>
          </w:tcPr>
          <w:p>
            <w:pPr>
              <w:spacing w:after="0"/>
              <w:rPr>
                <w:sz w:val="20"/>
                <w:szCs w:val="20"/>
                <w:color w:val="auto"/>
              </w:rPr>
            </w:pPr>
            <w:r>
              <w:rPr>
                <w:rFonts w:ascii="Calibri" w:cs="Calibri" w:eastAsia="Calibri" w:hAnsi="Calibri"/>
                <w:sz w:val="14"/>
                <w:szCs w:val="14"/>
                <w:color w:val="auto"/>
              </w:rPr>
              <w:t>three-year performance</w:t>
            </w:r>
          </w:p>
        </w:tc>
        <w:tc>
          <w:tcPr>
            <w:tcW w:w="10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120" w:type="dxa"/>
            <w:vAlign w:val="bottom"/>
            <w:shd w:val="clear" w:color="auto" w:fill="E5E7EF"/>
          </w:tcPr>
          <w:p>
            <w:pPr>
              <w:spacing w:after="0"/>
              <w:rPr>
                <w:sz w:val="16"/>
                <w:szCs w:val="16"/>
                <w:color w:val="auto"/>
              </w:rPr>
            </w:pPr>
          </w:p>
        </w:tc>
        <w:tc>
          <w:tcPr>
            <w:tcW w:w="54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240" w:type="dxa"/>
            <w:vAlign w:val="bottom"/>
            <w:tcBorders>
              <w:right w:val="single" w:sz="8" w:color="E5E7EF"/>
            </w:tcBorders>
            <w:shd w:val="clear" w:color="auto" w:fill="E5E7EF"/>
          </w:tcPr>
          <w:p>
            <w:pPr>
              <w:spacing w:after="0"/>
              <w:rPr>
                <w:sz w:val="16"/>
                <w:szCs w:val="16"/>
                <w:color w:val="auto"/>
              </w:rPr>
            </w:pPr>
          </w:p>
        </w:tc>
        <w:tc>
          <w:tcPr>
            <w:tcW w:w="140" w:type="dxa"/>
            <w:vAlign w:val="bottom"/>
            <w:tcBorders>
              <w:right w:val="single" w:sz="8" w:color="012E6C"/>
            </w:tcBorders>
            <w:shd w:val="clear" w:color="auto" w:fill="E5E7E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shd w:val="clear" w:color="auto" w:fill="E5E7EF"/>
          </w:tcPr>
          <w:p>
            <w:pPr>
              <w:spacing w:after="0"/>
              <w:rPr>
                <w:sz w:val="16"/>
                <w:szCs w:val="16"/>
                <w:color w:val="auto"/>
              </w:rPr>
            </w:pPr>
          </w:p>
        </w:tc>
        <w:tc>
          <w:tcPr>
            <w:tcW w:w="1920" w:type="dxa"/>
            <w:vAlign w:val="bottom"/>
            <w:tcBorders>
              <w:right w:val="single" w:sz="8" w:color="012E6C"/>
            </w:tcBorders>
            <w:shd w:val="clear" w:color="auto" w:fill="E5E7EF"/>
          </w:tcPr>
          <w:p>
            <w:pPr>
              <w:ind w:left="80"/>
              <w:spacing w:after="0"/>
              <w:rPr>
                <w:sz w:val="20"/>
                <w:szCs w:val="20"/>
                <w:color w:val="auto"/>
              </w:rPr>
            </w:pPr>
            <w:r>
              <w:rPr>
                <w:rFonts w:ascii="Calibri" w:cs="Calibri" w:eastAsia="Calibri" w:hAnsi="Calibri"/>
                <w:sz w:val="14"/>
                <w:szCs w:val="14"/>
                <w:color w:val="auto"/>
              </w:rPr>
              <w:t>to six-month minimum</w:t>
            </w:r>
          </w:p>
        </w:tc>
        <w:tc>
          <w:tcPr>
            <w:tcW w:w="1860" w:type="dxa"/>
            <w:vAlign w:val="bottom"/>
            <w:tcBorders>
              <w:right w:val="single" w:sz="8" w:color="012E6C"/>
            </w:tcBorders>
            <w:shd w:val="clear" w:color="auto" w:fill="E5E7EF"/>
          </w:tcPr>
          <w:p>
            <w:pPr>
              <w:spacing w:after="0"/>
              <w:rPr>
                <w:sz w:val="16"/>
                <w:szCs w:val="16"/>
                <w:color w:val="auto"/>
              </w:rPr>
            </w:pPr>
          </w:p>
        </w:tc>
        <w:tc>
          <w:tcPr>
            <w:tcW w:w="2320" w:type="dxa"/>
            <w:vAlign w:val="bottom"/>
            <w:tcBorders>
              <w:right w:val="single" w:sz="8" w:color="012E6C"/>
            </w:tcBorders>
            <w:shd w:val="clear" w:color="auto" w:fill="E5E7EF"/>
          </w:tcPr>
          <w:p>
            <w:pPr>
              <w:ind w:left="100"/>
              <w:spacing w:after="0"/>
              <w:rPr>
                <w:sz w:val="20"/>
                <w:szCs w:val="20"/>
                <w:color w:val="auto"/>
              </w:rPr>
            </w:pPr>
            <w:r>
              <w:rPr>
                <w:rFonts w:ascii="Calibri" w:cs="Calibri" w:eastAsia="Calibri" w:hAnsi="Calibri"/>
                <w:sz w:val="14"/>
                <w:szCs w:val="14"/>
                <w:color w:val="auto"/>
              </w:rPr>
              <w:t>grant and executon of a release of</w:t>
            </w:r>
          </w:p>
        </w:tc>
        <w:tc>
          <w:tcPr>
            <w:tcW w:w="80" w:type="dxa"/>
            <w:vAlign w:val="bottom"/>
            <w:shd w:val="clear" w:color="auto" w:fill="E5E7EF"/>
          </w:tcPr>
          <w:p>
            <w:pPr>
              <w:spacing w:after="0"/>
              <w:rPr>
                <w:sz w:val="16"/>
                <w:szCs w:val="16"/>
                <w:color w:val="auto"/>
              </w:rPr>
            </w:pPr>
          </w:p>
        </w:tc>
        <w:tc>
          <w:tcPr>
            <w:tcW w:w="1960" w:type="dxa"/>
            <w:vAlign w:val="bottom"/>
            <w:tcBorders>
              <w:right w:val="single" w:sz="8" w:color="012E6C"/>
            </w:tcBorders>
            <w:gridSpan w:val="2"/>
            <w:shd w:val="clear" w:color="auto" w:fill="E5E7EF"/>
          </w:tcPr>
          <w:p>
            <w:pPr>
              <w:spacing w:after="0"/>
              <w:rPr>
                <w:sz w:val="20"/>
                <w:szCs w:val="20"/>
                <w:color w:val="auto"/>
              </w:rPr>
            </w:pPr>
            <w:r>
              <w:rPr>
                <w:rFonts w:ascii="Calibri" w:cs="Calibri" w:eastAsia="Calibri" w:hAnsi="Calibri"/>
                <w:sz w:val="14"/>
                <w:szCs w:val="14"/>
                <w:color w:val="auto"/>
              </w:rPr>
              <w:t>period.</w:t>
            </w:r>
          </w:p>
        </w:tc>
        <w:tc>
          <w:tcPr>
            <w:tcW w:w="10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120" w:type="dxa"/>
            <w:vAlign w:val="bottom"/>
            <w:shd w:val="clear" w:color="auto" w:fill="E5E7EF"/>
          </w:tcPr>
          <w:p>
            <w:pPr>
              <w:spacing w:after="0"/>
              <w:rPr>
                <w:sz w:val="16"/>
                <w:szCs w:val="16"/>
                <w:color w:val="auto"/>
              </w:rPr>
            </w:pPr>
          </w:p>
        </w:tc>
        <w:tc>
          <w:tcPr>
            <w:tcW w:w="54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240" w:type="dxa"/>
            <w:vAlign w:val="bottom"/>
            <w:tcBorders>
              <w:right w:val="single" w:sz="8" w:color="E5E7EF"/>
            </w:tcBorders>
            <w:shd w:val="clear" w:color="auto" w:fill="E5E7EF"/>
          </w:tcPr>
          <w:p>
            <w:pPr>
              <w:spacing w:after="0"/>
              <w:rPr>
                <w:sz w:val="16"/>
                <w:szCs w:val="16"/>
                <w:color w:val="auto"/>
              </w:rPr>
            </w:pPr>
          </w:p>
        </w:tc>
        <w:tc>
          <w:tcPr>
            <w:tcW w:w="140" w:type="dxa"/>
            <w:vAlign w:val="bottom"/>
            <w:tcBorders>
              <w:right w:val="single" w:sz="8" w:color="012E6C"/>
            </w:tcBorders>
            <w:shd w:val="clear" w:color="auto" w:fill="E5E7E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shd w:val="clear" w:color="auto" w:fill="E5E7EF"/>
          </w:tcPr>
          <w:p>
            <w:pPr>
              <w:spacing w:after="0"/>
              <w:rPr>
                <w:sz w:val="16"/>
                <w:szCs w:val="16"/>
                <w:color w:val="auto"/>
              </w:rPr>
            </w:pPr>
          </w:p>
        </w:tc>
        <w:tc>
          <w:tcPr>
            <w:tcW w:w="1920" w:type="dxa"/>
            <w:vAlign w:val="bottom"/>
            <w:tcBorders>
              <w:right w:val="single" w:sz="8" w:color="012E6C"/>
            </w:tcBorders>
            <w:shd w:val="clear" w:color="auto" w:fill="E5E7EF"/>
          </w:tcPr>
          <w:p>
            <w:pPr>
              <w:ind w:left="80"/>
              <w:spacing w:after="0"/>
              <w:rPr>
                <w:sz w:val="20"/>
                <w:szCs w:val="20"/>
                <w:color w:val="auto"/>
              </w:rPr>
            </w:pPr>
            <w:r>
              <w:rPr>
                <w:rFonts w:ascii="Calibri" w:cs="Calibri" w:eastAsia="Calibri" w:hAnsi="Calibri"/>
                <w:sz w:val="14"/>
                <w:szCs w:val="14"/>
                <w:color w:val="auto"/>
              </w:rPr>
              <w:t>service from date of grant.</w:t>
            </w:r>
          </w:p>
        </w:tc>
        <w:tc>
          <w:tcPr>
            <w:tcW w:w="1860" w:type="dxa"/>
            <w:vAlign w:val="bottom"/>
            <w:tcBorders>
              <w:right w:val="single" w:sz="8" w:color="012E6C"/>
            </w:tcBorders>
            <w:shd w:val="clear" w:color="auto" w:fill="E5E7EF"/>
          </w:tcPr>
          <w:p>
            <w:pPr>
              <w:spacing w:after="0"/>
              <w:rPr>
                <w:sz w:val="16"/>
                <w:szCs w:val="16"/>
                <w:color w:val="auto"/>
              </w:rPr>
            </w:pPr>
          </w:p>
        </w:tc>
        <w:tc>
          <w:tcPr>
            <w:tcW w:w="2320" w:type="dxa"/>
            <w:vAlign w:val="bottom"/>
            <w:tcBorders>
              <w:right w:val="single" w:sz="8" w:color="012E6C"/>
            </w:tcBorders>
            <w:shd w:val="clear" w:color="auto" w:fill="E5E7EF"/>
          </w:tcPr>
          <w:p>
            <w:pPr>
              <w:ind w:left="100"/>
              <w:spacing w:after="0"/>
              <w:rPr>
                <w:sz w:val="20"/>
                <w:szCs w:val="20"/>
                <w:color w:val="auto"/>
              </w:rPr>
            </w:pPr>
            <w:r>
              <w:rPr>
                <w:rFonts w:ascii="Calibri" w:cs="Calibri" w:eastAsia="Calibri" w:hAnsi="Calibri"/>
                <w:sz w:val="14"/>
                <w:szCs w:val="14"/>
                <w:color w:val="auto"/>
              </w:rPr>
              <w:t>claims for layof.</w:t>
            </w:r>
          </w:p>
        </w:tc>
        <w:tc>
          <w:tcPr>
            <w:tcW w:w="80" w:type="dxa"/>
            <w:vAlign w:val="bottom"/>
            <w:shd w:val="clear" w:color="auto" w:fill="E5E7EF"/>
          </w:tcPr>
          <w:p>
            <w:pPr>
              <w:spacing w:after="0"/>
              <w:rPr>
                <w:sz w:val="16"/>
                <w:szCs w:val="16"/>
                <w:color w:val="auto"/>
              </w:rPr>
            </w:pPr>
          </w:p>
        </w:tc>
        <w:tc>
          <w:tcPr>
            <w:tcW w:w="1100" w:type="dxa"/>
            <w:vAlign w:val="bottom"/>
            <w:shd w:val="clear" w:color="auto" w:fill="E5E7EF"/>
          </w:tcPr>
          <w:p>
            <w:pPr>
              <w:spacing w:after="0"/>
              <w:rPr>
                <w:sz w:val="16"/>
                <w:szCs w:val="16"/>
                <w:color w:val="auto"/>
              </w:rPr>
            </w:pPr>
          </w:p>
        </w:tc>
        <w:tc>
          <w:tcPr>
            <w:tcW w:w="860" w:type="dxa"/>
            <w:vAlign w:val="bottom"/>
            <w:tcBorders>
              <w:right w:val="single" w:sz="8" w:color="012E6C"/>
            </w:tcBorders>
            <w:shd w:val="clear" w:color="auto" w:fill="E5E7EF"/>
          </w:tcPr>
          <w:p>
            <w:pPr>
              <w:spacing w:after="0"/>
              <w:rPr>
                <w:sz w:val="16"/>
                <w:szCs w:val="16"/>
                <w:color w:val="auto"/>
              </w:rPr>
            </w:pPr>
          </w:p>
        </w:tc>
        <w:tc>
          <w:tcPr>
            <w:tcW w:w="10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120" w:type="dxa"/>
            <w:vAlign w:val="bottom"/>
            <w:shd w:val="clear" w:color="auto" w:fill="E5E7EF"/>
          </w:tcPr>
          <w:p>
            <w:pPr>
              <w:spacing w:after="0"/>
              <w:rPr>
                <w:sz w:val="16"/>
                <w:szCs w:val="16"/>
                <w:color w:val="auto"/>
              </w:rPr>
            </w:pPr>
          </w:p>
        </w:tc>
        <w:tc>
          <w:tcPr>
            <w:tcW w:w="540" w:type="dxa"/>
            <w:vAlign w:val="bottom"/>
            <w:shd w:val="clear" w:color="auto" w:fill="E5E7EF"/>
          </w:tcPr>
          <w:p>
            <w:pPr>
              <w:spacing w:after="0"/>
              <w:rPr>
                <w:sz w:val="16"/>
                <w:szCs w:val="16"/>
                <w:color w:val="auto"/>
              </w:rPr>
            </w:pPr>
          </w:p>
        </w:tc>
        <w:tc>
          <w:tcPr>
            <w:tcW w:w="460" w:type="dxa"/>
            <w:vAlign w:val="bottom"/>
            <w:shd w:val="clear" w:color="auto" w:fill="E5E7EF"/>
          </w:tcPr>
          <w:p>
            <w:pPr>
              <w:spacing w:after="0"/>
              <w:rPr>
                <w:sz w:val="16"/>
                <w:szCs w:val="16"/>
                <w:color w:val="auto"/>
              </w:rPr>
            </w:pPr>
          </w:p>
        </w:tc>
        <w:tc>
          <w:tcPr>
            <w:tcW w:w="240" w:type="dxa"/>
            <w:vAlign w:val="bottom"/>
            <w:tcBorders>
              <w:right w:val="single" w:sz="8" w:color="E5E7EF"/>
            </w:tcBorders>
            <w:shd w:val="clear" w:color="auto" w:fill="E5E7EF"/>
          </w:tcPr>
          <w:p>
            <w:pPr>
              <w:spacing w:after="0"/>
              <w:rPr>
                <w:sz w:val="16"/>
                <w:szCs w:val="16"/>
                <w:color w:val="auto"/>
              </w:rPr>
            </w:pPr>
          </w:p>
        </w:tc>
        <w:tc>
          <w:tcPr>
            <w:tcW w:w="140" w:type="dxa"/>
            <w:vAlign w:val="bottom"/>
            <w:tcBorders>
              <w:right w:val="single" w:sz="8" w:color="012E6C"/>
            </w:tcBorders>
            <w:shd w:val="clear" w:color="auto" w:fill="E5E7EF"/>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060" w:type="dxa"/>
            <w:vAlign w:val="bottom"/>
            <w:tcBorders>
              <w:left w:val="single" w:sz="8" w:color="012E6C"/>
              <w:bottom w:val="single" w:sz="8" w:color="012E6C"/>
              <w:right w:val="single" w:sz="8" w:color="012E6C"/>
            </w:tcBorders>
            <w:shd w:val="clear" w:color="auto" w:fill="E5E7EF"/>
          </w:tcPr>
          <w:p>
            <w:pPr>
              <w:spacing w:after="0"/>
              <w:rPr>
                <w:sz w:val="24"/>
                <w:szCs w:val="24"/>
                <w:color w:val="auto"/>
              </w:rPr>
            </w:pPr>
          </w:p>
        </w:tc>
        <w:tc>
          <w:tcPr>
            <w:tcW w:w="1920" w:type="dxa"/>
            <w:vAlign w:val="bottom"/>
            <w:tcBorders>
              <w:bottom w:val="single" w:sz="8" w:color="012E6C"/>
              <w:right w:val="single" w:sz="8" w:color="012E6C"/>
            </w:tcBorders>
            <w:shd w:val="clear" w:color="auto" w:fill="E5E7EF"/>
          </w:tcPr>
          <w:p>
            <w:pPr>
              <w:spacing w:after="0"/>
              <w:rPr>
                <w:sz w:val="24"/>
                <w:szCs w:val="24"/>
                <w:color w:val="auto"/>
              </w:rPr>
            </w:pPr>
          </w:p>
        </w:tc>
        <w:tc>
          <w:tcPr>
            <w:tcW w:w="1860" w:type="dxa"/>
            <w:vAlign w:val="bottom"/>
            <w:tcBorders>
              <w:bottom w:val="single" w:sz="8" w:color="012E6C"/>
              <w:right w:val="single" w:sz="8" w:color="012E6C"/>
            </w:tcBorders>
            <w:shd w:val="clear" w:color="auto" w:fill="E5E7EF"/>
          </w:tcPr>
          <w:p>
            <w:pPr>
              <w:spacing w:after="0"/>
              <w:rPr>
                <w:sz w:val="24"/>
                <w:szCs w:val="24"/>
                <w:color w:val="auto"/>
              </w:rPr>
            </w:pPr>
          </w:p>
        </w:tc>
        <w:tc>
          <w:tcPr>
            <w:tcW w:w="2320" w:type="dxa"/>
            <w:vAlign w:val="bottom"/>
            <w:tcBorders>
              <w:bottom w:val="single" w:sz="8" w:color="012E6C"/>
              <w:right w:val="single" w:sz="8" w:color="012E6C"/>
            </w:tcBorders>
            <w:shd w:val="clear" w:color="auto" w:fill="E5E7EF"/>
          </w:tcPr>
          <w:p>
            <w:pPr>
              <w:spacing w:after="0"/>
              <w:rPr>
                <w:sz w:val="24"/>
                <w:szCs w:val="24"/>
                <w:color w:val="auto"/>
              </w:rPr>
            </w:pPr>
          </w:p>
        </w:tc>
        <w:tc>
          <w:tcPr>
            <w:tcW w:w="80" w:type="dxa"/>
            <w:vAlign w:val="bottom"/>
            <w:tcBorders>
              <w:bottom w:val="single" w:sz="8" w:color="012E6C"/>
            </w:tcBorders>
            <w:shd w:val="clear" w:color="auto" w:fill="E5E7EF"/>
          </w:tcPr>
          <w:p>
            <w:pPr>
              <w:spacing w:after="0"/>
              <w:rPr>
                <w:sz w:val="24"/>
                <w:szCs w:val="24"/>
                <w:color w:val="auto"/>
              </w:rPr>
            </w:pPr>
          </w:p>
        </w:tc>
        <w:tc>
          <w:tcPr>
            <w:tcW w:w="1100" w:type="dxa"/>
            <w:vAlign w:val="bottom"/>
            <w:tcBorders>
              <w:bottom w:val="single" w:sz="8" w:color="012E6C"/>
            </w:tcBorders>
            <w:shd w:val="clear" w:color="auto" w:fill="E5E7EF"/>
          </w:tcPr>
          <w:p>
            <w:pPr>
              <w:spacing w:after="0"/>
              <w:rPr>
                <w:sz w:val="24"/>
                <w:szCs w:val="24"/>
                <w:color w:val="auto"/>
              </w:rPr>
            </w:pPr>
          </w:p>
        </w:tc>
        <w:tc>
          <w:tcPr>
            <w:tcW w:w="860" w:type="dxa"/>
            <w:vAlign w:val="bottom"/>
            <w:tcBorders>
              <w:bottom w:val="single" w:sz="8" w:color="012E6C"/>
              <w:right w:val="single" w:sz="8" w:color="012E6C"/>
            </w:tcBorders>
            <w:shd w:val="clear" w:color="auto" w:fill="E5E7EF"/>
          </w:tcPr>
          <w:p>
            <w:pPr>
              <w:spacing w:after="0"/>
              <w:rPr>
                <w:sz w:val="24"/>
                <w:szCs w:val="24"/>
                <w:color w:val="auto"/>
              </w:rPr>
            </w:pPr>
          </w:p>
        </w:tc>
        <w:tc>
          <w:tcPr>
            <w:tcW w:w="100" w:type="dxa"/>
            <w:vAlign w:val="bottom"/>
            <w:tcBorders>
              <w:bottom w:val="single" w:sz="8" w:color="012E6C"/>
            </w:tcBorders>
            <w:shd w:val="clear" w:color="auto" w:fill="E5E7EF"/>
          </w:tcPr>
          <w:p>
            <w:pPr>
              <w:spacing w:after="0"/>
              <w:rPr>
                <w:sz w:val="24"/>
                <w:szCs w:val="24"/>
                <w:color w:val="auto"/>
              </w:rPr>
            </w:pPr>
          </w:p>
        </w:tc>
        <w:tc>
          <w:tcPr>
            <w:tcW w:w="460" w:type="dxa"/>
            <w:vAlign w:val="bottom"/>
            <w:tcBorders>
              <w:bottom w:val="single" w:sz="8" w:color="012E6C"/>
            </w:tcBorders>
            <w:shd w:val="clear" w:color="auto" w:fill="E5E7EF"/>
          </w:tcPr>
          <w:p>
            <w:pPr>
              <w:spacing w:after="0"/>
              <w:rPr>
                <w:sz w:val="24"/>
                <w:szCs w:val="24"/>
                <w:color w:val="auto"/>
              </w:rPr>
            </w:pPr>
          </w:p>
        </w:tc>
        <w:tc>
          <w:tcPr>
            <w:tcW w:w="120" w:type="dxa"/>
            <w:vAlign w:val="bottom"/>
            <w:tcBorders>
              <w:bottom w:val="single" w:sz="8" w:color="012E6C"/>
            </w:tcBorders>
            <w:shd w:val="clear" w:color="auto" w:fill="E5E7EF"/>
          </w:tcPr>
          <w:p>
            <w:pPr>
              <w:spacing w:after="0"/>
              <w:rPr>
                <w:sz w:val="24"/>
                <w:szCs w:val="24"/>
                <w:color w:val="auto"/>
              </w:rPr>
            </w:pPr>
          </w:p>
        </w:tc>
        <w:tc>
          <w:tcPr>
            <w:tcW w:w="540" w:type="dxa"/>
            <w:vAlign w:val="bottom"/>
            <w:tcBorders>
              <w:bottom w:val="single" w:sz="8" w:color="012E6C"/>
            </w:tcBorders>
            <w:shd w:val="clear" w:color="auto" w:fill="E5E7EF"/>
          </w:tcPr>
          <w:p>
            <w:pPr>
              <w:spacing w:after="0"/>
              <w:rPr>
                <w:sz w:val="24"/>
                <w:szCs w:val="24"/>
                <w:color w:val="auto"/>
              </w:rPr>
            </w:pPr>
          </w:p>
        </w:tc>
        <w:tc>
          <w:tcPr>
            <w:tcW w:w="460" w:type="dxa"/>
            <w:vAlign w:val="bottom"/>
            <w:tcBorders>
              <w:bottom w:val="single" w:sz="8" w:color="012E6C"/>
            </w:tcBorders>
            <w:shd w:val="clear" w:color="auto" w:fill="E5E7EF"/>
          </w:tcPr>
          <w:p>
            <w:pPr>
              <w:spacing w:after="0"/>
              <w:rPr>
                <w:sz w:val="24"/>
                <w:szCs w:val="24"/>
                <w:color w:val="auto"/>
              </w:rPr>
            </w:pPr>
          </w:p>
        </w:tc>
        <w:tc>
          <w:tcPr>
            <w:tcW w:w="240" w:type="dxa"/>
            <w:vAlign w:val="bottom"/>
            <w:tcBorders>
              <w:bottom w:val="single" w:sz="8" w:color="012E6C"/>
              <w:right w:val="single" w:sz="8" w:color="E5E7EF"/>
            </w:tcBorders>
            <w:shd w:val="clear" w:color="auto" w:fill="E5E7EF"/>
          </w:tcPr>
          <w:p>
            <w:pPr>
              <w:spacing w:after="0"/>
              <w:rPr>
                <w:sz w:val="24"/>
                <w:szCs w:val="24"/>
                <w:color w:val="auto"/>
              </w:rPr>
            </w:pPr>
          </w:p>
        </w:tc>
        <w:tc>
          <w:tcPr>
            <w:tcW w:w="140" w:type="dxa"/>
            <w:vAlign w:val="bottom"/>
            <w:tcBorders>
              <w:bottom w:val="single" w:sz="8" w:color="012E6C"/>
              <w:right w:val="single" w:sz="8" w:color="012E6C"/>
            </w:tcBorders>
            <w:shd w:val="clear" w:color="auto" w:fill="E5E7E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012E6C"/>
              <w:right w:val="single" w:sz="8" w:color="012E6C"/>
            </w:tcBorders>
          </w:tcPr>
          <w:p>
            <w:pPr>
              <w:spacing w:after="0"/>
              <w:rPr>
                <w:sz w:val="20"/>
                <w:szCs w:val="20"/>
                <w:color w:val="auto"/>
              </w:rPr>
            </w:pPr>
          </w:p>
        </w:tc>
        <w:tc>
          <w:tcPr>
            <w:tcW w:w="1920" w:type="dxa"/>
            <w:vAlign w:val="bottom"/>
            <w:tcBorders>
              <w:right w:val="single" w:sz="8" w:color="012E6C"/>
            </w:tcBorders>
          </w:tcPr>
          <w:p>
            <w:pPr>
              <w:spacing w:after="0"/>
              <w:rPr>
                <w:sz w:val="20"/>
                <w:szCs w:val="20"/>
                <w:color w:val="auto"/>
              </w:rPr>
            </w:pPr>
          </w:p>
        </w:tc>
        <w:tc>
          <w:tcPr>
            <w:tcW w:w="1860" w:type="dxa"/>
            <w:vAlign w:val="bottom"/>
            <w:tcBorders>
              <w:right w:val="single" w:sz="8" w:color="012E6C"/>
            </w:tcBorders>
          </w:tcPr>
          <w:p>
            <w:pPr>
              <w:spacing w:after="0"/>
              <w:rPr>
                <w:sz w:val="20"/>
                <w:szCs w:val="20"/>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No payment in the case of death or</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Borders>
              <w:right w:val="single" w:sz="8" w:color="012E6C"/>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right w:val="single" w:sz="8" w:color="012E6C"/>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860" w:type="dxa"/>
            <w:vAlign w:val="bottom"/>
            <w:tcBorders>
              <w:right w:val="single" w:sz="8" w:color="012E6C"/>
            </w:tcBorders>
          </w:tcPr>
          <w:p>
            <w:pPr>
              <w:spacing w:after="0"/>
              <w:rPr>
                <w:sz w:val="15"/>
                <w:szCs w:val="15"/>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disability. Payment of a lump sum</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tcPr>
          <w:p>
            <w:pPr>
              <w:spacing w:after="0"/>
              <w:rPr>
                <w:sz w:val="16"/>
                <w:szCs w:val="16"/>
                <w:color w:val="auto"/>
              </w:rPr>
            </w:pPr>
          </w:p>
        </w:tc>
        <w:tc>
          <w:tcPr>
            <w:tcW w:w="1920" w:type="dxa"/>
            <w:vAlign w:val="bottom"/>
            <w:tcBorders>
              <w:right w:val="single" w:sz="8" w:color="012E6C"/>
            </w:tcBorders>
          </w:tcPr>
          <w:p>
            <w:pPr>
              <w:spacing w:after="0"/>
              <w:rPr>
                <w:sz w:val="16"/>
                <w:szCs w:val="16"/>
                <w:color w:val="auto"/>
              </w:rPr>
            </w:pP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amount equal to a multple of</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Borders>
              <w:right w:val="single" w:sz="8" w:color="012E6C"/>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right w:val="single" w:sz="8" w:color="012E6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w w:val="99"/>
              </w:rPr>
              <w:t>Executive</w:t>
            </w:r>
          </w:p>
        </w:tc>
        <w:tc>
          <w:tcPr>
            <w:tcW w:w="1920" w:type="dxa"/>
            <w:vAlign w:val="bottom"/>
            <w:tcBorders>
              <w:right w:val="single" w:sz="8" w:color="012E6C"/>
            </w:tcBorders>
          </w:tcPr>
          <w:p>
            <w:pPr>
              <w:spacing w:after="0"/>
              <w:rPr>
                <w:sz w:val="16"/>
                <w:szCs w:val="16"/>
                <w:color w:val="auto"/>
              </w:rPr>
            </w:pP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salary, annual bonus equivalent,</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Borders>
              <w:right w:val="single" w:sz="8" w:color="012E6C"/>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right w:val="single" w:sz="8" w:color="012E6C"/>
            </w:tcBorders>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060" w:type="dxa"/>
            <w:vAlign w:val="bottom"/>
            <w:tcBorders>
              <w:left w:val="single" w:sz="8" w:color="012E6C"/>
              <w:right w:val="single" w:sz="8" w:color="012E6C"/>
            </w:tcBorders>
            <w:vMerge w:val="continue"/>
          </w:tcPr>
          <w:p>
            <w:pPr>
              <w:spacing w:after="0"/>
              <w:rPr>
                <w:sz w:val="9"/>
                <w:szCs w:val="9"/>
                <w:color w:val="auto"/>
              </w:rPr>
            </w:pPr>
          </w:p>
        </w:tc>
        <w:tc>
          <w:tcPr>
            <w:tcW w:w="1920" w:type="dxa"/>
            <w:vAlign w:val="bottom"/>
            <w:tcBorders>
              <w:right w:val="single" w:sz="8" w:color="012E6C"/>
            </w:tcBorders>
          </w:tcPr>
          <w:p>
            <w:pPr>
              <w:spacing w:after="0"/>
              <w:rPr>
                <w:sz w:val="9"/>
                <w:szCs w:val="9"/>
                <w:color w:val="auto"/>
              </w:rPr>
            </w:pPr>
          </w:p>
        </w:tc>
        <w:tc>
          <w:tcPr>
            <w:tcW w:w="186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No payment unless</w:t>
            </w:r>
          </w:p>
        </w:tc>
        <w:tc>
          <w:tcPr>
            <w:tcW w:w="232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and health care contnuaton</w:t>
            </w: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Borders>
              <w:right w:val="single" w:sz="8" w:color="012E6C"/>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right w:val="single" w:sz="8" w:color="012E6C"/>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rPr>
              <w:t>Severance</w:t>
            </w:r>
          </w:p>
        </w:tc>
        <w:tc>
          <w:tcPr>
            <w:tcW w:w="1920" w:type="dxa"/>
            <w:vAlign w:val="bottom"/>
            <w:tcBorders>
              <w:right w:val="single" w:sz="8" w:color="012E6C"/>
            </w:tcBorders>
            <w:vMerge w:val="restart"/>
          </w:tcPr>
          <w:p>
            <w:pPr>
              <w:ind w:left="80"/>
              <w:spacing w:after="0"/>
              <w:rPr>
                <w:sz w:val="20"/>
                <w:szCs w:val="20"/>
                <w:color w:val="auto"/>
              </w:rPr>
            </w:pPr>
            <w:r>
              <w:rPr>
                <w:rFonts w:ascii="Calibri" w:cs="Calibri" w:eastAsia="Calibri" w:hAnsi="Calibri"/>
                <w:sz w:val="14"/>
                <w:szCs w:val="14"/>
                <w:color w:val="auto"/>
              </w:rPr>
              <w:t>No payment.</w:t>
            </w:r>
          </w:p>
        </w:tc>
        <w:tc>
          <w:tcPr>
            <w:tcW w:w="1860" w:type="dxa"/>
            <w:vAlign w:val="bottom"/>
            <w:tcBorders>
              <w:right w:val="single" w:sz="8" w:color="012E6C"/>
            </w:tcBorders>
            <w:vMerge w:val="continue"/>
          </w:tcPr>
          <w:p>
            <w:pPr>
              <w:spacing w:after="0"/>
              <w:rPr>
                <w:sz w:val="6"/>
                <w:szCs w:val="6"/>
                <w:color w:val="auto"/>
              </w:rPr>
            </w:pPr>
          </w:p>
        </w:tc>
        <w:tc>
          <w:tcPr>
            <w:tcW w:w="2320" w:type="dxa"/>
            <w:vAlign w:val="bottom"/>
            <w:tcBorders>
              <w:right w:val="single" w:sz="8" w:color="012E6C"/>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right w:val="single" w:sz="8" w:color="012E6C"/>
            </w:tcBorders>
            <w:gridSpan w:val="2"/>
            <w:vMerge w:val="restart"/>
          </w:tcPr>
          <w:p>
            <w:pPr>
              <w:spacing w:after="0"/>
              <w:rPr>
                <w:sz w:val="20"/>
                <w:szCs w:val="20"/>
                <w:color w:val="auto"/>
              </w:rPr>
            </w:pPr>
            <w:r>
              <w:rPr>
                <w:rFonts w:ascii="Calibri" w:cs="Calibri" w:eastAsia="Calibri" w:hAnsi="Calibri"/>
                <w:sz w:val="14"/>
                <w:szCs w:val="14"/>
                <w:color w:val="auto"/>
              </w:rPr>
              <w:t>No payment.</w:t>
            </w:r>
          </w:p>
        </w:tc>
        <w:tc>
          <w:tcPr>
            <w:tcW w:w="100" w:type="dxa"/>
            <w:vAlign w:val="bottom"/>
          </w:tcPr>
          <w:p>
            <w:pPr>
              <w:spacing w:after="0"/>
              <w:rPr>
                <w:sz w:val="6"/>
                <w:szCs w:val="6"/>
                <w:color w:val="auto"/>
              </w:rPr>
            </w:pPr>
          </w:p>
        </w:tc>
        <w:tc>
          <w:tcPr>
            <w:tcW w:w="1960" w:type="dxa"/>
            <w:vAlign w:val="bottom"/>
            <w:tcBorders>
              <w:right w:val="single" w:sz="8" w:color="012E6C"/>
            </w:tcBorders>
            <w:gridSpan w:val="6"/>
            <w:vMerge w:val="restart"/>
          </w:tcPr>
          <w:p>
            <w:pPr>
              <w:spacing w:after="0"/>
              <w:rPr>
                <w:sz w:val="20"/>
                <w:szCs w:val="20"/>
                <w:color w:val="auto"/>
              </w:rPr>
            </w:pPr>
            <w:r>
              <w:rPr>
                <w:rFonts w:ascii="Calibri" w:cs="Calibri" w:eastAsia="Calibri" w:hAnsi="Calibri"/>
                <w:sz w:val="14"/>
                <w:szCs w:val="14"/>
                <w:color w:val="auto"/>
              </w:rPr>
              <w:t>No payment.</w:t>
            </w:r>
          </w:p>
        </w:tc>
        <w:tc>
          <w:tcPr>
            <w:tcW w:w="0" w:type="dxa"/>
            <w:vAlign w:val="bottom"/>
          </w:tcPr>
          <w:p>
            <w:pPr>
              <w:spacing w:after="0"/>
              <w:rPr>
                <w:sz w:val="1"/>
                <w:szCs w:val="1"/>
                <w:color w:val="auto"/>
              </w:rPr>
            </w:pPr>
          </w:p>
        </w:tc>
      </w:tr>
      <w:tr>
        <w:trPr>
          <w:trHeight w:val="122"/>
        </w:trPr>
        <w:tc>
          <w:tcPr>
            <w:tcW w:w="1060" w:type="dxa"/>
            <w:vAlign w:val="bottom"/>
            <w:tcBorders>
              <w:left w:val="single" w:sz="8" w:color="012E6C"/>
              <w:right w:val="single" w:sz="8" w:color="012E6C"/>
            </w:tcBorders>
            <w:vMerge w:val="continue"/>
          </w:tcPr>
          <w:p>
            <w:pPr>
              <w:spacing w:after="0"/>
              <w:rPr>
                <w:sz w:val="10"/>
                <w:szCs w:val="10"/>
                <w:color w:val="auto"/>
              </w:rPr>
            </w:pPr>
          </w:p>
        </w:tc>
        <w:tc>
          <w:tcPr>
            <w:tcW w:w="1920" w:type="dxa"/>
            <w:vAlign w:val="bottom"/>
            <w:tcBorders>
              <w:right w:val="single" w:sz="8" w:color="012E6C"/>
            </w:tcBorders>
            <w:vMerge w:val="continue"/>
          </w:tcPr>
          <w:p>
            <w:pPr>
              <w:spacing w:after="0"/>
              <w:rPr>
                <w:sz w:val="10"/>
                <w:szCs w:val="10"/>
                <w:color w:val="auto"/>
              </w:rPr>
            </w:pPr>
          </w:p>
        </w:tc>
        <w:tc>
          <w:tcPr>
            <w:tcW w:w="186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terminated.</w:t>
            </w:r>
          </w:p>
        </w:tc>
        <w:tc>
          <w:tcPr>
            <w:tcW w:w="232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coverage cost plus outplacement</w:t>
            </w:r>
          </w:p>
        </w:tc>
        <w:tc>
          <w:tcPr>
            <w:tcW w:w="80" w:type="dxa"/>
            <w:vAlign w:val="bottom"/>
          </w:tcPr>
          <w:p>
            <w:pPr>
              <w:spacing w:after="0"/>
              <w:rPr>
                <w:sz w:val="10"/>
                <w:szCs w:val="10"/>
                <w:color w:val="auto"/>
              </w:rPr>
            </w:pPr>
          </w:p>
        </w:tc>
        <w:tc>
          <w:tcPr>
            <w:tcW w:w="1960" w:type="dxa"/>
            <w:vAlign w:val="bottom"/>
            <w:tcBorders>
              <w:right w:val="single" w:sz="8" w:color="012E6C"/>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right w:val="single" w:sz="8" w:color="012E6C"/>
            </w:tcBorders>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rPr>
              <w:t>Plan</w:t>
            </w:r>
          </w:p>
        </w:tc>
        <w:tc>
          <w:tcPr>
            <w:tcW w:w="1920" w:type="dxa"/>
            <w:vAlign w:val="bottom"/>
            <w:tcBorders>
              <w:right w:val="single" w:sz="8" w:color="012E6C"/>
            </w:tcBorders>
          </w:tcPr>
          <w:p>
            <w:pPr>
              <w:spacing w:after="0"/>
              <w:rPr>
                <w:sz w:val="5"/>
                <w:szCs w:val="5"/>
                <w:color w:val="auto"/>
              </w:rPr>
            </w:pPr>
          </w:p>
        </w:tc>
        <w:tc>
          <w:tcPr>
            <w:tcW w:w="1860" w:type="dxa"/>
            <w:vAlign w:val="bottom"/>
            <w:tcBorders>
              <w:right w:val="single" w:sz="8" w:color="012E6C"/>
            </w:tcBorders>
            <w:vMerge w:val="continue"/>
          </w:tcPr>
          <w:p>
            <w:pPr>
              <w:spacing w:after="0"/>
              <w:rPr>
                <w:sz w:val="5"/>
                <w:szCs w:val="5"/>
                <w:color w:val="auto"/>
              </w:rPr>
            </w:pPr>
          </w:p>
        </w:tc>
        <w:tc>
          <w:tcPr>
            <w:tcW w:w="2320" w:type="dxa"/>
            <w:vAlign w:val="bottom"/>
            <w:tcBorders>
              <w:right w:val="single" w:sz="8" w:color="012E6C"/>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tcBorders>
              <w:right w:val="single" w:sz="8" w:color="012E6C"/>
            </w:tcBorders>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Borders>
              <w:right w:val="single" w:sz="8" w:color="012E6C"/>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060" w:type="dxa"/>
            <w:vAlign w:val="bottom"/>
            <w:tcBorders>
              <w:left w:val="single" w:sz="8" w:color="012E6C"/>
              <w:right w:val="single" w:sz="8" w:color="012E6C"/>
            </w:tcBorders>
            <w:vMerge w:val="continue"/>
          </w:tcPr>
          <w:p>
            <w:pPr>
              <w:spacing w:after="0"/>
              <w:rPr>
                <w:sz w:val="12"/>
                <w:szCs w:val="12"/>
                <w:color w:val="auto"/>
              </w:rPr>
            </w:pPr>
          </w:p>
        </w:tc>
        <w:tc>
          <w:tcPr>
            <w:tcW w:w="1920" w:type="dxa"/>
            <w:vAlign w:val="bottom"/>
            <w:tcBorders>
              <w:right w:val="single" w:sz="8" w:color="012E6C"/>
            </w:tcBorders>
          </w:tcPr>
          <w:p>
            <w:pPr>
              <w:spacing w:after="0"/>
              <w:rPr>
                <w:sz w:val="12"/>
                <w:szCs w:val="12"/>
                <w:color w:val="auto"/>
              </w:rPr>
            </w:pPr>
          </w:p>
        </w:tc>
        <w:tc>
          <w:tcPr>
            <w:tcW w:w="1860" w:type="dxa"/>
            <w:vAlign w:val="bottom"/>
            <w:tcBorders>
              <w:right w:val="single" w:sz="8" w:color="012E6C"/>
            </w:tcBorders>
          </w:tcPr>
          <w:p>
            <w:pPr>
              <w:spacing w:after="0"/>
              <w:rPr>
                <w:sz w:val="12"/>
                <w:szCs w:val="12"/>
                <w:color w:val="auto"/>
              </w:rPr>
            </w:pPr>
          </w:p>
        </w:tc>
        <w:tc>
          <w:tcPr>
            <w:tcW w:w="232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services and relocaton assistance.</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tcBorders>
              <w:right w:val="single" w:sz="8" w:color="012E6C"/>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right w:val="single" w:sz="8" w:color="012E6C"/>
            </w:tcBorders>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060" w:type="dxa"/>
            <w:vAlign w:val="bottom"/>
            <w:tcBorders>
              <w:left w:val="single" w:sz="8" w:color="012E6C"/>
              <w:right w:val="single" w:sz="8" w:color="012E6C"/>
            </w:tcBorders>
          </w:tcPr>
          <w:p>
            <w:pPr>
              <w:spacing w:after="0"/>
              <w:rPr>
                <w:sz w:val="3"/>
                <w:szCs w:val="3"/>
                <w:color w:val="auto"/>
              </w:rPr>
            </w:pPr>
          </w:p>
        </w:tc>
        <w:tc>
          <w:tcPr>
            <w:tcW w:w="1920" w:type="dxa"/>
            <w:vAlign w:val="bottom"/>
            <w:tcBorders>
              <w:right w:val="single" w:sz="8" w:color="012E6C"/>
            </w:tcBorders>
          </w:tcPr>
          <w:p>
            <w:pPr>
              <w:spacing w:after="0"/>
              <w:rPr>
                <w:sz w:val="3"/>
                <w:szCs w:val="3"/>
                <w:color w:val="auto"/>
              </w:rPr>
            </w:pPr>
          </w:p>
        </w:tc>
        <w:tc>
          <w:tcPr>
            <w:tcW w:w="1860" w:type="dxa"/>
            <w:vAlign w:val="bottom"/>
            <w:tcBorders>
              <w:right w:val="single" w:sz="8" w:color="012E6C"/>
            </w:tcBorders>
          </w:tcPr>
          <w:p>
            <w:pPr>
              <w:spacing w:after="0"/>
              <w:rPr>
                <w:sz w:val="3"/>
                <w:szCs w:val="3"/>
                <w:color w:val="auto"/>
              </w:rPr>
            </w:pPr>
          </w:p>
        </w:tc>
        <w:tc>
          <w:tcPr>
            <w:tcW w:w="2320" w:type="dxa"/>
            <w:vAlign w:val="bottom"/>
            <w:tcBorders>
              <w:right w:val="single" w:sz="8" w:color="012E6C"/>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tcBorders>
              <w:right w:val="single" w:sz="8" w:color="012E6C"/>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right w:val="single" w:sz="8" w:color="012E6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tcPr>
          <w:p>
            <w:pPr>
              <w:spacing w:after="0"/>
              <w:rPr>
                <w:sz w:val="16"/>
                <w:szCs w:val="16"/>
                <w:color w:val="auto"/>
              </w:rPr>
            </w:pPr>
          </w:p>
        </w:tc>
        <w:tc>
          <w:tcPr>
            <w:tcW w:w="1920" w:type="dxa"/>
            <w:vAlign w:val="bottom"/>
            <w:tcBorders>
              <w:right w:val="single" w:sz="8" w:color="012E6C"/>
            </w:tcBorders>
          </w:tcPr>
          <w:p>
            <w:pPr>
              <w:spacing w:after="0"/>
              <w:rPr>
                <w:sz w:val="16"/>
                <w:szCs w:val="16"/>
                <w:color w:val="auto"/>
              </w:rPr>
            </w:pP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The multple of salary and annual</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Borders>
              <w:right w:val="single" w:sz="8" w:color="012E6C"/>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right w:val="single" w:sz="8" w:color="012E6C"/>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60" w:type="dxa"/>
            <w:vAlign w:val="bottom"/>
            <w:tcBorders>
              <w:left w:val="single" w:sz="8" w:color="012E6C"/>
              <w:right w:val="single" w:sz="8" w:color="012E6C"/>
            </w:tcBorders>
          </w:tcPr>
          <w:p>
            <w:pPr>
              <w:spacing w:after="0"/>
              <w:rPr>
                <w:sz w:val="15"/>
                <w:szCs w:val="15"/>
                <w:color w:val="auto"/>
              </w:rPr>
            </w:pPr>
          </w:p>
        </w:tc>
        <w:tc>
          <w:tcPr>
            <w:tcW w:w="1920" w:type="dxa"/>
            <w:vAlign w:val="bottom"/>
            <w:tcBorders>
              <w:right w:val="single" w:sz="8" w:color="012E6C"/>
            </w:tcBorders>
          </w:tcPr>
          <w:p>
            <w:pPr>
              <w:spacing w:after="0"/>
              <w:rPr>
                <w:sz w:val="15"/>
                <w:szCs w:val="15"/>
                <w:color w:val="auto"/>
              </w:rPr>
            </w:pPr>
          </w:p>
        </w:tc>
        <w:tc>
          <w:tcPr>
            <w:tcW w:w="1860" w:type="dxa"/>
            <w:vAlign w:val="bottom"/>
            <w:tcBorders>
              <w:right w:val="single" w:sz="8" w:color="012E6C"/>
            </w:tcBorders>
          </w:tcPr>
          <w:p>
            <w:pPr>
              <w:spacing w:after="0"/>
              <w:rPr>
                <w:sz w:val="15"/>
                <w:szCs w:val="15"/>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bonus equivalent for the CEO is</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tcPr>
          <w:p>
            <w:pPr>
              <w:spacing w:after="0"/>
              <w:rPr>
                <w:sz w:val="16"/>
                <w:szCs w:val="16"/>
                <w:color w:val="auto"/>
              </w:rPr>
            </w:pPr>
          </w:p>
        </w:tc>
        <w:tc>
          <w:tcPr>
            <w:tcW w:w="1920" w:type="dxa"/>
            <w:vAlign w:val="bottom"/>
            <w:tcBorders>
              <w:right w:val="single" w:sz="8" w:color="012E6C"/>
            </w:tcBorders>
          </w:tcPr>
          <w:p>
            <w:pPr>
              <w:spacing w:after="0"/>
              <w:rPr>
                <w:sz w:val="16"/>
                <w:szCs w:val="16"/>
                <w:color w:val="auto"/>
              </w:rPr>
            </w:pP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2.99; for all other NEOs it is 1.0.</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Borders>
              <w:right w:val="single" w:sz="8" w:color="012E6C"/>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right w:val="single" w:sz="8" w:color="012E6C"/>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060" w:type="dxa"/>
            <w:vAlign w:val="bottom"/>
            <w:tcBorders>
              <w:left w:val="single" w:sz="8" w:color="012E6C"/>
              <w:bottom w:val="single" w:sz="8" w:color="012E6C"/>
              <w:right w:val="single" w:sz="8" w:color="012E6C"/>
            </w:tcBorders>
          </w:tcPr>
          <w:p>
            <w:pPr>
              <w:spacing w:after="0"/>
              <w:rPr>
                <w:sz w:val="11"/>
                <w:szCs w:val="11"/>
                <w:color w:val="auto"/>
              </w:rPr>
            </w:pPr>
          </w:p>
        </w:tc>
        <w:tc>
          <w:tcPr>
            <w:tcW w:w="1920" w:type="dxa"/>
            <w:vAlign w:val="bottom"/>
            <w:tcBorders>
              <w:bottom w:val="single" w:sz="8" w:color="012E6C"/>
              <w:right w:val="single" w:sz="8" w:color="012E6C"/>
            </w:tcBorders>
          </w:tcPr>
          <w:p>
            <w:pPr>
              <w:spacing w:after="0"/>
              <w:rPr>
                <w:sz w:val="11"/>
                <w:szCs w:val="11"/>
                <w:color w:val="auto"/>
              </w:rPr>
            </w:pPr>
          </w:p>
        </w:tc>
        <w:tc>
          <w:tcPr>
            <w:tcW w:w="1860" w:type="dxa"/>
            <w:vAlign w:val="bottom"/>
            <w:tcBorders>
              <w:bottom w:val="single" w:sz="8" w:color="012E6C"/>
              <w:right w:val="single" w:sz="8" w:color="012E6C"/>
            </w:tcBorders>
          </w:tcPr>
          <w:p>
            <w:pPr>
              <w:spacing w:after="0"/>
              <w:rPr>
                <w:sz w:val="11"/>
                <w:szCs w:val="11"/>
                <w:color w:val="auto"/>
              </w:rPr>
            </w:pPr>
          </w:p>
        </w:tc>
        <w:tc>
          <w:tcPr>
            <w:tcW w:w="2320" w:type="dxa"/>
            <w:vAlign w:val="bottom"/>
            <w:tcBorders>
              <w:bottom w:val="single" w:sz="8" w:color="012E6C"/>
              <w:right w:val="single" w:sz="8" w:color="012E6C"/>
            </w:tcBorders>
          </w:tcPr>
          <w:p>
            <w:pPr>
              <w:spacing w:after="0"/>
              <w:rPr>
                <w:sz w:val="11"/>
                <w:szCs w:val="11"/>
                <w:color w:val="auto"/>
              </w:rPr>
            </w:pPr>
          </w:p>
        </w:tc>
        <w:tc>
          <w:tcPr>
            <w:tcW w:w="80" w:type="dxa"/>
            <w:vAlign w:val="bottom"/>
            <w:tcBorders>
              <w:bottom w:val="single" w:sz="8" w:color="012E6C"/>
            </w:tcBorders>
          </w:tcPr>
          <w:p>
            <w:pPr>
              <w:spacing w:after="0"/>
              <w:rPr>
                <w:sz w:val="11"/>
                <w:szCs w:val="11"/>
                <w:color w:val="auto"/>
              </w:rPr>
            </w:pPr>
          </w:p>
        </w:tc>
        <w:tc>
          <w:tcPr>
            <w:tcW w:w="1100" w:type="dxa"/>
            <w:vAlign w:val="bottom"/>
            <w:tcBorders>
              <w:bottom w:val="single" w:sz="8" w:color="012E6C"/>
            </w:tcBorders>
          </w:tcPr>
          <w:p>
            <w:pPr>
              <w:spacing w:after="0"/>
              <w:rPr>
                <w:sz w:val="11"/>
                <w:szCs w:val="11"/>
                <w:color w:val="auto"/>
              </w:rPr>
            </w:pPr>
          </w:p>
        </w:tc>
        <w:tc>
          <w:tcPr>
            <w:tcW w:w="860" w:type="dxa"/>
            <w:vAlign w:val="bottom"/>
            <w:tcBorders>
              <w:bottom w:val="single" w:sz="8" w:color="012E6C"/>
              <w:right w:val="single" w:sz="8" w:color="012E6C"/>
            </w:tcBorders>
          </w:tcPr>
          <w:p>
            <w:pPr>
              <w:spacing w:after="0"/>
              <w:rPr>
                <w:sz w:val="11"/>
                <w:szCs w:val="11"/>
                <w:color w:val="auto"/>
              </w:rPr>
            </w:pPr>
          </w:p>
        </w:tc>
        <w:tc>
          <w:tcPr>
            <w:tcW w:w="100" w:type="dxa"/>
            <w:vAlign w:val="bottom"/>
            <w:tcBorders>
              <w:bottom w:val="single" w:sz="8" w:color="012E6C"/>
            </w:tcBorders>
          </w:tcPr>
          <w:p>
            <w:pPr>
              <w:spacing w:after="0"/>
              <w:rPr>
                <w:sz w:val="11"/>
                <w:szCs w:val="11"/>
                <w:color w:val="auto"/>
              </w:rPr>
            </w:pPr>
          </w:p>
        </w:tc>
        <w:tc>
          <w:tcPr>
            <w:tcW w:w="460" w:type="dxa"/>
            <w:vAlign w:val="bottom"/>
            <w:tcBorders>
              <w:bottom w:val="single" w:sz="8" w:color="012E6C"/>
            </w:tcBorders>
          </w:tcPr>
          <w:p>
            <w:pPr>
              <w:spacing w:after="0"/>
              <w:rPr>
                <w:sz w:val="11"/>
                <w:szCs w:val="11"/>
                <w:color w:val="auto"/>
              </w:rPr>
            </w:pPr>
          </w:p>
        </w:tc>
        <w:tc>
          <w:tcPr>
            <w:tcW w:w="120" w:type="dxa"/>
            <w:vAlign w:val="bottom"/>
            <w:tcBorders>
              <w:bottom w:val="single" w:sz="8" w:color="012E6C"/>
            </w:tcBorders>
          </w:tcPr>
          <w:p>
            <w:pPr>
              <w:spacing w:after="0"/>
              <w:rPr>
                <w:sz w:val="11"/>
                <w:szCs w:val="11"/>
                <w:color w:val="auto"/>
              </w:rPr>
            </w:pPr>
          </w:p>
        </w:tc>
        <w:tc>
          <w:tcPr>
            <w:tcW w:w="540" w:type="dxa"/>
            <w:vAlign w:val="bottom"/>
            <w:tcBorders>
              <w:bottom w:val="single" w:sz="8" w:color="012E6C"/>
            </w:tcBorders>
          </w:tcPr>
          <w:p>
            <w:pPr>
              <w:spacing w:after="0"/>
              <w:rPr>
                <w:sz w:val="11"/>
                <w:szCs w:val="11"/>
                <w:color w:val="auto"/>
              </w:rPr>
            </w:pPr>
          </w:p>
        </w:tc>
        <w:tc>
          <w:tcPr>
            <w:tcW w:w="460" w:type="dxa"/>
            <w:vAlign w:val="bottom"/>
            <w:tcBorders>
              <w:bottom w:val="single" w:sz="8" w:color="012E6C"/>
            </w:tcBorders>
          </w:tcPr>
          <w:p>
            <w:pPr>
              <w:spacing w:after="0"/>
              <w:rPr>
                <w:sz w:val="11"/>
                <w:szCs w:val="11"/>
                <w:color w:val="auto"/>
              </w:rPr>
            </w:pPr>
          </w:p>
        </w:tc>
        <w:tc>
          <w:tcPr>
            <w:tcW w:w="240" w:type="dxa"/>
            <w:vAlign w:val="bottom"/>
            <w:tcBorders>
              <w:bottom w:val="single" w:sz="8" w:color="012E6C"/>
            </w:tcBorders>
          </w:tcPr>
          <w:p>
            <w:pPr>
              <w:spacing w:after="0"/>
              <w:rPr>
                <w:sz w:val="11"/>
                <w:szCs w:val="11"/>
                <w:color w:val="auto"/>
              </w:rPr>
            </w:pPr>
          </w:p>
        </w:tc>
        <w:tc>
          <w:tcPr>
            <w:tcW w:w="140" w:type="dxa"/>
            <w:vAlign w:val="bottom"/>
            <w:tcBorders>
              <w:bottom w:val="single" w:sz="8" w:color="012E6C"/>
              <w:right w:val="single" w:sz="8" w:color="012E6C"/>
            </w:tcBorders>
          </w:tcPr>
          <w:p>
            <w:pPr>
              <w:spacing w:after="0"/>
              <w:rPr>
                <w:sz w:val="11"/>
                <w:szCs w:val="11"/>
                <w:color w:val="auto"/>
              </w:rPr>
            </w:pPr>
          </w:p>
        </w:tc>
        <w:tc>
          <w:tcPr>
            <w:tcW w:w="0" w:type="dxa"/>
            <w:vAlign w:val="bottom"/>
          </w:tcPr>
          <w:p>
            <w:pPr>
              <w:spacing w:after="0"/>
              <w:rPr>
                <w:sz w:val="1"/>
                <w:szCs w:val="1"/>
                <w:color w:val="auto"/>
              </w:rPr>
            </w:pPr>
          </w:p>
        </w:tc>
      </w:tr>
      <w:tr>
        <w:trPr>
          <w:trHeight w:val="869"/>
        </w:trPr>
        <w:tc>
          <w:tcPr>
            <w:tcW w:w="1060" w:type="dxa"/>
            <w:vAlign w:val="bottom"/>
          </w:tcPr>
          <w:p>
            <w:pPr>
              <w:jc w:val="right"/>
              <w:ind w:right="809"/>
              <w:spacing w:after="0"/>
              <w:rPr>
                <w:sz w:val="20"/>
                <w:szCs w:val="20"/>
                <w:color w:val="auto"/>
              </w:rPr>
            </w:pPr>
            <w:r>
              <w:rPr>
                <w:rFonts w:ascii="Arial" w:cs="Arial" w:eastAsia="Arial" w:hAnsi="Arial"/>
                <w:sz w:val="14"/>
                <w:szCs w:val="14"/>
                <w:b w:val="1"/>
                <w:bCs w:val="1"/>
                <w:color w:val="959595"/>
              </w:rPr>
              <w:t>68</w:t>
            </w:r>
          </w:p>
        </w:tc>
        <w:tc>
          <w:tcPr>
            <w:tcW w:w="1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0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-445135</wp:posOffset>
            </wp:positionV>
            <wp:extent cx="1071880" cy="1797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ectPr>
          <w:pgSz w:w="11900" w:h="16838" w:orient="portrait"/>
          <w:cols w:equalWidth="0" w:num="1">
            <w:col w:w="11260"/>
          </w:cols>
          <w:pgMar w:left="320" w:top="231" w:right="319" w:bottom="1440" w:gutter="0" w:footer="0" w:header="0"/>
        </w:sectPr>
      </w:pPr>
    </w:p>
    <w:bookmarkStart w:id="74" w:name="page75"/>
    <w:bookmarkEnd w:id="74"/>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0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60" w:type="dxa"/>
            <w:vAlign w:val="bottom"/>
          </w:tcPr>
          <w:p>
            <w:pPr>
              <w:ind w:left="340"/>
              <w:spacing w:after="0"/>
              <w:rPr>
                <w:sz w:val="20"/>
                <w:szCs w:val="20"/>
                <w:color w:val="auto"/>
              </w:rPr>
            </w:pPr>
            <w:r>
              <w:rPr>
                <w:rFonts w:ascii="Arial" w:cs="Arial" w:eastAsia="Arial" w:hAnsi="Arial"/>
                <w:sz w:val="15"/>
                <w:szCs w:val="15"/>
                <w:color w:val="003478"/>
              </w:rPr>
              <w:t>Executive Compensation</w:t>
            </w:r>
          </w:p>
        </w:tc>
        <w:tc>
          <w:tcPr>
            <w:tcW w:w="0" w:type="dxa"/>
            <w:vAlign w:val="bottom"/>
          </w:tcPr>
          <w:p>
            <w:pPr>
              <w:spacing w:after="0"/>
              <w:rPr>
                <w:sz w:val="1"/>
                <w:szCs w:val="1"/>
                <w:color w:val="auto"/>
              </w:rPr>
            </w:pPr>
          </w:p>
        </w:tc>
      </w:tr>
      <w:tr>
        <w:trPr>
          <w:trHeight w:val="586"/>
        </w:trPr>
        <w:tc>
          <w:tcPr>
            <w:tcW w:w="1060" w:type="dxa"/>
            <w:vAlign w:val="bottom"/>
            <w:tcBorders>
              <w:bottom w:val="single" w:sz="8" w:color="012E6C"/>
            </w:tcBorders>
          </w:tcPr>
          <w:p>
            <w:pPr>
              <w:spacing w:after="0"/>
              <w:rPr>
                <w:sz w:val="24"/>
                <w:szCs w:val="24"/>
                <w:color w:val="auto"/>
              </w:rPr>
            </w:pPr>
          </w:p>
        </w:tc>
        <w:tc>
          <w:tcPr>
            <w:tcW w:w="1920" w:type="dxa"/>
            <w:vAlign w:val="bottom"/>
            <w:tcBorders>
              <w:bottom w:val="single" w:sz="8" w:color="012E6C"/>
            </w:tcBorders>
          </w:tcPr>
          <w:p>
            <w:pPr>
              <w:spacing w:after="0"/>
              <w:rPr>
                <w:sz w:val="24"/>
                <w:szCs w:val="24"/>
                <w:color w:val="auto"/>
              </w:rPr>
            </w:pPr>
          </w:p>
        </w:tc>
        <w:tc>
          <w:tcPr>
            <w:tcW w:w="1860" w:type="dxa"/>
            <w:vAlign w:val="bottom"/>
            <w:tcBorders>
              <w:bottom w:val="single" w:sz="8" w:color="012E6C"/>
            </w:tcBorders>
          </w:tcPr>
          <w:p>
            <w:pPr>
              <w:spacing w:after="0"/>
              <w:rPr>
                <w:sz w:val="24"/>
                <w:szCs w:val="24"/>
                <w:color w:val="auto"/>
              </w:rPr>
            </w:pPr>
          </w:p>
        </w:tc>
        <w:tc>
          <w:tcPr>
            <w:tcW w:w="2320" w:type="dxa"/>
            <w:vAlign w:val="bottom"/>
            <w:tcBorders>
              <w:bottom w:val="single" w:sz="8" w:color="012E6C"/>
            </w:tcBorders>
          </w:tcPr>
          <w:p>
            <w:pPr>
              <w:spacing w:after="0"/>
              <w:rPr>
                <w:sz w:val="24"/>
                <w:szCs w:val="24"/>
                <w:color w:val="auto"/>
              </w:rPr>
            </w:pPr>
          </w:p>
        </w:tc>
        <w:tc>
          <w:tcPr>
            <w:tcW w:w="2040" w:type="dxa"/>
            <w:vAlign w:val="bottom"/>
            <w:tcBorders>
              <w:bottom w:val="single" w:sz="8" w:color="012E6C"/>
            </w:tcBorders>
          </w:tcPr>
          <w:p>
            <w:pPr>
              <w:spacing w:after="0"/>
              <w:rPr>
                <w:sz w:val="24"/>
                <w:szCs w:val="24"/>
                <w:color w:val="auto"/>
              </w:rPr>
            </w:pPr>
          </w:p>
        </w:tc>
        <w:tc>
          <w:tcPr>
            <w:tcW w:w="2060" w:type="dxa"/>
            <w:vAlign w:val="bottom"/>
            <w:tcBorders>
              <w:bottom w:val="single" w:sz="8" w:color="012E6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Borders>
              <w:left w:val="single" w:sz="8" w:color="012E6C"/>
              <w:bottom w:val="single" w:sz="8" w:color="012E6C"/>
              <w:right w:val="single" w:sz="8" w:color="012E6C"/>
            </w:tcBorders>
          </w:tcPr>
          <w:p>
            <w:pPr>
              <w:spacing w:after="0"/>
              <w:rPr>
                <w:sz w:val="17"/>
                <w:szCs w:val="17"/>
                <w:color w:val="auto"/>
              </w:rPr>
            </w:pPr>
          </w:p>
        </w:tc>
        <w:tc>
          <w:tcPr>
            <w:tcW w:w="1920" w:type="dxa"/>
            <w:vAlign w:val="bottom"/>
            <w:tcBorders>
              <w:bottom w:val="single" w:sz="8" w:color="012E6C"/>
              <w:right w:val="single" w:sz="8" w:color="012E6C"/>
            </w:tcBorders>
          </w:tcPr>
          <w:p>
            <w:pPr>
              <w:ind w:left="620"/>
              <w:spacing w:after="0"/>
              <w:rPr>
                <w:sz w:val="20"/>
                <w:szCs w:val="20"/>
                <w:color w:val="auto"/>
              </w:rPr>
            </w:pPr>
            <w:r>
              <w:rPr>
                <w:rFonts w:ascii="Arial" w:cs="Arial" w:eastAsia="Arial" w:hAnsi="Arial"/>
                <w:sz w:val="13"/>
                <w:szCs w:val="13"/>
                <w:b w:val="1"/>
                <w:bCs w:val="1"/>
                <w:color w:val="auto"/>
              </w:rPr>
              <w:t>Retirement</w:t>
            </w:r>
          </w:p>
        </w:tc>
        <w:tc>
          <w:tcPr>
            <w:tcW w:w="1860" w:type="dxa"/>
            <w:vAlign w:val="bottom"/>
            <w:tcBorders>
              <w:bottom w:val="single" w:sz="8" w:color="012E6C"/>
              <w:right w:val="single" w:sz="8" w:color="012E6C"/>
            </w:tcBorders>
          </w:tcPr>
          <w:p>
            <w:pPr>
              <w:ind w:left="380"/>
              <w:spacing w:after="0"/>
              <w:rPr>
                <w:sz w:val="20"/>
                <w:szCs w:val="20"/>
                <w:color w:val="auto"/>
              </w:rPr>
            </w:pPr>
            <w:r>
              <w:rPr>
                <w:rFonts w:ascii="Arial" w:cs="Arial" w:eastAsia="Arial" w:hAnsi="Arial"/>
                <w:sz w:val="13"/>
                <w:szCs w:val="13"/>
                <w:b w:val="1"/>
                <w:bCs w:val="1"/>
                <w:color w:val="auto"/>
              </w:rPr>
              <w:t>Change in Control</w:t>
            </w:r>
          </w:p>
        </w:tc>
        <w:tc>
          <w:tcPr>
            <w:tcW w:w="2320" w:type="dxa"/>
            <w:vAlign w:val="bottom"/>
            <w:tcBorders>
              <w:bottom w:val="single" w:sz="8" w:color="012E6C"/>
              <w:right w:val="single" w:sz="8" w:color="012E6C"/>
            </w:tcBorders>
          </w:tcPr>
          <w:p>
            <w:pPr>
              <w:ind w:left="460"/>
              <w:spacing w:after="0"/>
              <w:rPr>
                <w:sz w:val="20"/>
                <w:szCs w:val="20"/>
                <w:color w:val="auto"/>
              </w:rPr>
            </w:pPr>
            <w:r>
              <w:rPr>
                <w:rFonts w:ascii="Arial" w:cs="Arial" w:eastAsia="Arial" w:hAnsi="Arial"/>
                <w:sz w:val="13"/>
                <w:szCs w:val="13"/>
                <w:b w:val="1"/>
                <w:bCs w:val="1"/>
                <w:color w:val="auto"/>
              </w:rPr>
              <w:t>Death/Disability/Layoff</w:t>
            </w:r>
          </w:p>
        </w:tc>
        <w:tc>
          <w:tcPr>
            <w:tcW w:w="2040" w:type="dxa"/>
            <w:vAlign w:val="bottom"/>
            <w:tcBorders>
              <w:bottom w:val="single" w:sz="8" w:color="012E6C"/>
              <w:right w:val="single" w:sz="8" w:color="012E6C"/>
            </w:tcBorders>
          </w:tcPr>
          <w:p>
            <w:pPr>
              <w:ind w:left="640"/>
              <w:spacing w:after="0"/>
              <w:rPr>
                <w:sz w:val="20"/>
                <w:szCs w:val="20"/>
                <w:color w:val="auto"/>
              </w:rPr>
            </w:pPr>
            <w:r>
              <w:rPr>
                <w:rFonts w:ascii="Arial" w:cs="Arial" w:eastAsia="Arial" w:hAnsi="Arial"/>
                <w:sz w:val="13"/>
                <w:szCs w:val="13"/>
                <w:b w:val="1"/>
                <w:bCs w:val="1"/>
                <w:color w:val="auto"/>
              </w:rPr>
              <w:t>Divestiture</w:t>
            </w:r>
            <w:r>
              <w:rPr>
                <w:rFonts w:ascii="Arial" w:cs="Arial" w:eastAsia="Arial" w:hAnsi="Arial"/>
                <w:sz w:val="16"/>
                <w:szCs w:val="16"/>
                <w:b w:val="1"/>
                <w:bCs w:val="1"/>
                <w:color w:val="auto"/>
                <w:vertAlign w:val="superscript"/>
              </w:rPr>
              <w:t>(1)</w:t>
            </w:r>
          </w:p>
        </w:tc>
        <w:tc>
          <w:tcPr>
            <w:tcW w:w="2060" w:type="dxa"/>
            <w:vAlign w:val="bottom"/>
            <w:tcBorders>
              <w:bottom w:val="single" w:sz="8" w:color="012E6C"/>
              <w:right w:val="single" w:sz="8" w:color="012E6C"/>
            </w:tcBorders>
          </w:tcPr>
          <w:p>
            <w:pPr>
              <w:ind w:left="280"/>
              <w:spacing w:after="0"/>
              <w:rPr>
                <w:sz w:val="20"/>
                <w:szCs w:val="20"/>
                <w:color w:val="auto"/>
              </w:rPr>
            </w:pPr>
            <w:r>
              <w:rPr>
                <w:rFonts w:ascii="Arial" w:cs="Arial" w:eastAsia="Arial" w:hAnsi="Arial"/>
                <w:sz w:val="13"/>
                <w:szCs w:val="13"/>
                <w:b w:val="1"/>
                <w:bCs w:val="1"/>
                <w:color w:val="auto"/>
              </w:rPr>
              <w:t>Termination/Resignation</w:t>
            </w:r>
          </w:p>
        </w:tc>
        <w:tc>
          <w:tcPr>
            <w:tcW w:w="0" w:type="dxa"/>
            <w:vAlign w:val="bottom"/>
          </w:tcPr>
          <w:p>
            <w:pPr>
              <w:spacing w:after="0"/>
              <w:rPr>
                <w:sz w:val="1"/>
                <w:szCs w:val="1"/>
                <w:color w:val="auto"/>
              </w:rPr>
            </w:pPr>
          </w:p>
        </w:tc>
      </w:tr>
      <w:tr>
        <w:trPr>
          <w:trHeight w:val="230"/>
        </w:trPr>
        <w:tc>
          <w:tcPr>
            <w:tcW w:w="1060" w:type="dxa"/>
            <w:vAlign w:val="bottom"/>
            <w:tcBorders>
              <w:left w:val="single" w:sz="8" w:color="012E6C"/>
              <w:right w:val="single" w:sz="8" w:color="012E6C"/>
            </w:tcBorders>
            <w:shd w:val="clear" w:color="auto" w:fill="E5E7EF"/>
          </w:tcPr>
          <w:p>
            <w:pPr>
              <w:spacing w:after="0"/>
              <w:rPr>
                <w:sz w:val="20"/>
                <w:szCs w:val="20"/>
                <w:color w:val="auto"/>
              </w:rPr>
            </w:pPr>
          </w:p>
        </w:tc>
        <w:tc>
          <w:tcPr>
            <w:tcW w:w="1920" w:type="dxa"/>
            <w:vAlign w:val="bottom"/>
            <w:tcBorders>
              <w:right w:val="single" w:sz="8" w:color="012E6C"/>
            </w:tcBorders>
            <w:shd w:val="clear" w:color="auto" w:fill="E5E7EF"/>
          </w:tcPr>
          <w:p>
            <w:pPr>
              <w:spacing w:after="0"/>
              <w:rPr>
                <w:sz w:val="20"/>
                <w:szCs w:val="20"/>
                <w:color w:val="auto"/>
              </w:rPr>
            </w:pPr>
          </w:p>
        </w:tc>
        <w:tc>
          <w:tcPr>
            <w:tcW w:w="1860" w:type="dxa"/>
            <w:vAlign w:val="bottom"/>
            <w:tcBorders>
              <w:right w:val="single" w:sz="8" w:color="012E6C"/>
            </w:tcBorders>
            <w:shd w:val="clear" w:color="auto" w:fill="E5E7EF"/>
          </w:tcPr>
          <w:p>
            <w:pPr>
              <w:spacing w:after="0"/>
              <w:rPr>
                <w:sz w:val="20"/>
                <w:szCs w:val="20"/>
                <w:color w:val="auto"/>
              </w:rPr>
            </w:pPr>
          </w:p>
        </w:tc>
        <w:tc>
          <w:tcPr>
            <w:tcW w:w="2320" w:type="dxa"/>
            <w:vAlign w:val="bottom"/>
            <w:tcBorders>
              <w:right w:val="single" w:sz="8" w:color="012E6C"/>
            </w:tcBorders>
            <w:shd w:val="clear" w:color="auto" w:fill="E5E7EF"/>
          </w:tcPr>
          <w:p>
            <w:pPr>
              <w:ind w:left="100"/>
              <w:spacing w:after="0"/>
              <w:rPr>
                <w:sz w:val="20"/>
                <w:szCs w:val="20"/>
                <w:color w:val="auto"/>
              </w:rPr>
            </w:pPr>
            <w:r>
              <w:rPr>
                <w:rFonts w:ascii="Calibri" w:cs="Calibri" w:eastAsia="Calibri" w:hAnsi="Calibri"/>
                <w:sz w:val="14"/>
                <w:szCs w:val="14"/>
                <w:color w:val="auto"/>
              </w:rPr>
              <w:t>Qualifed: Spousal annuity beneft</w:t>
            </w:r>
          </w:p>
        </w:tc>
        <w:tc>
          <w:tcPr>
            <w:tcW w:w="2040" w:type="dxa"/>
            <w:vAlign w:val="bottom"/>
            <w:tcBorders>
              <w:right w:val="single" w:sz="8" w:color="012E6C"/>
            </w:tcBorders>
            <w:shd w:val="clear" w:color="auto" w:fill="E5E7EF"/>
          </w:tcPr>
          <w:p>
            <w:pPr>
              <w:spacing w:after="0"/>
              <w:rPr>
                <w:sz w:val="20"/>
                <w:szCs w:val="20"/>
                <w:color w:val="auto"/>
              </w:rPr>
            </w:pPr>
          </w:p>
        </w:tc>
        <w:tc>
          <w:tcPr>
            <w:tcW w:w="2060" w:type="dxa"/>
            <w:vAlign w:val="bottom"/>
            <w:tcBorders>
              <w:right w:val="single" w:sz="8" w:color="012E6C"/>
            </w:tcBorders>
            <w:shd w:val="clear" w:color="auto" w:fill="E5E7E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shd w:val="clear" w:color="auto" w:fill="E5E7EF"/>
          </w:tcPr>
          <w:p>
            <w:pPr>
              <w:spacing w:after="0"/>
              <w:rPr>
                <w:sz w:val="16"/>
                <w:szCs w:val="16"/>
                <w:color w:val="auto"/>
              </w:rPr>
            </w:pPr>
          </w:p>
        </w:tc>
        <w:tc>
          <w:tcPr>
            <w:tcW w:w="1920" w:type="dxa"/>
            <w:vAlign w:val="bottom"/>
            <w:tcBorders>
              <w:right w:val="single" w:sz="8" w:color="012E6C"/>
            </w:tcBorders>
            <w:shd w:val="clear" w:color="auto" w:fill="E5E7EF"/>
          </w:tcPr>
          <w:p>
            <w:pPr>
              <w:ind w:left="80"/>
              <w:spacing w:after="0"/>
              <w:rPr>
                <w:sz w:val="20"/>
                <w:szCs w:val="20"/>
                <w:color w:val="auto"/>
              </w:rPr>
            </w:pPr>
            <w:r>
              <w:rPr>
                <w:rFonts w:ascii="Calibri" w:cs="Calibri" w:eastAsia="Calibri" w:hAnsi="Calibri"/>
                <w:sz w:val="14"/>
                <w:szCs w:val="14"/>
                <w:color w:val="auto"/>
              </w:rPr>
              <w:t>Qualifed: Annuity payable</w:t>
            </w:r>
          </w:p>
        </w:tc>
        <w:tc>
          <w:tcPr>
            <w:tcW w:w="1860" w:type="dxa"/>
            <w:vAlign w:val="bottom"/>
            <w:tcBorders>
              <w:right w:val="single" w:sz="8" w:color="012E6C"/>
            </w:tcBorders>
            <w:shd w:val="clear" w:color="auto" w:fill="E5E7EF"/>
          </w:tcPr>
          <w:p>
            <w:pPr>
              <w:spacing w:after="0"/>
              <w:rPr>
                <w:sz w:val="16"/>
                <w:szCs w:val="16"/>
                <w:color w:val="auto"/>
              </w:rPr>
            </w:pPr>
          </w:p>
        </w:tc>
        <w:tc>
          <w:tcPr>
            <w:tcW w:w="2320" w:type="dxa"/>
            <w:vAlign w:val="bottom"/>
            <w:tcBorders>
              <w:right w:val="single" w:sz="8" w:color="012E6C"/>
            </w:tcBorders>
            <w:shd w:val="clear" w:color="auto" w:fill="E5E7EF"/>
          </w:tcPr>
          <w:p>
            <w:pPr>
              <w:ind w:left="100"/>
              <w:spacing w:after="0"/>
              <w:rPr>
                <w:sz w:val="20"/>
                <w:szCs w:val="20"/>
                <w:color w:val="auto"/>
              </w:rPr>
            </w:pPr>
            <w:r>
              <w:rPr>
                <w:rFonts w:ascii="Calibri" w:cs="Calibri" w:eastAsia="Calibri" w:hAnsi="Calibri"/>
                <w:sz w:val="14"/>
                <w:szCs w:val="14"/>
                <w:color w:val="auto"/>
              </w:rPr>
              <w:t>as required by law in event of death</w:t>
            </w:r>
          </w:p>
        </w:tc>
        <w:tc>
          <w:tcPr>
            <w:tcW w:w="2040" w:type="dxa"/>
            <w:vAlign w:val="bottom"/>
            <w:tcBorders>
              <w:right w:val="single" w:sz="8" w:color="012E6C"/>
            </w:tcBorders>
            <w:shd w:val="clear" w:color="auto" w:fill="E5E7EF"/>
          </w:tcPr>
          <w:p>
            <w:pPr>
              <w:spacing w:after="0"/>
              <w:rPr>
                <w:sz w:val="16"/>
                <w:szCs w:val="16"/>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Qualifed: Annuity payable on a</w:t>
            </w: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on a reduced basis at age 55;</w:t>
            </w:r>
          </w:p>
        </w:tc>
        <w:tc>
          <w:tcPr>
            <w:tcW w:w="1860" w:type="dxa"/>
            <w:vAlign w:val="bottom"/>
            <w:tcBorders>
              <w:right w:val="single" w:sz="8" w:color="012E6C"/>
            </w:tcBorders>
            <w:shd w:val="clear" w:color="auto" w:fill="E5E7EF"/>
          </w:tcPr>
          <w:p>
            <w:pPr>
              <w:spacing w:after="0"/>
              <w:rPr>
                <w:sz w:val="7"/>
                <w:szCs w:val="7"/>
                <w:color w:val="auto"/>
              </w:rPr>
            </w:pP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unless waived by spouse. For either</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012E6C"/>
              <w:right w:val="single" w:sz="8" w:color="012E6C"/>
            </w:tcBorders>
            <w:shd w:val="clear" w:color="auto" w:fill="E5E7EF"/>
          </w:tcPr>
          <w:p>
            <w:pPr>
              <w:spacing w:after="0"/>
              <w:rPr>
                <w:sz w:val="9"/>
                <w:szCs w:val="9"/>
                <w:color w:val="auto"/>
              </w:rPr>
            </w:pPr>
          </w:p>
        </w:tc>
        <w:tc>
          <w:tcPr>
            <w:tcW w:w="1920" w:type="dxa"/>
            <w:vAlign w:val="bottom"/>
            <w:tcBorders>
              <w:right w:val="single" w:sz="8" w:color="012E6C"/>
            </w:tcBorders>
            <w:vMerge w:val="continue"/>
            <w:shd w:val="clear" w:color="auto" w:fill="E5E7EF"/>
          </w:tcPr>
          <w:p>
            <w:pPr>
              <w:spacing w:after="0"/>
              <w:rPr>
                <w:sz w:val="9"/>
                <w:szCs w:val="9"/>
                <w:color w:val="auto"/>
              </w:rPr>
            </w:pPr>
          </w:p>
        </w:tc>
        <w:tc>
          <w:tcPr>
            <w:tcW w:w="1860" w:type="dxa"/>
            <w:vAlign w:val="bottom"/>
            <w:tcBorders>
              <w:right w:val="single" w:sz="8" w:color="012E6C"/>
            </w:tcBorders>
            <w:shd w:val="clear" w:color="auto" w:fill="E5E7EF"/>
          </w:tcPr>
          <w:p>
            <w:pPr>
              <w:spacing w:after="0"/>
              <w:rPr>
                <w:sz w:val="9"/>
                <w:szCs w:val="9"/>
                <w:color w:val="auto"/>
              </w:rPr>
            </w:pPr>
          </w:p>
        </w:tc>
        <w:tc>
          <w:tcPr>
            <w:tcW w:w="2320" w:type="dxa"/>
            <w:vAlign w:val="bottom"/>
            <w:tcBorders>
              <w:right w:val="single" w:sz="8" w:color="012E6C"/>
            </w:tcBorders>
            <w:vMerge w:val="continue"/>
            <w:shd w:val="clear" w:color="auto" w:fill="E5E7EF"/>
          </w:tcPr>
          <w:p>
            <w:pPr>
              <w:spacing w:after="0"/>
              <w:rPr>
                <w:sz w:val="9"/>
                <w:szCs w:val="9"/>
                <w:color w:val="auto"/>
              </w:rPr>
            </w:pPr>
          </w:p>
        </w:tc>
        <w:tc>
          <w:tcPr>
            <w:tcW w:w="2040" w:type="dxa"/>
            <w:vAlign w:val="bottom"/>
            <w:tcBorders>
              <w:right w:val="single" w:sz="8" w:color="012E6C"/>
            </w:tcBorders>
            <w:shd w:val="clear" w:color="auto" w:fill="E5E7EF"/>
          </w:tcPr>
          <w:p>
            <w:pPr>
              <w:spacing w:after="0"/>
              <w:rPr>
                <w:sz w:val="9"/>
                <w:szCs w:val="9"/>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reduced basis at age 55;</w:t>
            </w: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annuity payable on a non-</w:t>
            </w:r>
          </w:p>
        </w:tc>
        <w:tc>
          <w:tcPr>
            <w:tcW w:w="1860" w:type="dxa"/>
            <w:vAlign w:val="bottom"/>
            <w:tcBorders>
              <w:right w:val="single" w:sz="8" w:color="012E6C"/>
            </w:tcBorders>
            <w:shd w:val="clear" w:color="auto" w:fill="E5E7EF"/>
          </w:tcPr>
          <w:p>
            <w:pPr>
              <w:spacing w:after="0"/>
              <w:rPr>
                <w:sz w:val="7"/>
                <w:szCs w:val="7"/>
                <w:color w:val="auto"/>
              </w:rPr>
            </w:pP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(i) disability between age 53 and 55</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012E6C"/>
              <w:right w:val="single" w:sz="8" w:color="012E6C"/>
            </w:tcBorders>
            <w:shd w:val="clear" w:color="auto" w:fill="E5E7EF"/>
          </w:tcPr>
          <w:p>
            <w:pPr>
              <w:spacing w:after="0"/>
              <w:rPr>
                <w:sz w:val="9"/>
                <w:szCs w:val="9"/>
                <w:color w:val="auto"/>
              </w:rPr>
            </w:pPr>
          </w:p>
        </w:tc>
        <w:tc>
          <w:tcPr>
            <w:tcW w:w="1920" w:type="dxa"/>
            <w:vAlign w:val="bottom"/>
            <w:tcBorders>
              <w:right w:val="single" w:sz="8" w:color="012E6C"/>
            </w:tcBorders>
            <w:vMerge w:val="continue"/>
            <w:shd w:val="clear" w:color="auto" w:fill="E5E7EF"/>
          </w:tcPr>
          <w:p>
            <w:pPr>
              <w:spacing w:after="0"/>
              <w:rPr>
                <w:sz w:val="9"/>
                <w:szCs w:val="9"/>
                <w:color w:val="auto"/>
              </w:rPr>
            </w:pPr>
          </w:p>
        </w:tc>
        <w:tc>
          <w:tcPr>
            <w:tcW w:w="1860" w:type="dxa"/>
            <w:vAlign w:val="bottom"/>
            <w:tcBorders>
              <w:right w:val="single" w:sz="8" w:color="012E6C"/>
            </w:tcBorders>
            <w:shd w:val="clear" w:color="auto" w:fill="E5E7EF"/>
          </w:tcPr>
          <w:p>
            <w:pPr>
              <w:spacing w:after="0"/>
              <w:rPr>
                <w:sz w:val="9"/>
                <w:szCs w:val="9"/>
                <w:color w:val="auto"/>
              </w:rPr>
            </w:pPr>
          </w:p>
        </w:tc>
        <w:tc>
          <w:tcPr>
            <w:tcW w:w="2320" w:type="dxa"/>
            <w:vAlign w:val="bottom"/>
            <w:tcBorders>
              <w:right w:val="single" w:sz="8" w:color="012E6C"/>
            </w:tcBorders>
            <w:vMerge w:val="continue"/>
            <w:shd w:val="clear" w:color="auto" w:fill="E5E7EF"/>
          </w:tcPr>
          <w:p>
            <w:pPr>
              <w:spacing w:after="0"/>
              <w:rPr>
                <w:sz w:val="9"/>
                <w:szCs w:val="9"/>
                <w:color w:val="auto"/>
              </w:rPr>
            </w:pPr>
          </w:p>
        </w:tc>
        <w:tc>
          <w:tcPr>
            <w:tcW w:w="2040" w:type="dxa"/>
            <w:vAlign w:val="bottom"/>
            <w:tcBorders>
              <w:right w:val="single" w:sz="8" w:color="012E6C"/>
            </w:tcBorders>
            <w:shd w:val="clear" w:color="auto" w:fill="E5E7EF"/>
          </w:tcPr>
          <w:p>
            <w:pPr>
              <w:spacing w:after="0"/>
              <w:rPr>
                <w:sz w:val="9"/>
                <w:szCs w:val="9"/>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annuity payable on a non-</w:t>
            </w: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reduced basis at age 60;</w:t>
            </w:r>
          </w:p>
        </w:tc>
        <w:tc>
          <w:tcPr>
            <w:tcW w:w="1860" w:type="dxa"/>
            <w:vAlign w:val="bottom"/>
            <w:tcBorders>
              <w:right w:val="single" w:sz="8" w:color="012E6C"/>
            </w:tcBorders>
            <w:shd w:val="clear" w:color="auto" w:fill="E5E7EF"/>
          </w:tcPr>
          <w:p>
            <w:pPr>
              <w:spacing w:after="0"/>
              <w:rPr>
                <w:sz w:val="7"/>
                <w:szCs w:val="7"/>
                <w:color w:val="auto"/>
              </w:rPr>
            </w:pP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with eight years of service or (ii)</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860" w:type="dxa"/>
            <w:vAlign w:val="bottom"/>
            <w:tcBorders>
              <w:right w:val="single" w:sz="8" w:color="012E6C"/>
            </w:tcBorders>
            <w:shd w:val="clear" w:color="auto" w:fill="E5E7EF"/>
          </w:tcPr>
          <w:p>
            <w:pPr>
              <w:spacing w:after="0"/>
              <w:rPr>
                <w:sz w:val="8"/>
                <w:szCs w:val="8"/>
                <w:color w:val="auto"/>
              </w:rPr>
            </w:pPr>
          </w:p>
        </w:tc>
        <w:tc>
          <w:tcPr>
            <w:tcW w:w="232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reduced basis at age 60;</w:t>
            </w: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steeper reducton for early</w:t>
            </w:r>
          </w:p>
        </w:tc>
        <w:tc>
          <w:tcPr>
            <w:tcW w:w="1860" w:type="dxa"/>
            <w:vAlign w:val="bottom"/>
            <w:tcBorders>
              <w:right w:val="single" w:sz="8" w:color="012E6C"/>
            </w:tcBorders>
            <w:shd w:val="clear" w:color="auto" w:fill="E5E7EF"/>
          </w:tcPr>
          <w:p>
            <w:pPr>
              <w:spacing w:after="0"/>
              <w:rPr>
                <w:sz w:val="8"/>
                <w:szCs w:val="8"/>
                <w:color w:val="auto"/>
              </w:rPr>
            </w:pP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layof between age 53 and 55 with</w:t>
            </w: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860" w:type="dxa"/>
            <w:vAlign w:val="bottom"/>
            <w:tcBorders>
              <w:right w:val="single" w:sz="8" w:color="012E6C"/>
            </w:tcBorders>
            <w:shd w:val="clear" w:color="auto" w:fill="E5E7EF"/>
          </w:tcPr>
          <w:p>
            <w:pPr>
              <w:spacing w:after="0"/>
              <w:rPr>
                <w:sz w:val="8"/>
                <w:szCs w:val="8"/>
                <w:color w:val="auto"/>
              </w:rPr>
            </w:pPr>
          </w:p>
        </w:tc>
        <w:tc>
          <w:tcPr>
            <w:tcW w:w="232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steeper reducton for early</w:t>
            </w: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commencement at age 55 for</w:t>
            </w:r>
          </w:p>
        </w:tc>
        <w:tc>
          <w:tcPr>
            <w:tcW w:w="1860" w:type="dxa"/>
            <w:vAlign w:val="bottom"/>
            <w:tcBorders>
              <w:right w:val="single" w:sz="8" w:color="012E6C"/>
            </w:tcBorders>
            <w:shd w:val="clear" w:color="auto" w:fill="E5E7EF"/>
          </w:tcPr>
          <w:p>
            <w:pPr>
              <w:spacing w:after="0"/>
              <w:rPr>
                <w:sz w:val="7"/>
                <w:szCs w:val="7"/>
                <w:color w:val="auto"/>
              </w:rPr>
            </w:pP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eight years of service or before age</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012E6C"/>
              <w:right w:val="single" w:sz="8" w:color="012E6C"/>
            </w:tcBorders>
            <w:shd w:val="clear" w:color="auto" w:fill="E5E7EF"/>
          </w:tcPr>
          <w:p>
            <w:pPr>
              <w:spacing w:after="0"/>
              <w:rPr>
                <w:sz w:val="9"/>
                <w:szCs w:val="9"/>
                <w:color w:val="auto"/>
              </w:rPr>
            </w:pPr>
          </w:p>
        </w:tc>
        <w:tc>
          <w:tcPr>
            <w:tcW w:w="1920" w:type="dxa"/>
            <w:vAlign w:val="bottom"/>
            <w:tcBorders>
              <w:right w:val="single" w:sz="8" w:color="012E6C"/>
            </w:tcBorders>
            <w:vMerge w:val="continue"/>
            <w:shd w:val="clear" w:color="auto" w:fill="E5E7EF"/>
          </w:tcPr>
          <w:p>
            <w:pPr>
              <w:spacing w:after="0"/>
              <w:rPr>
                <w:sz w:val="9"/>
                <w:szCs w:val="9"/>
                <w:color w:val="auto"/>
              </w:rPr>
            </w:pPr>
          </w:p>
        </w:tc>
        <w:tc>
          <w:tcPr>
            <w:tcW w:w="1860" w:type="dxa"/>
            <w:vAlign w:val="bottom"/>
            <w:tcBorders>
              <w:right w:val="single" w:sz="8" w:color="012E6C"/>
            </w:tcBorders>
            <w:shd w:val="clear" w:color="auto" w:fill="E5E7EF"/>
          </w:tcPr>
          <w:p>
            <w:pPr>
              <w:spacing w:after="0"/>
              <w:rPr>
                <w:sz w:val="9"/>
                <w:szCs w:val="9"/>
                <w:color w:val="auto"/>
              </w:rPr>
            </w:pPr>
          </w:p>
        </w:tc>
        <w:tc>
          <w:tcPr>
            <w:tcW w:w="2320" w:type="dxa"/>
            <w:vAlign w:val="bottom"/>
            <w:tcBorders>
              <w:right w:val="single" w:sz="8" w:color="012E6C"/>
            </w:tcBorders>
            <w:vMerge w:val="continue"/>
            <w:shd w:val="clear" w:color="auto" w:fill="E5E7EF"/>
          </w:tcPr>
          <w:p>
            <w:pPr>
              <w:spacing w:after="0"/>
              <w:rPr>
                <w:sz w:val="9"/>
                <w:szCs w:val="9"/>
                <w:color w:val="auto"/>
              </w:rPr>
            </w:pPr>
          </w:p>
        </w:tc>
        <w:tc>
          <w:tcPr>
            <w:tcW w:w="2040" w:type="dxa"/>
            <w:vAlign w:val="bottom"/>
            <w:tcBorders>
              <w:right w:val="single" w:sz="8" w:color="012E6C"/>
            </w:tcBorders>
            <w:shd w:val="clear" w:color="auto" w:fill="E5E7EF"/>
          </w:tcPr>
          <w:p>
            <w:pPr>
              <w:spacing w:after="0"/>
              <w:rPr>
                <w:sz w:val="9"/>
                <w:szCs w:val="9"/>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commencement at age 55 for</w:t>
            </w: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terminatons prior to age 55</w:t>
            </w:r>
          </w:p>
        </w:tc>
        <w:tc>
          <w:tcPr>
            <w:tcW w:w="18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Qualifed: No acceleraton.</w:t>
            </w: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55 with 25 years of service,</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No provisions; absent a</w:t>
            </w: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060" w:type="dxa"/>
            <w:vAlign w:val="bottom"/>
            <w:tcBorders>
              <w:left w:val="single" w:sz="8" w:color="012E6C"/>
              <w:right w:val="single" w:sz="8" w:color="012E6C"/>
            </w:tcBorders>
            <w:shd w:val="clear" w:color="auto" w:fill="E5E7EF"/>
          </w:tcPr>
          <w:p>
            <w:pPr>
              <w:spacing w:after="0"/>
              <w:rPr>
                <w:sz w:val="9"/>
                <w:szCs w:val="9"/>
                <w:color w:val="auto"/>
              </w:rPr>
            </w:pPr>
          </w:p>
        </w:tc>
        <w:tc>
          <w:tcPr>
            <w:tcW w:w="1920" w:type="dxa"/>
            <w:vAlign w:val="bottom"/>
            <w:tcBorders>
              <w:right w:val="single" w:sz="8" w:color="012E6C"/>
            </w:tcBorders>
            <w:vMerge w:val="continue"/>
            <w:shd w:val="clear" w:color="auto" w:fill="E5E7EF"/>
          </w:tcPr>
          <w:p>
            <w:pPr>
              <w:spacing w:after="0"/>
              <w:rPr>
                <w:sz w:val="9"/>
                <w:szCs w:val="9"/>
                <w:color w:val="auto"/>
              </w:rPr>
            </w:pPr>
          </w:p>
        </w:tc>
        <w:tc>
          <w:tcPr>
            <w:tcW w:w="1860" w:type="dxa"/>
            <w:vAlign w:val="bottom"/>
            <w:tcBorders>
              <w:right w:val="single" w:sz="8" w:color="012E6C"/>
            </w:tcBorders>
            <w:vMerge w:val="continue"/>
            <w:shd w:val="clear" w:color="auto" w:fill="E5E7EF"/>
          </w:tcPr>
          <w:p>
            <w:pPr>
              <w:spacing w:after="0"/>
              <w:rPr>
                <w:sz w:val="9"/>
                <w:szCs w:val="9"/>
                <w:color w:val="auto"/>
              </w:rPr>
            </w:pPr>
          </w:p>
        </w:tc>
        <w:tc>
          <w:tcPr>
            <w:tcW w:w="2320" w:type="dxa"/>
            <w:vAlign w:val="bottom"/>
            <w:tcBorders>
              <w:right w:val="single" w:sz="8" w:color="012E6C"/>
            </w:tcBorders>
            <w:vMerge w:val="continue"/>
            <w:shd w:val="clear" w:color="auto" w:fill="E5E7EF"/>
          </w:tcPr>
          <w:p>
            <w:pPr>
              <w:spacing w:after="0"/>
              <w:rPr>
                <w:sz w:val="9"/>
                <w:szCs w:val="9"/>
                <w:color w:val="auto"/>
              </w:rPr>
            </w:pPr>
          </w:p>
        </w:tc>
        <w:tc>
          <w:tcPr>
            <w:tcW w:w="2040" w:type="dxa"/>
            <w:vAlign w:val="bottom"/>
            <w:tcBorders>
              <w:right w:val="single" w:sz="8" w:color="012E6C"/>
            </w:tcBorders>
            <w:vMerge w:val="continue"/>
            <w:shd w:val="clear" w:color="auto" w:fill="E5E7EF"/>
          </w:tcPr>
          <w:p>
            <w:pPr>
              <w:spacing w:after="0"/>
              <w:rPr>
                <w:sz w:val="9"/>
                <w:szCs w:val="9"/>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terminatons prior to age 55</w:t>
            </w:r>
          </w:p>
        </w:tc>
        <w:tc>
          <w:tcPr>
            <w:tcW w:w="0" w:type="dxa"/>
            <w:vAlign w:val="bottom"/>
          </w:tcPr>
          <w:p>
            <w:pPr>
              <w:spacing w:after="0"/>
              <w:rPr>
                <w:sz w:val="1"/>
                <w:szCs w:val="1"/>
                <w:color w:val="auto"/>
              </w:rPr>
            </w:pPr>
          </w:p>
        </w:tc>
      </w:tr>
      <w:tr>
        <w:trPr>
          <w:trHeight w:val="75"/>
        </w:trPr>
        <w:tc>
          <w:tcPr>
            <w:tcW w:w="1060" w:type="dxa"/>
            <w:vAlign w:val="bottom"/>
            <w:tcBorders>
              <w:left w:val="single" w:sz="8" w:color="012E6C"/>
              <w:right w:val="single" w:sz="8" w:color="012E6C"/>
            </w:tcBorders>
            <w:shd w:val="clear" w:color="auto" w:fill="E5E7EF"/>
          </w:tcPr>
          <w:p>
            <w:pPr>
              <w:spacing w:after="0"/>
              <w:rPr>
                <w:sz w:val="6"/>
                <w:szCs w:val="6"/>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than for terminatons afer</w:t>
            </w:r>
          </w:p>
        </w:tc>
        <w:tc>
          <w:tcPr>
            <w:tcW w:w="18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Supplemental: Lump Sum</w:t>
            </w: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partcipant is eligible for the more</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negotated transfer of liability</w:t>
            </w:r>
          </w:p>
        </w:tc>
        <w:tc>
          <w:tcPr>
            <w:tcW w:w="2060" w:type="dxa"/>
            <w:vAlign w:val="bottom"/>
            <w:tcBorders>
              <w:right w:val="single" w:sz="8" w:color="012E6C"/>
            </w:tcBorders>
            <w:vMerge w:val="continue"/>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060" w:type="dxa"/>
            <w:vAlign w:val="bottom"/>
            <w:tcBorders>
              <w:left w:val="single" w:sz="8" w:color="012E6C"/>
              <w:right w:val="single" w:sz="8" w:color="012E6C"/>
            </w:tcBorders>
            <w:vMerge w:val="restart"/>
            <w:shd w:val="clear" w:color="auto" w:fill="E5E7EF"/>
          </w:tcPr>
          <w:p>
            <w:pPr>
              <w:jc w:val="center"/>
              <w:spacing w:after="0" w:line="209" w:lineRule="exact"/>
              <w:rPr>
                <w:sz w:val="20"/>
                <w:szCs w:val="20"/>
                <w:color w:val="auto"/>
              </w:rPr>
            </w:pPr>
            <w:r>
              <w:rPr>
                <w:rFonts w:ascii="Arial" w:cs="Arial" w:eastAsia="Arial" w:hAnsi="Arial"/>
                <w:sz w:val="15"/>
                <w:szCs w:val="15"/>
                <w:b w:val="1"/>
                <w:bCs w:val="1"/>
                <w:color w:val="003478"/>
                <w:w w:val="97"/>
              </w:rPr>
              <w:t>Pension</w:t>
            </w:r>
            <w:r>
              <w:rPr>
                <w:rFonts w:ascii="Arial" w:cs="Arial" w:eastAsia="Arial" w:hAnsi="Arial"/>
                <w:sz w:val="19"/>
                <w:szCs w:val="19"/>
                <w:b w:val="1"/>
                <w:bCs w:val="1"/>
                <w:color w:val="003478"/>
                <w:w w:val="97"/>
                <w:vertAlign w:val="superscript"/>
              </w:rPr>
              <w:t>(4)</w:t>
            </w:r>
          </w:p>
        </w:tc>
        <w:tc>
          <w:tcPr>
            <w:tcW w:w="1920" w:type="dxa"/>
            <w:vAlign w:val="bottom"/>
            <w:tcBorders>
              <w:right w:val="single" w:sz="8" w:color="012E6C"/>
            </w:tcBorders>
            <w:vMerge w:val="continue"/>
            <w:shd w:val="clear" w:color="auto" w:fill="E5E7EF"/>
          </w:tcPr>
          <w:p>
            <w:pPr>
              <w:spacing w:after="0"/>
              <w:rPr>
                <w:sz w:val="11"/>
                <w:szCs w:val="11"/>
                <w:color w:val="auto"/>
              </w:rPr>
            </w:pPr>
          </w:p>
        </w:tc>
        <w:tc>
          <w:tcPr>
            <w:tcW w:w="1860" w:type="dxa"/>
            <w:vAlign w:val="bottom"/>
            <w:tcBorders>
              <w:right w:val="single" w:sz="8" w:color="012E6C"/>
            </w:tcBorders>
            <w:vMerge w:val="continue"/>
            <w:shd w:val="clear" w:color="auto" w:fill="E5E7EF"/>
          </w:tcPr>
          <w:p>
            <w:pPr>
              <w:spacing w:after="0"/>
              <w:rPr>
                <w:sz w:val="11"/>
                <w:szCs w:val="11"/>
                <w:color w:val="auto"/>
              </w:rPr>
            </w:pPr>
          </w:p>
        </w:tc>
        <w:tc>
          <w:tcPr>
            <w:tcW w:w="2320" w:type="dxa"/>
            <w:vAlign w:val="bottom"/>
            <w:tcBorders>
              <w:right w:val="single" w:sz="8" w:color="012E6C"/>
            </w:tcBorders>
            <w:vMerge w:val="continue"/>
            <w:shd w:val="clear" w:color="auto" w:fill="E5E7EF"/>
          </w:tcPr>
          <w:p>
            <w:pPr>
              <w:spacing w:after="0"/>
              <w:rPr>
                <w:sz w:val="11"/>
                <w:szCs w:val="11"/>
                <w:color w:val="auto"/>
              </w:rPr>
            </w:pPr>
          </w:p>
        </w:tc>
        <w:tc>
          <w:tcPr>
            <w:tcW w:w="2040" w:type="dxa"/>
            <w:vAlign w:val="bottom"/>
            <w:tcBorders>
              <w:right w:val="single" w:sz="8" w:color="012E6C"/>
            </w:tcBorders>
            <w:vMerge w:val="continue"/>
            <w:shd w:val="clear" w:color="auto" w:fill="E5E7EF"/>
          </w:tcPr>
          <w:p>
            <w:pPr>
              <w:spacing w:after="0"/>
              <w:rPr>
                <w:sz w:val="11"/>
                <w:szCs w:val="11"/>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than for terminatons afer age</w:t>
            </w: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vMerge w:val="continue"/>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age 55.</w:t>
            </w:r>
          </w:p>
        </w:tc>
        <w:tc>
          <w:tcPr>
            <w:tcW w:w="18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within 15 calendar days of</w:t>
            </w: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favorable actuarial reductons for</w:t>
            </w:r>
          </w:p>
        </w:tc>
        <w:tc>
          <w:tcPr>
            <w:tcW w:w="204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to buyer, treated as retrement</w:t>
            </w: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60" w:type="dxa"/>
            <w:vAlign w:val="bottom"/>
            <w:tcBorders>
              <w:left w:val="single" w:sz="8" w:color="012E6C"/>
              <w:right w:val="single" w:sz="8" w:color="012E6C"/>
            </w:tcBorders>
            <w:shd w:val="clear" w:color="auto" w:fill="E5E7EF"/>
          </w:tcPr>
          <w:p>
            <w:pPr>
              <w:spacing w:after="0"/>
              <w:rPr>
                <w:sz w:val="11"/>
                <w:szCs w:val="11"/>
                <w:color w:val="auto"/>
              </w:rPr>
            </w:pPr>
          </w:p>
        </w:tc>
        <w:tc>
          <w:tcPr>
            <w:tcW w:w="1920" w:type="dxa"/>
            <w:vAlign w:val="bottom"/>
            <w:tcBorders>
              <w:right w:val="single" w:sz="8" w:color="012E6C"/>
            </w:tcBorders>
            <w:vMerge w:val="continue"/>
            <w:shd w:val="clear" w:color="auto" w:fill="E5E7EF"/>
          </w:tcPr>
          <w:p>
            <w:pPr>
              <w:spacing w:after="0"/>
              <w:rPr>
                <w:sz w:val="11"/>
                <w:szCs w:val="11"/>
                <w:color w:val="auto"/>
              </w:rPr>
            </w:pPr>
          </w:p>
        </w:tc>
        <w:tc>
          <w:tcPr>
            <w:tcW w:w="1860" w:type="dxa"/>
            <w:vAlign w:val="bottom"/>
            <w:tcBorders>
              <w:right w:val="single" w:sz="8" w:color="012E6C"/>
            </w:tcBorders>
            <w:vMerge w:val="continue"/>
            <w:shd w:val="clear" w:color="auto" w:fill="E5E7EF"/>
          </w:tcPr>
          <w:p>
            <w:pPr>
              <w:spacing w:after="0"/>
              <w:rPr>
                <w:sz w:val="11"/>
                <w:szCs w:val="11"/>
                <w:color w:val="auto"/>
              </w:rPr>
            </w:pPr>
          </w:p>
        </w:tc>
        <w:tc>
          <w:tcPr>
            <w:tcW w:w="2320" w:type="dxa"/>
            <w:vAlign w:val="bottom"/>
            <w:tcBorders>
              <w:right w:val="single" w:sz="8" w:color="012E6C"/>
            </w:tcBorders>
            <w:vMerge w:val="continue"/>
            <w:shd w:val="clear" w:color="auto" w:fill="E5E7EF"/>
          </w:tcPr>
          <w:p>
            <w:pPr>
              <w:spacing w:after="0"/>
              <w:rPr>
                <w:sz w:val="11"/>
                <w:szCs w:val="11"/>
                <w:color w:val="auto"/>
              </w:rPr>
            </w:pPr>
          </w:p>
        </w:tc>
        <w:tc>
          <w:tcPr>
            <w:tcW w:w="2040" w:type="dxa"/>
            <w:vAlign w:val="bottom"/>
            <w:tcBorders>
              <w:right w:val="single" w:sz="8" w:color="012E6C"/>
            </w:tcBorders>
            <w:vMerge w:val="continue"/>
            <w:shd w:val="clear" w:color="auto" w:fill="E5E7EF"/>
          </w:tcPr>
          <w:p>
            <w:pPr>
              <w:spacing w:after="0"/>
              <w:rPr>
                <w:sz w:val="11"/>
                <w:szCs w:val="11"/>
                <w:color w:val="auto"/>
              </w:rPr>
            </w:pPr>
          </w:p>
        </w:tc>
        <w:tc>
          <w:tcPr>
            <w:tcW w:w="2060" w:type="dxa"/>
            <w:vAlign w:val="bottom"/>
            <w:tcBorders>
              <w:right w:val="single" w:sz="8" w:color="012E6C"/>
            </w:tcBorders>
            <w:shd w:val="clear" w:color="auto" w:fill="E5E7EF"/>
          </w:tcPr>
          <w:p>
            <w:pPr>
              <w:ind w:left="100"/>
              <w:spacing w:after="0" w:line="135" w:lineRule="exact"/>
              <w:rPr>
                <w:sz w:val="20"/>
                <w:szCs w:val="20"/>
                <w:color w:val="auto"/>
              </w:rPr>
            </w:pPr>
            <w:r>
              <w:rPr>
                <w:rFonts w:ascii="Calibri" w:cs="Calibri" w:eastAsia="Calibri" w:hAnsi="Calibri"/>
                <w:sz w:val="14"/>
                <w:szCs w:val="14"/>
                <w:color w:val="auto"/>
              </w:rPr>
              <w:t>55.</w:t>
            </w:r>
          </w:p>
        </w:tc>
        <w:tc>
          <w:tcPr>
            <w:tcW w:w="0" w:type="dxa"/>
            <w:vAlign w:val="bottom"/>
          </w:tcPr>
          <w:p>
            <w:pPr>
              <w:spacing w:after="0"/>
              <w:rPr>
                <w:sz w:val="1"/>
                <w:szCs w:val="1"/>
                <w:color w:val="auto"/>
              </w:rPr>
            </w:pPr>
          </w:p>
        </w:tc>
      </w:tr>
      <w:tr>
        <w:trPr>
          <w:trHeight w:val="162"/>
        </w:trPr>
        <w:tc>
          <w:tcPr>
            <w:tcW w:w="1060" w:type="dxa"/>
            <w:vAlign w:val="bottom"/>
            <w:tcBorders>
              <w:left w:val="single" w:sz="8" w:color="012E6C"/>
              <w:right w:val="single" w:sz="8" w:color="012E6C"/>
            </w:tcBorders>
            <w:shd w:val="clear" w:color="auto" w:fill="E5E7EF"/>
          </w:tcPr>
          <w:p>
            <w:pPr>
              <w:spacing w:after="0"/>
              <w:rPr>
                <w:sz w:val="14"/>
                <w:szCs w:val="14"/>
                <w:color w:val="auto"/>
              </w:rPr>
            </w:pPr>
          </w:p>
        </w:tc>
        <w:tc>
          <w:tcPr>
            <w:tcW w:w="1920" w:type="dxa"/>
            <w:vAlign w:val="bottom"/>
            <w:tcBorders>
              <w:right w:val="single" w:sz="8" w:color="012E6C"/>
            </w:tcBorders>
            <w:shd w:val="clear" w:color="auto" w:fill="E5E7EF"/>
          </w:tcPr>
          <w:p>
            <w:pPr>
              <w:ind w:left="80"/>
              <w:spacing w:after="0" w:line="162" w:lineRule="exact"/>
              <w:rPr>
                <w:sz w:val="20"/>
                <w:szCs w:val="20"/>
                <w:color w:val="auto"/>
              </w:rPr>
            </w:pPr>
            <w:r>
              <w:rPr>
                <w:rFonts w:ascii="Calibri" w:cs="Calibri" w:eastAsia="Calibri" w:hAnsi="Calibri"/>
                <w:sz w:val="14"/>
                <w:szCs w:val="14"/>
                <w:color w:val="auto"/>
              </w:rPr>
              <w:t>Supplemental: Annuity or, for</w:t>
            </w:r>
          </w:p>
        </w:tc>
        <w:tc>
          <w:tcPr>
            <w:tcW w:w="1860" w:type="dxa"/>
            <w:vAlign w:val="bottom"/>
            <w:tcBorders>
              <w:right w:val="single" w:sz="8" w:color="012E6C"/>
            </w:tcBorders>
            <w:shd w:val="clear" w:color="auto" w:fill="E5E7EF"/>
          </w:tcPr>
          <w:p>
            <w:pPr>
              <w:ind w:left="100"/>
              <w:spacing w:after="0" w:line="162" w:lineRule="exact"/>
              <w:rPr>
                <w:sz w:val="20"/>
                <w:szCs w:val="20"/>
                <w:color w:val="auto"/>
              </w:rPr>
            </w:pPr>
            <w:r>
              <w:rPr>
                <w:rFonts w:ascii="Calibri" w:cs="Calibri" w:eastAsia="Calibri" w:hAnsi="Calibri"/>
                <w:sz w:val="14"/>
                <w:szCs w:val="14"/>
                <w:color w:val="auto"/>
              </w:rPr>
              <w:t>the change in control.</w:t>
            </w:r>
          </w:p>
        </w:tc>
        <w:tc>
          <w:tcPr>
            <w:tcW w:w="2320" w:type="dxa"/>
            <w:vAlign w:val="bottom"/>
            <w:tcBorders>
              <w:right w:val="single" w:sz="8" w:color="012E6C"/>
            </w:tcBorders>
            <w:shd w:val="clear" w:color="auto" w:fill="E5E7EF"/>
          </w:tcPr>
          <w:p>
            <w:pPr>
              <w:ind w:left="100"/>
              <w:spacing w:after="0" w:line="162" w:lineRule="exact"/>
              <w:rPr>
                <w:sz w:val="20"/>
                <w:szCs w:val="20"/>
                <w:color w:val="auto"/>
              </w:rPr>
            </w:pPr>
            <w:r>
              <w:rPr>
                <w:rFonts w:ascii="Calibri" w:cs="Calibri" w:eastAsia="Calibri" w:hAnsi="Calibri"/>
                <w:sz w:val="14"/>
                <w:szCs w:val="14"/>
                <w:color w:val="auto"/>
              </w:rPr>
              <w:t>partcipants terminatng afer age</w:t>
            </w:r>
          </w:p>
        </w:tc>
        <w:tc>
          <w:tcPr>
            <w:tcW w:w="2040" w:type="dxa"/>
            <w:vAlign w:val="bottom"/>
            <w:tcBorders>
              <w:right w:val="single" w:sz="8" w:color="012E6C"/>
            </w:tcBorders>
            <w:shd w:val="clear" w:color="auto" w:fill="E5E7EF"/>
          </w:tcPr>
          <w:p>
            <w:pPr>
              <w:ind w:left="80"/>
              <w:spacing w:after="0" w:line="162" w:lineRule="exact"/>
              <w:rPr>
                <w:sz w:val="20"/>
                <w:szCs w:val="20"/>
                <w:color w:val="auto"/>
              </w:rPr>
            </w:pPr>
            <w:r>
              <w:rPr>
                <w:rFonts w:ascii="Calibri" w:cs="Calibri" w:eastAsia="Calibri" w:hAnsi="Calibri"/>
                <w:sz w:val="14"/>
                <w:szCs w:val="14"/>
                <w:color w:val="auto"/>
              </w:rPr>
              <w:t>or terminaton.</w:t>
            </w: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Supplemental: Annuity or, for</w:t>
            </w:r>
          </w:p>
        </w:tc>
        <w:tc>
          <w:tcPr>
            <w:tcW w:w="0" w:type="dxa"/>
            <w:vAlign w:val="bottom"/>
          </w:tcPr>
          <w:p>
            <w:pPr>
              <w:spacing w:after="0"/>
              <w:rPr>
                <w:sz w:val="1"/>
                <w:szCs w:val="1"/>
                <w:color w:val="auto"/>
              </w:rPr>
            </w:pPr>
          </w:p>
        </w:tc>
      </w:tr>
      <w:tr>
        <w:trPr>
          <w:trHeight w:val="134"/>
        </w:trPr>
        <w:tc>
          <w:tcPr>
            <w:tcW w:w="1060" w:type="dxa"/>
            <w:vAlign w:val="bottom"/>
            <w:tcBorders>
              <w:left w:val="single" w:sz="8" w:color="012E6C"/>
              <w:right w:val="single" w:sz="8" w:color="012E6C"/>
            </w:tcBorders>
            <w:shd w:val="clear" w:color="auto" w:fill="E5E7EF"/>
          </w:tcPr>
          <w:p>
            <w:pPr>
              <w:spacing w:after="0"/>
              <w:rPr>
                <w:sz w:val="11"/>
                <w:szCs w:val="11"/>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NEOs eligible before Dec. 16,</w:t>
            </w:r>
          </w:p>
        </w:tc>
        <w:tc>
          <w:tcPr>
            <w:tcW w:w="1860" w:type="dxa"/>
            <w:vAlign w:val="bottom"/>
            <w:tcBorders>
              <w:right w:val="single" w:sz="8" w:color="012E6C"/>
            </w:tcBorders>
            <w:shd w:val="clear" w:color="auto" w:fill="E5E7EF"/>
          </w:tcPr>
          <w:p>
            <w:pPr>
              <w:spacing w:after="0"/>
              <w:rPr>
                <w:sz w:val="11"/>
                <w:szCs w:val="11"/>
                <w:color w:val="auto"/>
              </w:rPr>
            </w:pPr>
          </w:p>
        </w:tc>
        <w:tc>
          <w:tcPr>
            <w:tcW w:w="2320" w:type="dxa"/>
            <w:vAlign w:val="bottom"/>
            <w:tcBorders>
              <w:right w:val="single" w:sz="8" w:color="012E6C"/>
            </w:tcBorders>
            <w:shd w:val="clear" w:color="auto" w:fill="E5E7EF"/>
          </w:tcPr>
          <w:p>
            <w:pPr>
              <w:ind w:left="100"/>
              <w:spacing w:after="0" w:line="134" w:lineRule="exact"/>
              <w:rPr>
                <w:sz w:val="20"/>
                <w:szCs w:val="20"/>
                <w:color w:val="auto"/>
              </w:rPr>
            </w:pPr>
            <w:r>
              <w:rPr>
                <w:rFonts w:ascii="Calibri" w:cs="Calibri" w:eastAsia="Calibri" w:hAnsi="Calibri"/>
                <w:sz w:val="14"/>
                <w:szCs w:val="14"/>
                <w:color w:val="auto"/>
              </w:rPr>
              <w:t>55.</w:t>
            </w:r>
          </w:p>
        </w:tc>
        <w:tc>
          <w:tcPr>
            <w:tcW w:w="2040" w:type="dxa"/>
            <w:vAlign w:val="bottom"/>
            <w:tcBorders>
              <w:right w:val="single" w:sz="8" w:color="012E6C"/>
            </w:tcBorders>
            <w:shd w:val="clear" w:color="auto" w:fill="E5E7EF"/>
          </w:tcPr>
          <w:p>
            <w:pPr>
              <w:spacing w:after="0"/>
              <w:rPr>
                <w:sz w:val="11"/>
                <w:szCs w:val="11"/>
                <w:color w:val="auto"/>
              </w:rPr>
            </w:pPr>
          </w:p>
        </w:tc>
        <w:tc>
          <w:tcPr>
            <w:tcW w:w="2060" w:type="dxa"/>
            <w:vAlign w:val="bottom"/>
            <w:tcBorders>
              <w:right w:val="single" w:sz="8" w:color="012E6C"/>
            </w:tcBorders>
            <w:vMerge w:val="continue"/>
            <w:shd w:val="clear" w:color="auto" w:fill="E5E7E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060" w:type="dxa"/>
            <w:vAlign w:val="bottom"/>
            <w:tcBorders>
              <w:left w:val="single" w:sz="8" w:color="012E6C"/>
              <w:right w:val="single" w:sz="8" w:color="012E6C"/>
            </w:tcBorders>
            <w:shd w:val="clear" w:color="auto" w:fill="E5E7EF"/>
          </w:tcPr>
          <w:p>
            <w:pPr>
              <w:spacing w:after="0"/>
              <w:rPr>
                <w:sz w:val="6"/>
                <w:szCs w:val="6"/>
                <w:color w:val="auto"/>
              </w:rPr>
            </w:pPr>
          </w:p>
        </w:tc>
        <w:tc>
          <w:tcPr>
            <w:tcW w:w="1920" w:type="dxa"/>
            <w:vAlign w:val="bottom"/>
            <w:tcBorders>
              <w:right w:val="single" w:sz="8" w:color="012E6C"/>
            </w:tcBorders>
            <w:vMerge w:val="continue"/>
            <w:shd w:val="clear" w:color="auto" w:fill="E5E7EF"/>
          </w:tcPr>
          <w:p>
            <w:pPr>
              <w:spacing w:after="0"/>
              <w:rPr>
                <w:sz w:val="6"/>
                <w:szCs w:val="6"/>
                <w:color w:val="auto"/>
              </w:rPr>
            </w:pPr>
          </w:p>
        </w:tc>
        <w:tc>
          <w:tcPr>
            <w:tcW w:w="1860" w:type="dxa"/>
            <w:vAlign w:val="bottom"/>
            <w:tcBorders>
              <w:right w:val="single" w:sz="8" w:color="012E6C"/>
            </w:tcBorders>
            <w:shd w:val="clear" w:color="auto" w:fill="E5E7EF"/>
          </w:tcPr>
          <w:p>
            <w:pPr>
              <w:spacing w:after="0"/>
              <w:rPr>
                <w:sz w:val="6"/>
                <w:szCs w:val="6"/>
                <w:color w:val="auto"/>
              </w:rPr>
            </w:pPr>
          </w:p>
        </w:tc>
        <w:tc>
          <w:tcPr>
            <w:tcW w:w="2320" w:type="dxa"/>
            <w:vAlign w:val="bottom"/>
            <w:tcBorders>
              <w:right w:val="single" w:sz="8" w:color="012E6C"/>
            </w:tcBorders>
            <w:shd w:val="clear" w:color="auto" w:fill="E5E7EF"/>
          </w:tcPr>
          <w:p>
            <w:pPr>
              <w:spacing w:after="0"/>
              <w:rPr>
                <w:sz w:val="6"/>
                <w:szCs w:val="6"/>
                <w:color w:val="auto"/>
              </w:rPr>
            </w:pPr>
          </w:p>
        </w:tc>
        <w:tc>
          <w:tcPr>
            <w:tcW w:w="2040" w:type="dxa"/>
            <w:vAlign w:val="bottom"/>
            <w:tcBorders>
              <w:right w:val="single" w:sz="8" w:color="012E6C"/>
            </w:tcBorders>
            <w:shd w:val="clear" w:color="auto" w:fill="E5E7EF"/>
          </w:tcPr>
          <w:p>
            <w:pPr>
              <w:spacing w:after="0"/>
              <w:rPr>
                <w:sz w:val="6"/>
                <w:szCs w:val="6"/>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NEOs eligible before Dec. 16,</w:t>
            </w: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2005, lump sum at later of</w:t>
            </w:r>
          </w:p>
        </w:tc>
        <w:tc>
          <w:tcPr>
            <w:tcW w:w="1860" w:type="dxa"/>
            <w:vAlign w:val="bottom"/>
            <w:tcBorders>
              <w:right w:val="single" w:sz="8" w:color="012E6C"/>
            </w:tcBorders>
            <w:shd w:val="clear" w:color="auto" w:fill="E5E7EF"/>
          </w:tcPr>
          <w:p>
            <w:pPr>
              <w:spacing w:after="0"/>
              <w:rPr>
                <w:sz w:val="8"/>
                <w:szCs w:val="8"/>
                <w:color w:val="auto"/>
              </w:rPr>
            </w:pP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Supplemental: Annuity or, for NEOs</w:t>
            </w: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60" w:type="dxa"/>
            <w:vAlign w:val="bottom"/>
            <w:tcBorders>
              <w:left w:val="single" w:sz="8" w:color="012E6C"/>
              <w:right w:val="single" w:sz="8" w:color="012E6C"/>
            </w:tcBorders>
            <w:shd w:val="clear" w:color="auto" w:fill="E5E7EF"/>
          </w:tcPr>
          <w:p>
            <w:pPr>
              <w:spacing w:after="0"/>
              <w:rPr>
                <w:sz w:val="8"/>
                <w:szCs w:val="8"/>
                <w:color w:val="auto"/>
              </w:rPr>
            </w:pPr>
          </w:p>
        </w:tc>
        <w:tc>
          <w:tcPr>
            <w:tcW w:w="1920" w:type="dxa"/>
            <w:vAlign w:val="bottom"/>
            <w:tcBorders>
              <w:right w:val="single" w:sz="8" w:color="012E6C"/>
            </w:tcBorders>
            <w:vMerge w:val="continue"/>
            <w:shd w:val="clear" w:color="auto" w:fill="E5E7EF"/>
          </w:tcPr>
          <w:p>
            <w:pPr>
              <w:spacing w:after="0"/>
              <w:rPr>
                <w:sz w:val="8"/>
                <w:szCs w:val="8"/>
                <w:color w:val="auto"/>
              </w:rPr>
            </w:pPr>
          </w:p>
        </w:tc>
        <w:tc>
          <w:tcPr>
            <w:tcW w:w="1860" w:type="dxa"/>
            <w:vAlign w:val="bottom"/>
            <w:tcBorders>
              <w:right w:val="single" w:sz="8" w:color="012E6C"/>
            </w:tcBorders>
            <w:shd w:val="clear" w:color="auto" w:fill="E5E7EF"/>
          </w:tcPr>
          <w:p>
            <w:pPr>
              <w:spacing w:after="0"/>
              <w:rPr>
                <w:sz w:val="8"/>
                <w:szCs w:val="8"/>
                <w:color w:val="auto"/>
              </w:rPr>
            </w:pPr>
          </w:p>
        </w:tc>
        <w:tc>
          <w:tcPr>
            <w:tcW w:w="2320" w:type="dxa"/>
            <w:vAlign w:val="bottom"/>
            <w:tcBorders>
              <w:right w:val="single" w:sz="8" w:color="012E6C"/>
            </w:tcBorders>
            <w:vMerge w:val="continue"/>
            <w:shd w:val="clear" w:color="auto" w:fill="E5E7EF"/>
          </w:tcPr>
          <w:p>
            <w:pPr>
              <w:spacing w:after="0"/>
              <w:rPr>
                <w:sz w:val="8"/>
                <w:szCs w:val="8"/>
                <w:color w:val="auto"/>
              </w:rPr>
            </w:pPr>
          </w:p>
        </w:tc>
        <w:tc>
          <w:tcPr>
            <w:tcW w:w="204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2005, lump sum, same early</w:t>
            </w: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age 55 or terminaton, same</w:t>
            </w:r>
          </w:p>
        </w:tc>
        <w:tc>
          <w:tcPr>
            <w:tcW w:w="1860" w:type="dxa"/>
            <w:vAlign w:val="bottom"/>
            <w:tcBorders>
              <w:right w:val="single" w:sz="8" w:color="012E6C"/>
            </w:tcBorders>
            <w:shd w:val="clear" w:color="auto" w:fill="E5E7EF"/>
          </w:tcPr>
          <w:p>
            <w:pPr>
              <w:spacing w:after="0"/>
              <w:rPr>
                <w:sz w:val="7"/>
                <w:szCs w:val="7"/>
                <w:color w:val="auto"/>
              </w:rPr>
            </w:pP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eligible before Dec. 16, 2005, lump</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012E6C"/>
              <w:right w:val="single" w:sz="8" w:color="012E6C"/>
            </w:tcBorders>
            <w:shd w:val="clear" w:color="auto" w:fill="E5E7EF"/>
          </w:tcPr>
          <w:p>
            <w:pPr>
              <w:spacing w:after="0"/>
              <w:rPr>
                <w:sz w:val="9"/>
                <w:szCs w:val="9"/>
                <w:color w:val="auto"/>
              </w:rPr>
            </w:pPr>
          </w:p>
        </w:tc>
        <w:tc>
          <w:tcPr>
            <w:tcW w:w="1920" w:type="dxa"/>
            <w:vAlign w:val="bottom"/>
            <w:tcBorders>
              <w:right w:val="single" w:sz="8" w:color="012E6C"/>
            </w:tcBorders>
            <w:vMerge w:val="continue"/>
            <w:shd w:val="clear" w:color="auto" w:fill="E5E7EF"/>
          </w:tcPr>
          <w:p>
            <w:pPr>
              <w:spacing w:after="0"/>
              <w:rPr>
                <w:sz w:val="9"/>
                <w:szCs w:val="9"/>
                <w:color w:val="auto"/>
              </w:rPr>
            </w:pPr>
          </w:p>
        </w:tc>
        <w:tc>
          <w:tcPr>
            <w:tcW w:w="1860" w:type="dxa"/>
            <w:vAlign w:val="bottom"/>
            <w:tcBorders>
              <w:right w:val="single" w:sz="8" w:color="012E6C"/>
            </w:tcBorders>
            <w:shd w:val="clear" w:color="auto" w:fill="E5E7EF"/>
          </w:tcPr>
          <w:p>
            <w:pPr>
              <w:spacing w:after="0"/>
              <w:rPr>
                <w:sz w:val="9"/>
                <w:szCs w:val="9"/>
                <w:color w:val="auto"/>
              </w:rPr>
            </w:pPr>
          </w:p>
        </w:tc>
        <w:tc>
          <w:tcPr>
            <w:tcW w:w="2320" w:type="dxa"/>
            <w:vAlign w:val="bottom"/>
            <w:tcBorders>
              <w:right w:val="single" w:sz="8" w:color="012E6C"/>
            </w:tcBorders>
            <w:vMerge w:val="continue"/>
            <w:shd w:val="clear" w:color="auto" w:fill="E5E7EF"/>
          </w:tcPr>
          <w:p>
            <w:pPr>
              <w:spacing w:after="0"/>
              <w:rPr>
                <w:sz w:val="9"/>
                <w:szCs w:val="9"/>
                <w:color w:val="auto"/>
              </w:rPr>
            </w:pPr>
          </w:p>
        </w:tc>
        <w:tc>
          <w:tcPr>
            <w:tcW w:w="2040" w:type="dxa"/>
            <w:vAlign w:val="bottom"/>
            <w:tcBorders>
              <w:right w:val="single" w:sz="8" w:color="012E6C"/>
            </w:tcBorders>
            <w:shd w:val="clear" w:color="auto" w:fill="E5E7EF"/>
          </w:tcPr>
          <w:p>
            <w:pPr>
              <w:spacing w:after="0"/>
              <w:rPr>
                <w:sz w:val="9"/>
                <w:szCs w:val="9"/>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commencement reductons</w:t>
            </w: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early commencement</w:t>
            </w:r>
          </w:p>
        </w:tc>
        <w:tc>
          <w:tcPr>
            <w:tcW w:w="1860" w:type="dxa"/>
            <w:vAlign w:val="bottom"/>
            <w:tcBorders>
              <w:right w:val="single" w:sz="8" w:color="012E6C"/>
            </w:tcBorders>
            <w:shd w:val="clear" w:color="auto" w:fill="E5E7EF"/>
          </w:tcPr>
          <w:p>
            <w:pPr>
              <w:spacing w:after="0"/>
              <w:rPr>
                <w:sz w:val="7"/>
                <w:szCs w:val="7"/>
                <w:color w:val="auto"/>
              </w:rPr>
            </w:pP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sum at later of age 55 or</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012E6C"/>
              <w:right w:val="single" w:sz="8" w:color="012E6C"/>
            </w:tcBorders>
            <w:shd w:val="clear" w:color="auto" w:fill="E5E7EF"/>
          </w:tcPr>
          <w:p>
            <w:pPr>
              <w:spacing w:after="0"/>
              <w:rPr>
                <w:sz w:val="9"/>
                <w:szCs w:val="9"/>
                <w:color w:val="auto"/>
              </w:rPr>
            </w:pPr>
          </w:p>
        </w:tc>
        <w:tc>
          <w:tcPr>
            <w:tcW w:w="1920" w:type="dxa"/>
            <w:vAlign w:val="bottom"/>
            <w:tcBorders>
              <w:right w:val="single" w:sz="8" w:color="012E6C"/>
            </w:tcBorders>
            <w:vMerge w:val="continue"/>
            <w:shd w:val="clear" w:color="auto" w:fill="E5E7EF"/>
          </w:tcPr>
          <w:p>
            <w:pPr>
              <w:spacing w:after="0"/>
              <w:rPr>
                <w:sz w:val="9"/>
                <w:szCs w:val="9"/>
                <w:color w:val="auto"/>
              </w:rPr>
            </w:pPr>
          </w:p>
        </w:tc>
        <w:tc>
          <w:tcPr>
            <w:tcW w:w="1860" w:type="dxa"/>
            <w:vAlign w:val="bottom"/>
            <w:tcBorders>
              <w:right w:val="single" w:sz="8" w:color="012E6C"/>
            </w:tcBorders>
            <w:shd w:val="clear" w:color="auto" w:fill="E5E7EF"/>
          </w:tcPr>
          <w:p>
            <w:pPr>
              <w:spacing w:after="0"/>
              <w:rPr>
                <w:sz w:val="9"/>
                <w:szCs w:val="9"/>
                <w:color w:val="auto"/>
              </w:rPr>
            </w:pPr>
          </w:p>
        </w:tc>
        <w:tc>
          <w:tcPr>
            <w:tcW w:w="2320" w:type="dxa"/>
            <w:vAlign w:val="bottom"/>
            <w:tcBorders>
              <w:right w:val="single" w:sz="8" w:color="012E6C"/>
            </w:tcBorders>
            <w:vMerge w:val="continue"/>
            <w:shd w:val="clear" w:color="auto" w:fill="E5E7EF"/>
          </w:tcPr>
          <w:p>
            <w:pPr>
              <w:spacing w:after="0"/>
              <w:rPr>
                <w:sz w:val="9"/>
                <w:szCs w:val="9"/>
                <w:color w:val="auto"/>
              </w:rPr>
            </w:pPr>
          </w:p>
        </w:tc>
        <w:tc>
          <w:tcPr>
            <w:tcW w:w="2040" w:type="dxa"/>
            <w:vAlign w:val="bottom"/>
            <w:tcBorders>
              <w:right w:val="single" w:sz="8" w:color="012E6C"/>
            </w:tcBorders>
            <w:shd w:val="clear" w:color="auto" w:fill="E5E7EF"/>
          </w:tcPr>
          <w:p>
            <w:pPr>
              <w:spacing w:after="0"/>
              <w:rPr>
                <w:sz w:val="9"/>
                <w:szCs w:val="9"/>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applied as for Pension-</w:t>
            </w: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reductons applied as for</w:t>
            </w:r>
          </w:p>
        </w:tc>
        <w:tc>
          <w:tcPr>
            <w:tcW w:w="1860" w:type="dxa"/>
            <w:vAlign w:val="bottom"/>
            <w:tcBorders>
              <w:right w:val="single" w:sz="8" w:color="012E6C"/>
            </w:tcBorders>
            <w:shd w:val="clear" w:color="auto" w:fill="E5E7EF"/>
          </w:tcPr>
          <w:p>
            <w:pPr>
              <w:spacing w:after="0"/>
              <w:rPr>
                <w:sz w:val="7"/>
                <w:szCs w:val="7"/>
                <w:color w:val="auto"/>
              </w:rPr>
            </w:pP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terminaton, same provisions as</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012E6C"/>
              <w:right w:val="single" w:sz="8" w:color="012E6C"/>
            </w:tcBorders>
            <w:shd w:val="clear" w:color="auto" w:fill="E5E7EF"/>
          </w:tcPr>
          <w:p>
            <w:pPr>
              <w:spacing w:after="0"/>
              <w:rPr>
                <w:sz w:val="9"/>
                <w:szCs w:val="9"/>
                <w:color w:val="auto"/>
              </w:rPr>
            </w:pPr>
          </w:p>
        </w:tc>
        <w:tc>
          <w:tcPr>
            <w:tcW w:w="1920" w:type="dxa"/>
            <w:vAlign w:val="bottom"/>
            <w:tcBorders>
              <w:right w:val="single" w:sz="8" w:color="012E6C"/>
            </w:tcBorders>
            <w:vMerge w:val="continue"/>
            <w:shd w:val="clear" w:color="auto" w:fill="E5E7EF"/>
          </w:tcPr>
          <w:p>
            <w:pPr>
              <w:spacing w:after="0"/>
              <w:rPr>
                <w:sz w:val="9"/>
                <w:szCs w:val="9"/>
                <w:color w:val="auto"/>
              </w:rPr>
            </w:pPr>
          </w:p>
        </w:tc>
        <w:tc>
          <w:tcPr>
            <w:tcW w:w="1860" w:type="dxa"/>
            <w:vAlign w:val="bottom"/>
            <w:tcBorders>
              <w:right w:val="single" w:sz="8" w:color="012E6C"/>
            </w:tcBorders>
            <w:shd w:val="clear" w:color="auto" w:fill="E5E7EF"/>
          </w:tcPr>
          <w:p>
            <w:pPr>
              <w:spacing w:after="0"/>
              <w:rPr>
                <w:sz w:val="9"/>
                <w:szCs w:val="9"/>
                <w:color w:val="auto"/>
              </w:rPr>
            </w:pPr>
          </w:p>
        </w:tc>
        <w:tc>
          <w:tcPr>
            <w:tcW w:w="2320" w:type="dxa"/>
            <w:vAlign w:val="bottom"/>
            <w:tcBorders>
              <w:right w:val="single" w:sz="8" w:color="012E6C"/>
            </w:tcBorders>
            <w:vMerge w:val="continue"/>
            <w:shd w:val="clear" w:color="auto" w:fill="E5E7EF"/>
          </w:tcPr>
          <w:p>
            <w:pPr>
              <w:spacing w:after="0"/>
              <w:rPr>
                <w:sz w:val="9"/>
                <w:szCs w:val="9"/>
                <w:color w:val="auto"/>
              </w:rPr>
            </w:pPr>
          </w:p>
        </w:tc>
        <w:tc>
          <w:tcPr>
            <w:tcW w:w="2040" w:type="dxa"/>
            <w:vAlign w:val="bottom"/>
            <w:tcBorders>
              <w:right w:val="single" w:sz="8" w:color="012E6C"/>
            </w:tcBorders>
            <w:shd w:val="clear" w:color="auto" w:fill="E5E7EF"/>
          </w:tcPr>
          <w:p>
            <w:pPr>
              <w:spacing w:after="0"/>
              <w:rPr>
                <w:sz w:val="9"/>
                <w:szCs w:val="9"/>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Qualifed.</w:t>
            </w:r>
          </w:p>
        </w:tc>
        <w:tc>
          <w:tcPr>
            <w:tcW w:w="0" w:type="dxa"/>
            <w:vAlign w:val="bottom"/>
          </w:tcPr>
          <w:p>
            <w:pPr>
              <w:spacing w:after="0"/>
              <w:rPr>
                <w:sz w:val="1"/>
                <w:szCs w:val="1"/>
                <w:color w:val="auto"/>
              </w:rPr>
            </w:pPr>
          </w:p>
        </w:tc>
      </w:tr>
      <w:tr>
        <w:trPr>
          <w:trHeight w:val="81"/>
        </w:trPr>
        <w:tc>
          <w:tcPr>
            <w:tcW w:w="1060" w:type="dxa"/>
            <w:vAlign w:val="bottom"/>
            <w:tcBorders>
              <w:left w:val="single" w:sz="8" w:color="012E6C"/>
              <w:right w:val="single" w:sz="8" w:color="012E6C"/>
            </w:tcBorders>
            <w:shd w:val="clear" w:color="auto" w:fill="E5E7EF"/>
          </w:tcPr>
          <w:p>
            <w:pPr>
              <w:spacing w:after="0"/>
              <w:rPr>
                <w:sz w:val="7"/>
                <w:szCs w:val="7"/>
                <w:color w:val="auto"/>
              </w:rPr>
            </w:pPr>
          </w:p>
        </w:tc>
        <w:tc>
          <w:tcPr>
            <w:tcW w:w="1920" w:type="dxa"/>
            <w:vAlign w:val="bottom"/>
            <w:tcBorders>
              <w:right w:val="single" w:sz="8" w:color="012E6C"/>
            </w:tcBorders>
            <w:vMerge w:val="restart"/>
            <w:shd w:val="clear" w:color="auto" w:fill="E5E7EF"/>
          </w:tcPr>
          <w:p>
            <w:pPr>
              <w:ind w:left="80"/>
              <w:spacing w:after="0"/>
              <w:rPr>
                <w:sz w:val="20"/>
                <w:szCs w:val="20"/>
                <w:color w:val="auto"/>
              </w:rPr>
            </w:pPr>
            <w:r>
              <w:rPr>
                <w:rFonts w:ascii="Calibri" w:cs="Calibri" w:eastAsia="Calibri" w:hAnsi="Calibri"/>
                <w:sz w:val="14"/>
                <w:szCs w:val="14"/>
                <w:color w:val="auto"/>
              </w:rPr>
              <w:t>Pension-Qualifed.</w:t>
            </w:r>
          </w:p>
        </w:tc>
        <w:tc>
          <w:tcPr>
            <w:tcW w:w="1860" w:type="dxa"/>
            <w:vAlign w:val="bottom"/>
            <w:tcBorders>
              <w:right w:val="single" w:sz="8" w:color="012E6C"/>
            </w:tcBorders>
            <w:shd w:val="clear" w:color="auto" w:fill="E5E7EF"/>
          </w:tcPr>
          <w:p>
            <w:pPr>
              <w:spacing w:after="0"/>
              <w:rPr>
                <w:sz w:val="7"/>
                <w:szCs w:val="7"/>
                <w:color w:val="auto"/>
              </w:rPr>
            </w:pPr>
          </w:p>
        </w:tc>
        <w:tc>
          <w:tcPr>
            <w:tcW w:w="2320" w:type="dxa"/>
            <w:vAlign w:val="bottom"/>
            <w:tcBorders>
              <w:right w:val="single" w:sz="8" w:color="012E6C"/>
            </w:tcBorders>
            <w:vMerge w:val="restart"/>
            <w:shd w:val="clear" w:color="auto" w:fill="E5E7EF"/>
          </w:tcPr>
          <w:p>
            <w:pPr>
              <w:ind w:left="100"/>
              <w:spacing w:after="0"/>
              <w:rPr>
                <w:sz w:val="20"/>
                <w:szCs w:val="20"/>
                <w:color w:val="auto"/>
              </w:rPr>
            </w:pPr>
            <w:r>
              <w:rPr>
                <w:rFonts w:ascii="Calibri" w:cs="Calibri" w:eastAsia="Calibri" w:hAnsi="Calibri"/>
                <w:sz w:val="14"/>
                <w:szCs w:val="14"/>
                <w:color w:val="auto"/>
              </w:rPr>
              <w:t>Pension-Qualifed for spousal</w:t>
            </w:r>
          </w:p>
        </w:tc>
        <w:tc>
          <w:tcPr>
            <w:tcW w:w="204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012E6C"/>
              <w:right w:val="single" w:sz="8" w:color="012E6C"/>
            </w:tcBorders>
            <w:shd w:val="clear" w:color="auto" w:fill="E5E7EF"/>
          </w:tcPr>
          <w:p>
            <w:pPr>
              <w:spacing w:after="0"/>
              <w:rPr>
                <w:sz w:val="9"/>
                <w:szCs w:val="9"/>
                <w:color w:val="auto"/>
              </w:rPr>
            </w:pPr>
          </w:p>
        </w:tc>
        <w:tc>
          <w:tcPr>
            <w:tcW w:w="1920" w:type="dxa"/>
            <w:vAlign w:val="bottom"/>
            <w:tcBorders>
              <w:right w:val="single" w:sz="8" w:color="012E6C"/>
            </w:tcBorders>
            <w:vMerge w:val="continue"/>
            <w:shd w:val="clear" w:color="auto" w:fill="E5E7EF"/>
          </w:tcPr>
          <w:p>
            <w:pPr>
              <w:spacing w:after="0"/>
              <w:rPr>
                <w:sz w:val="9"/>
                <w:szCs w:val="9"/>
                <w:color w:val="auto"/>
              </w:rPr>
            </w:pPr>
          </w:p>
        </w:tc>
        <w:tc>
          <w:tcPr>
            <w:tcW w:w="1860" w:type="dxa"/>
            <w:vAlign w:val="bottom"/>
            <w:tcBorders>
              <w:right w:val="single" w:sz="8" w:color="012E6C"/>
            </w:tcBorders>
            <w:shd w:val="clear" w:color="auto" w:fill="E5E7EF"/>
          </w:tcPr>
          <w:p>
            <w:pPr>
              <w:spacing w:after="0"/>
              <w:rPr>
                <w:sz w:val="9"/>
                <w:szCs w:val="9"/>
                <w:color w:val="auto"/>
              </w:rPr>
            </w:pPr>
          </w:p>
        </w:tc>
        <w:tc>
          <w:tcPr>
            <w:tcW w:w="2320" w:type="dxa"/>
            <w:vAlign w:val="bottom"/>
            <w:tcBorders>
              <w:right w:val="single" w:sz="8" w:color="012E6C"/>
            </w:tcBorders>
            <w:vMerge w:val="continue"/>
            <w:shd w:val="clear" w:color="auto" w:fill="E5E7EF"/>
          </w:tcPr>
          <w:p>
            <w:pPr>
              <w:spacing w:after="0"/>
              <w:rPr>
                <w:sz w:val="9"/>
                <w:szCs w:val="9"/>
                <w:color w:val="auto"/>
              </w:rPr>
            </w:pPr>
          </w:p>
        </w:tc>
        <w:tc>
          <w:tcPr>
            <w:tcW w:w="2040" w:type="dxa"/>
            <w:vAlign w:val="bottom"/>
            <w:tcBorders>
              <w:right w:val="single" w:sz="8" w:color="012E6C"/>
            </w:tcBorders>
            <w:shd w:val="clear" w:color="auto" w:fill="E5E7EF"/>
          </w:tcPr>
          <w:p>
            <w:pPr>
              <w:spacing w:after="0"/>
              <w:rPr>
                <w:sz w:val="9"/>
                <w:szCs w:val="9"/>
                <w:color w:val="auto"/>
              </w:rPr>
            </w:pPr>
          </w:p>
        </w:tc>
        <w:tc>
          <w:tcPr>
            <w:tcW w:w="2060" w:type="dxa"/>
            <w:vAlign w:val="bottom"/>
            <w:tcBorders>
              <w:right w:val="single" w:sz="8" w:color="012E6C"/>
            </w:tcBorders>
            <w:shd w:val="clear" w:color="auto" w:fill="E5E7E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shd w:val="clear" w:color="auto" w:fill="E5E7EF"/>
          </w:tcPr>
          <w:p>
            <w:pPr>
              <w:spacing w:after="0"/>
              <w:rPr>
                <w:sz w:val="16"/>
                <w:szCs w:val="16"/>
                <w:color w:val="auto"/>
              </w:rPr>
            </w:pPr>
          </w:p>
        </w:tc>
        <w:tc>
          <w:tcPr>
            <w:tcW w:w="1920" w:type="dxa"/>
            <w:vAlign w:val="bottom"/>
            <w:tcBorders>
              <w:right w:val="single" w:sz="8" w:color="012E6C"/>
            </w:tcBorders>
            <w:shd w:val="clear" w:color="auto" w:fill="E5E7EF"/>
          </w:tcPr>
          <w:p>
            <w:pPr>
              <w:spacing w:after="0"/>
              <w:rPr>
                <w:sz w:val="16"/>
                <w:szCs w:val="16"/>
                <w:color w:val="auto"/>
              </w:rPr>
            </w:pPr>
          </w:p>
        </w:tc>
        <w:tc>
          <w:tcPr>
            <w:tcW w:w="1860" w:type="dxa"/>
            <w:vAlign w:val="bottom"/>
            <w:tcBorders>
              <w:right w:val="single" w:sz="8" w:color="012E6C"/>
            </w:tcBorders>
            <w:shd w:val="clear" w:color="auto" w:fill="E5E7EF"/>
          </w:tcPr>
          <w:p>
            <w:pPr>
              <w:spacing w:after="0"/>
              <w:rPr>
                <w:sz w:val="16"/>
                <w:szCs w:val="16"/>
                <w:color w:val="auto"/>
              </w:rPr>
            </w:pPr>
          </w:p>
        </w:tc>
        <w:tc>
          <w:tcPr>
            <w:tcW w:w="2320" w:type="dxa"/>
            <w:vAlign w:val="bottom"/>
            <w:tcBorders>
              <w:right w:val="single" w:sz="8" w:color="012E6C"/>
            </w:tcBorders>
            <w:shd w:val="clear" w:color="auto" w:fill="E5E7EF"/>
          </w:tcPr>
          <w:p>
            <w:pPr>
              <w:ind w:left="100"/>
              <w:spacing w:after="0"/>
              <w:rPr>
                <w:sz w:val="20"/>
                <w:szCs w:val="20"/>
                <w:color w:val="auto"/>
              </w:rPr>
            </w:pPr>
            <w:r>
              <w:rPr>
                <w:rFonts w:ascii="Calibri" w:cs="Calibri" w:eastAsia="Calibri" w:hAnsi="Calibri"/>
                <w:sz w:val="14"/>
                <w:szCs w:val="14"/>
                <w:color w:val="auto"/>
              </w:rPr>
              <w:t>waiver, disability, and layof.</w:t>
            </w:r>
          </w:p>
        </w:tc>
        <w:tc>
          <w:tcPr>
            <w:tcW w:w="2040" w:type="dxa"/>
            <w:vAlign w:val="bottom"/>
            <w:tcBorders>
              <w:right w:val="single" w:sz="8" w:color="012E6C"/>
            </w:tcBorders>
            <w:shd w:val="clear" w:color="auto" w:fill="E5E7EF"/>
          </w:tcPr>
          <w:p>
            <w:pPr>
              <w:spacing w:after="0"/>
              <w:rPr>
                <w:sz w:val="16"/>
                <w:szCs w:val="16"/>
                <w:color w:val="auto"/>
              </w:rPr>
            </w:pPr>
          </w:p>
        </w:tc>
        <w:tc>
          <w:tcPr>
            <w:tcW w:w="2060" w:type="dxa"/>
            <w:vAlign w:val="bottom"/>
            <w:tcBorders>
              <w:right w:val="single" w:sz="8" w:color="012E6C"/>
            </w:tcBorders>
            <w:shd w:val="clear" w:color="auto" w:fill="E5E7EF"/>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060" w:type="dxa"/>
            <w:vAlign w:val="bottom"/>
            <w:tcBorders>
              <w:left w:val="single" w:sz="8" w:color="012E6C"/>
              <w:bottom w:val="single" w:sz="8" w:color="012E6C"/>
              <w:right w:val="single" w:sz="8" w:color="012E6C"/>
            </w:tcBorders>
            <w:shd w:val="clear" w:color="auto" w:fill="E5E7EF"/>
          </w:tcPr>
          <w:p>
            <w:pPr>
              <w:spacing w:after="0"/>
              <w:rPr>
                <w:sz w:val="8"/>
                <w:szCs w:val="8"/>
                <w:color w:val="auto"/>
              </w:rPr>
            </w:pPr>
          </w:p>
        </w:tc>
        <w:tc>
          <w:tcPr>
            <w:tcW w:w="1920" w:type="dxa"/>
            <w:vAlign w:val="bottom"/>
            <w:tcBorders>
              <w:bottom w:val="single" w:sz="8" w:color="012E6C"/>
              <w:right w:val="single" w:sz="8" w:color="012E6C"/>
            </w:tcBorders>
            <w:shd w:val="clear" w:color="auto" w:fill="E5E7EF"/>
          </w:tcPr>
          <w:p>
            <w:pPr>
              <w:spacing w:after="0"/>
              <w:rPr>
                <w:sz w:val="8"/>
                <w:szCs w:val="8"/>
                <w:color w:val="auto"/>
              </w:rPr>
            </w:pPr>
          </w:p>
        </w:tc>
        <w:tc>
          <w:tcPr>
            <w:tcW w:w="1860" w:type="dxa"/>
            <w:vAlign w:val="bottom"/>
            <w:tcBorders>
              <w:bottom w:val="single" w:sz="8" w:color="012E6C"/>
              <w:right w:val="single" w:sz="8" w:color="012E6C"/>
            </w:tcBorders>
            <w:shd w:val="clear" w:color="auto" w:fill="E5E7EF"/>
          </w:tcPr>
          <w:p>
            <w:pPr>
              <w:spacing w:after="0"/>
              <w:rPr>
                <w:sz w:val="8"/>
                <w:szCs w:val="8"/>
                <w:color w:val="auto"/>
              </w:rPr>
            </w:pPr>
          </w:p>
        </w:tc>
        <w:tc>
          <w:tcPr>
            <w:tcW w:w="2320" w:type="dxa"/>
            <w:vAlign w:val="bottom"/>
            <w:tcBorders>
              <w:bottom w:val="single" w:sz="8" w:color="012E6C"/>
              <w:right w:val="single" w:sz="8" w:color="012E6C"/>
            </w:tcBorders>
            <w:shd w:val="clear" w:color="auto" w:fill="E5E7EF"/>
          </w:tcPr>
          <w:p>
            <w:pPr>
              <w:spacing w:after="0"/>
              <w:rPr>
                <w:sz w:val="8"/>
                <w:szCs w:val="8"/>
                <w:color w:val="auto"/>
              </w:rPr>
            </w:pPr>
          </w:p>
        </w:tc>
        <w:tc>
          <w:tcPr>
            <w:tcW w:w="2040" w:type="dxa"/>
            <w:vAlign w:val="bottom"/>
            <w:tcBorders>
              <w:bottom w:val="single" w:sz="8" w:color="012E6C"/>
              <w:right w:val="single" w:sz="8" w:color="012E6C"/>
            </w:tcBorders>
            <w:shd w:val="clear" w:color="auto" w:fill="E5E7EF"/>
          </w:tcPr>
          <w:p>
            <w:pPr>
              <w:spacing w:after="0"/>
              <w:rPr>
                <w:sz w:val="8"/>
                <w:szCs w:val="8"/>
                <w:color w:val="auto"/>
              </w:rPr>
            </w:pPr>
          </w:p>
        </w:tc>
        <w:tc>
          <w:tcPr>
            <w:tcW w:w="2060" w:type="dxa"/>
            <w:vAlign w:val="bottom"/>
            <w:tcBorders>
              <w:bottom w:val="single" w:sz="8" w:color="012E6C"/>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012E6C"/>
              <w:right w:val="single" w:sz="8" w:color="012E6C"/>
            </w:tcBorders>
          </w:tcPr>
          <w:p>
            <w:pPr>
              <w:spacing w:after="0"/>
              <w:rPr>
                <w:sz w:val="20"/>
                <w:szCs w:val="20"/>
                <w:color w:val="auto"/>
              </w:rPr>
            </w:pPr>
          </w:p>
        </w:tc>
        <w:tc>
          <w:tcPr>
            <w:tcW w:w="1920" w:type="dxa"/>
            <w:vAlign w:val="bottom"/>
            <w:tcBorders>
              <w:right w:val="single" w:sz="8" w:color="012E6C"/>
            </w:tcBorders>
          </w:tcPr>
          <w:p>
            <w:pPr>
              <w:spacing w:after="0"/>
              <w:rPr>
                <w:sz w:val="20"/>
                <w:szCs w:val="20"/>
                <w:color w:val="auto"/>
              </w:rPr>
            </w:pPr>
          </w:p>
        </w:tc>
        <w:tc>
          <w:tcPr>
            <w:tcW w:w="1860" w:type="dxa"/>
            <w:vAlign w:val="bottom"/>
            <w:tcBorders>
              <w:right w:val="single" w:sz="8" w:color="012E6C"/>
            </w:tcBorders>
          </w:tcPr>
          <w:p>
            <w:pPr>
              <w:spacing w:after="0"/>
              <w:rPr>
                <w:sz w:val="20"/>
                <w:szCs w:val="20"/>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DMICP: Lump sum or installment</w:t>
            </w:r>
          </w:p>
        </w:tc>
        <w:tc>
          <w:tcPr>
            <w:tcW w:w="2040" w:type="dxa"/>
            <w:vAlign w:val="bottom"/>
            <w:tcBorders>
              <w:right w:val="single" w:sz="8" w:color="012E6C"/>
            </w:tcBorders>
          </w:tcPr>
          <w:p>
            <w:pPr>
              <w:spacing w:after="0"/>
              <w:rPr>
                <w:sz w:val="20"/>
                <w:szCs w:val="20"/>
                <w:color w:val="auto"/>
              </w:rPr>
            </w:pPr>
          </w:p>
        </w:tc>
        <w:tc>
          <w:tcPr>
            <w:tcW w:w="206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DMICP: Lump sum or</w:t>
            </w: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tcPr>
          <w:p>
            <w:pPr>
              <w:spacing w:after="0"/>
              <w:rPr>
                <w:sz w:val="16"/>
                <w:szCs w:val="16"/>
                <w:color w:val="auto"/>
              </w:rPr>
            </w:pPr>
          </w:p>
        </w:tc>
        <w:tc>
          <w:tcPr>
            <w:tcW w:w="1920" w:type="dxa"/>
            <w:vAlign w:val="bottom"/>
            <w:tcBorders>
              <w:right w:val="single" w:sz="8" w:color="012E6C"/>
            </w:tcBorders>
          </w:tcPr>
          <w:p>
            <w:pPr>
              <w:spacing w:after="0"/>
              <w:rPr>
                <w:sz w:val="16"/>
                <w:szCs w:val="16"/>
                <w:color w:val="auto"/>
              </w:rPr>
            </w:pP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payments in accordance with NEO</w:t>
            </w:r>
          </w:p>
        </w:tc>
        <w:tc>
          <w:tcPr>
            <w:tcW w:w="2040" w:type="dxa"/>
            <w:vAlign w:val="bottom"/>
            <w:tcBorders>
              <w:right w:val="single" w:sz="8" w:color="012E6C"/>
            </w:tcBorders>
          </w:tcPr>
          <w:p>
            <w:pPr>
              <w:spacing w:after="0"/>
              <w:rPr>
                <w:sz w:val="16"/>
                <w:szCs w:val="16"/>
                <w:color w:val="auto"/>
              </w:rPr>
            </w:pPr>
          </w:p>
        </w:tc>
        <w:tc>
          <w:tcPr>
            <w:tcW w:w="206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installment payments in</w:t>
            </w:r>
          </w:p>
        </w:tc>
        <w:tc>
          <w:tcPr>
            <w:tcW w:w="0" w:type="dxa"/>
            <w:vAlign w:val="bottom"/>
          </w:tcPr>
          <w:p>
            <w:pPr>
              <w:spacing w:after="0"/>
              <w:rPr>
                <w:sz w:val="1"/>
                <w:szCs w:val="1"/>
                <w:color w:val="auto"/>
              </w:rPr>
            </w:pPr>
          </w:p>
        </w:tc>
      </w:tr>
      <w:tr>
        <w:trPr>
          <w:trHeight w:val="208"/>
        </w:trPr>
        <w:tc>
          <w:tcPr>
            <w:tcW w:w="1060" w:type="dxa"/>
            <w:vAlign w:val="bottom"/>
            <w:tcBorders>
              <w:left w:val="single" w:sz="8" w:color="012E6C"/>
              <w:right w:val="single" w:sz="8" w:color="012E6C"/>
            </w:tcBorders>
          </w:tcPr>
          <w:p>
            <w:pPr>
              <w:jc w:val="center"/>
              <w:spacing w:after="0" w:line="208" w:lineRule="exact"/>
              <w:rPr>
                <w:sz w:val="20"/>
                <w:szCs w:val="20"/>
                <w:color w:val="auto"/>
              </w:rPr>
            </w:pPr>
            <w:r>
              <w:rPr>
                <w:rFonts w:ascii="Arial" w:cs="Arial" w:eastAsia="Arial" w:hAnsi="Arial"/>
                <w:sz w:val="15"/>
                <w:szCs w:val="15"/>
                <w:b w:val="1"/>
                <w:bCs w:val="1"/>
                <w:color w:val="003478"/>
                <w:w w:val="96"/>
              </w:rPr>
              <w:t>DMICP</w:t>
            </w:r>
            <w:r>
              <w:rPr>
                <w:rFonts w:ascii="Arial" w:cs="Arial" w:eastAsia="Arial" w:hAnsi="Arial"/>
                <w:sz w:val="19"/>
                <w:szCs w:val="19"/>
                <w:b w:val="1"/>
                <w:bCs w:val="1"/>
                <w:color w:val="003478"/>
                <w:w w:val="96"/>
                <w:vertAlign w:val="superscript"/>
              </w:rPr>
              <w:t>(5)</w:t>
            </w:r>
            <w:r>
              <w:rPr>
                <w:rFonts w:ascii="Arial" w:cs="Arial" w:eastAsia="Arial" w:hAnsi="Arial"/>
                <w:sz w:val="15"/>
                <w:szCs w:val="15"/>
                <w:b w:val="1"/>
                <w:bCs w:val="1"/>
                <w:color w:val="003478"/>
                <w:w w:val="96"/>
              </w:rPr>
              <w:t xml:space="preserve"> /</w:t>
            </w:r>
          </w:p>
        </w:tc>
        <w:tc>
          <w:tcPr>
            <w:tcW w:w="1920" w:type="dxa"/>
            <w:vAlign w:val="bottom"/>
            <w:tcBorders>
              <w:right w:val="single" w:sz="8" w:color="012E6C"/>
            </w:tcBorders>
            <w:vMerge w:val="restart"/>
          </w:tcPr>
          <w:p>
            <w:pPr>
              <w:ind w:left="80"/>
              <w:spacing w:after="0"/>
              <w:rPr>
                <w:sz w:val="20"/>
                <w:szCs w:val="20"/>
                <w:color w:val="auto"/>
              </w:rPr>
            </w:pPr>
            <w:r>
              <w:rPr>
                <w:rFonts w:ascii="Calibri" w:cs="Calibri" w:eastAsia="Calibri" w:hAnsi="Calibri"/>
                <w:sz w:val="14"/>
                <w:szCs w:val="14"/>
                <w:color w:val="auto"/>
              </w:rPr>
              <w:t>Lump sum or installment</w:t>
            </w:r>
          </w:p>
        </w:tc>
        <w:tc>
          <w:tcPr>
            <w:tcW w:w="1860" w:type="dxa"/>
            <w:vAlign w:val="bottom"/>
            <w:tcBorders>
              <w:right w:val="single" w:sz="8" w:color="012E6C"/>
            </w:tcBorders>
          </w:tcPr>
          <w:p>
            <w:pPr>
              <w:spacing w:after="0"/>
              <w:rPr>
                <w:sz w:val="18"/>
                <w:szCs w:val="18"/>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electons, except lump sum only for</w:t>
            </w:r>
          </w:p>
        </w:tc>
        <w:tc>
          <w:tcPr>
            <w:tcW w:w="2040" w:type="dxa"/>
            <w:vAlign w:val="bottom"/>
            <w:tcBorders>
              <w:right w:val="single" w:sz="8" w:color="012E6C"/>
            </w:tcBorders>
          </w:tcPr>
          <w:p>
            <w:pPr>
              <w:spacing w:after="0"/>
              <w:rPr>
                <w:sz w:val="18"/>
                <w:szCs w:val="18"/>
                <w:color w:val="auto"/>
              </w:rPr>
            </w:pPr>
          </w:p>
        </w:tc>
        <w:tc>
          <w:tcPr>
            <w:tcW w:w="206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accordance with NEO electons,</w:t>
            </w:r>
          </w:p>
        </w:tc>
        <w:tc>
          <w:tcPr>
            <w:tcW w:w="0" w:type="dxa"/>
            <w:vAlign w:val="bottom"/>
          </w:tcPr>
          <w:p>
            <w:pPr>
              <w:spacing w:after="0"/>
              <w:rPr>
                <w:sz w:val="1"/>
                <w:szCs w:val="1"/>
                <w:color w:val="auto"/>
              </w:rPr>
            </w:pPr>
          </w:p>
        </w:tc>
      </w:tr>
      <w:tr>
        <w:trPr>
          <w:trHeight w:val="89"/>
        </w:trPr>
        <w:tc>
          <w:tcPr>
            <w:tcW w:w="1060" w:type="dxa"/>
            <w:vAlign w:val="bottom"/>
            <w:tcBorders>
              <w:left w:val="single" w:sz="8" w:color="012E6C"/>
              <w:right w:val="single" w:sz="8" w:color="012E6C"/>
            </w:tcBorders>
          </w:tcPr>
          <w:p>
            <w:pPr>
              <w:spacing w:after="0"/>
              <w:rPr>
                <w:sz w:val="7"/>
                <w:szCs w:val="7"/>
                <w:color w:val="auto"/>
              </w:rPr>
            </w:pPr>
          </w:p>
        </w:tc>
        <w:tc>
          <w:tcPr>
            <w:tcW w:w="1920" w:type="dxa"/>
            <w:vAlign w:val="bottom"/>
            <w:tcBorders>
              <w:right w:val="single" w:sz="8" w:color="012E6C"/>
            </w:tcBorders>
            <w:vMerge w:val="continue"/>
          </w:tcPr>
          <w:p>
            <w:pPr>
              <w:spacing w:after="0"/>
              <w:rPr>
                <w:sz w:val="7"/>
                <w:szCs w:val="7"/>
                <w:color w:val="auto"/>
              </w:rPr>
            </w:pPr>
          </w:p>
        </w:tc>
        <w:tc>
          <w:tcPr>
            <w:tcW w:w="186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Immediate lump sum</w:t>
            </w:r>
          </w:p>
        </w:tc>
        <w:tc>
          <w:tcPr>
            <w:tcW w:w="232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layof prior to age 55.</w:t>
            </w:r>
          </w:p>
        </w:tc>
        <w:tc>
          <w:tcPr>
            <w:tcW w:w="2040" w:type="dxa"/>
            <w:vAlign w:val="bottom"/>
            <w:tcBorders>
              <w:right w:val="single" w:sz="8" w:color="012E6C"/>
            </w:tcBorders>
          </w:tcPr>
          <w:p>
            <w:pPr>
              <w:spacing w:after="0"/>
              <w:rPr>
                <w:sz w:val="7"/>
                <w:szCs w:val="7"/>
                <w:color w:val="auto"/>
              </w:rPr>
            </w:pPr>
          </w:p>
        </w:tc>
        <w:tc>
          <w:tcPr>
            <w:tcW w:w="206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except lump sum only if</w:t>
            </w:r>
          </w:p>
        </w:tc>
        <w:tc>
          <w:tcPr>
            <w:tcW w:w="0" w:type="dxa"/>
            <w:vAlign w:val="bottom"/>
          </w:tcPr>
          <w:p>
            <w:pPr>
              <w:spacing w:after="0"/>
              <w:rPr>
                <w:sz w:val="1"/>
                <w:szCs w:val="1"/>
                <w:color w:val="auto"/>
              </w:rPr>
            </w:pPr>
          </w:p>
        </w:tc>
      </w:tr>
      <w:tr>
        <w:trPr>
          <w:trHeight w:val="87"/>
        </w:trPr>
        <w:tc>
          <w:tcPr>
            <w:tcW w:w="106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w w:val="96"/>
              </w:rPr>
              <w:t>NQSSP</w:t>
            </w:r>
            <w:r>
              <w:rPr>
                <w:rFonts w:ascii="Arial" w:cs="Arial" w:eastAsia="Arial" w:hAnsi="Arial"/>
                <w:sz w:val="19"/>
                <w:szCs w:val="19"/>
                <w:b w:val="1"/>
                <w:bCs w:val="1"/>
                <w:color w:val="003478"/>
                <w:w w:val="96"/>
                <w:vertAlign w:val="superscript"/>
              </w:rPr>
              <w:t>(5)</w:t>
            </w:r>
            <w:r>
              <w:rPr>
                <w:rFonts w:ascii="Arial" w:cs="Arial" w:eastAsia="Arial" w:hAnsi="Arial"/>
                <w:sz w:val="15"/>
                <w:szCs w:val="15"/>
                <w:b w:val="1"/>
                <w:bCs w:val="1"/>
                <w:color w:val="003478"/>
                <w:w w:val="96"/>
              </w:rPr>
              <w:t xml:space="preserve"> /</w:t>
            </w:r>
          </w:p>
        </w:tc>
        <w:tc>
          <w:tcPr>
            <w:tcW w:w="1920" w:type="dxa"/>
            <w:vAlign w:val="bottom"/>
            <w:tcBorders>
              <w:right w:val="single" w:sz="8" w:color="012E6C"/>
            </w:tcBorders>
            <w:vMerge w:val="restart"/>
          </w:tcPr>
          <w:p>
            <w:pPr>
              <w:ind w:left="80"/>
              <w:spacing w:after="0"/>
              <w:rPr>
                <w:sz w:val="20"/>
                <w:szCs w:val="20"/>
                <w:color w:val="auto"/>
              </w:rPr>
            </w:pPr>
            <w:r>
              <w:rPr>
                <w:rFonts w:ascii="Calibri" w:cs="Calibri" w:eastAsia="Calibri" w:hAnsi="Calibri"/>
                <w:sz w:val="14"/>
                <w:szCs w:val="14"/>
                <w:color w:val="auto"/>
              </w:rPr>
              <w:t>payment in accordance with</w:t>
            </w:r>
          </w:p>
        </w:tc>
        <w:tc>
          <w:tcPr>
            <w:tcW w:w="1860" w:type="dxa"/>
            <w:vAlign w:val="bottom"/>
            <w:tcBorders>
              <w:right w:val="single" w:sz="8" w:color="012E6C"/>
            </w:tcBorders>
            <w:vMerge w:val="continue"/>
          </w:tcPr>
          <w:p>
            <w:pPr>
              <w:spacing w:after="0"/>
              <w:rPr>
                <w:sz w:val="7"/>
                <w:szCs w:val="7"/>
                <w:color w:val="auto"/>
              </w:rPr>
            </w:pPr>
          </w:p>
        </w:tc>
        <w:tc>
          <w:tcPr>
            <w:tcW w:w="2320" w:type="dxa"/>
            <w:vAlign w:val="bottom"/>
            <w:tcBorders>
              <w:right w:val="single" w:sz="8" w:color="012E6C"/>
            </w:tcBorders>
            <w:vMerge w:val="continue"/>
          </w:tcPr>
          <w:p>
            <w:pPr>
              <w:spacing w:after="0"/>
              <w:rPr>
                <w:sz w:val="7"/>
                <w:szCs w:val="7"/>
                <w:color w:val="auto"/>
              </w:rPr>
            </w:pPr>
          </w:p>
        </w:tc>
        <w:tc>
          <w:tcPr>
            <w:tcW w:w="2040" w:type="dxa"/>
            <w:vAlign w:val="bottom"/>
            <w:tcBorders>
              <w:right w:val="single" w:sz="8" w:color="012E6C"/>
            </w:tcBorders>
            <w:vMerge w:val="restart"/>
          </w:tcPr>
          <w:p>
            <w:pPr>
              <w:ind w:left="80"/>
              <w:spacing w:after="0"/>
              <w:rPr>
                <w:sz w:val="20"/>
                <w:szCs w:val="20"/>
                <w:color w:val="auto"/>
              </w:rPr>
            </w:pPr>
            <w:r>
              <w:rPr>
                <w:rFonts w:ascii="Calibri" w:cs="Calibri" w:eastAsia="Calibri" w:hAnsi="Calibri"/>
                <w:sz w:val="14"/>
                <w:szCs w:val="14"/>
                <w:color w:val="auto"/>
              </w:rPr>
              <w:t>Follows terminaton provisions.</w:t>
            </w:r>
          </w:p>
        </w:tc>
        <w:tc>
          <w:tcPr>
            <w:tcW w:w="2060" w:type="dxa"/>
            <w:vAlign w:val="bottom"/>
            <w:tcBorders>
              <w:right w:val="single" w:sz="8" w:color="012E6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060" w:type="dxa"/>
            <w:vAlign w:val="bottom"/>
            <w:tcBorders>
              <w:left w:val="single" w:sz="8" w:color="012E6C"/>
              <w:right w:val="single" w:sz="8" w:color="012E6C"/>
            </w:tcBorders>
            <w:vMerge w:val="continue"/>
          </w:tcPr>
          <w:p>
            <w:pPr>
              <w:spacing w:after="0"/>
              <w:rPr>
                <w:sz w:val="11"/>
                <w:szCs w:val="11"/>
                <w:color w:val="auto"/>
              </w:rPr>
            </w:pPr>
          </w:p>
        </w:tc>
        <w:tc>
          <w:tcPr>
            <w:tcW w:w="1920" w:type="dxa"/>
            <w:vAlign w:val="bottom"/>
            <w:tcBorders>
              <w:right w:val="single" w:sz="8" w:color="012E6C"/>
            </w:tcBorders>
            <w:vMerge w:val="continue"/>
          </w:tcPr>
          <w:p>
            <w:pPr>
              <w:spacing w:after="0"/>
              <w:rPr>
                <w:sz w:val="11"/>
                <w:szCs w:val="11"/>
                <w:color w:val="auto"/>
              </w:rPr>
            </w:pPr>
          </w:p>
        </w:tc>
        <w:tc>
          <w:tcPr>
            <w:tcW w:w="186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payment.</w:t>
            </w:r>
          </w:p>
        </w:tc>
        <w:tc>
          <w:tcPr>
            <w:tcW w:w="232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NQSSP/NCAP: Lump sum for death;</w:t>
            </w:r>
          </w:p>
        </w:tc>
        <w:tc>
          <w:tcPr>
            <w:tcW w:w="2040" w:type="dxa"/>
            <w:vAlign w:val="bottom"/>
            <w:tcBorders>
              <w:right w:val="single" w:sz="8" w:color="012E6C"/>
            </w:tcBorders>
            <w:vMerge w:val="continue"/>
          </w:tcPr>
          <w:p>
            <w:pPr>
              <w:spacing w:after="0"/>
              <w:rPr>
                <w:sz w:val="11"/>
                <w:szCs w:val="11"/>
                <w:color w:val="auto"/>
              </w:rPr>
            </w:pPr>
          </w:p>
        </w:tc>
        <w:tc>
          <w:tcPr>
            <w:tcW w:w="2060" w:type="dxa"/>
            <w:vAlign w:val="bottom"/>
            <w:tcBorders>
              <w:right w:val="single" w:sz="8" w:color="012E6C"/>
            </w:tcBorders>
          </w:tcPr>
          <w:p>
            <w:pPr>
              <w:ind w:left="100"/>
              <w:spacing w:after="0" w:line="136" w:lineRule="exact"/>
              <w:rPr>
                <w:sz w:val="20"/>
                <w:szCs w:val="20"/>
                <w:color w:val="auto"/>
              </w:rPr>
            </w:pPr>
            <w:r>
              <w:rPr>
                <w:rFonts w:ascii="Calibri" w:cs="Calibri" w:eastAsia="Calibri" w:hAnsi="Calibri"/>
                <w:sz w:val="14"/>
                <w:szCs w:val="14"/>
                <w:color w:val="auto"/>
              </w:rPr>
              <w:t>terminaton is prior to age 55.</w:t>
            </w:r>
          </w:p>
        </w:tc>
        <w:tc>
          <w:tcPr>
            <w:tcW w:w="0" w:type="dxa"/>
            <w:vAlign w:val="bottom"/>
          </w:tcPr>
          <w:p>
            <w:pPr>
              <w:spacing w:after="0"/>
              <w:rPr>
                <w:sz w:val="1"/>
                <w:szCs w:val="1"/>
                <w:color w:val="auto"/>
              </w:rPr>
            </w:pPr>
          </w:p>
        </w:tc>
      </w:tr>
      <w:tr>
        <w:trPr>
          <w:trHeight w:val="88"/>
        </w:trPr>
        <w:tc>
          <w:tcPr>
            <w:tcW w:w="1060" w:type="dxa"/>
            <w:vAlign w:val="bottom"/>
            <w:tcBorders>
              <w:left w:val="single" w:sz="8" w:color="012E6C"/>
              <w:right w:val="single" w:sz="8" w:color="012E6C"/>
            </w:tcBorders>
          </w:tcPr>
          <w:p>
            <w:pPr>
              <w:spacing w:after="0"/>
              <w:rPr>
                <w:sz w:val="7"/>
                <w:szCs w:val="7"/>
                <w:color w:val="auto"/>
              </w:rPr>
            </w:pPr>
          </w:p>
        </w:tc>
        <w:tc>
          <w:tcPr>
            <w:tcW w:w="1920" w:type="dxa"/>
            <w:vAlign w:val="bottom"/>
            <w:tcBorders>
              <w:right w:val="single" w:sz="8" w:color="012E6C"/>
            </w:tcBorders>
            <w:vMerge w:val="restart"/>
          </w:tcPr>
          <w:p>
            <w:pPr>
              <w:ind w:left="80"/>
              <w:spacing w:after="0"/>
              <w:rPr>
                <w:sz w:val="20"/>
                <w:szCs w:val="20"/>
                <w:color w:val="auto"/>
              </w:rPr>
            </w:pPr>
            <w:r>
              <w:rPr>
                <w:rFonts w:ascii="Calibri" w:cs="Calibri" w:eastAsia="Calibri" w:hAnsi="Calibri"/>
                <w:sz w:val="14"/>
                <w:szCs w:val="14"/>
                <w:color w:val="auto"/>
              </w:rPr>
              <w:t>NEO electons.</w:t>
            </w:r>
          </w:p>
        </w:tc>
        <w:tc>
          <w:tcPr>
            <w:tcW w:w="1860" w:type="dxa"/>
            <w:vAlign w:val="bottom"/>
            <w:tcBorders>
              <w:right w:val="single" w:sz="8" w:color="012E6C"/>
            </w:tcBorders>
            <w:vMerge w:val="continue"/>
          </w:tcPr>
          <w:p>
            <w:pPr>
              <w:spacing w:after="0"/>
              <w:rPr>
                <w:sz w:val="7"/>
                <w:szCs w:val="7"/>
                <w:color w:val="auto"/>
              </w:rPr>
            </w:pPr>
          </w:p>
        </w:tc>
        <w:tc>
          <w:tcPr>
            <w:tcW w:w="2320" w:type="dxa"/>
            <w:vAlign w:val="bottom"/>
            <w:tcBorders>
              <w:right w:val="single" w:sz="8" w:color="012E6C"/>
            </w:tcBorders>
            <w:vMerge w:val="continue"/>
          </w:tcPr>
          <w:p>
            <w:pPr>
              <w:spacing w:after="0"/>
              <w:rPr>
                <w:sz w:val="7"/>
                <w:szCs w:val="7"/>
                <w:color w:val="auto"/>
              </w:rPr>
            </w:pPr>
          </w:p>
        </w:tc>
        <w:tc>
          <w:tcPr>
            <w:tcW w:w="2040" w:type="dxa"/>
            <w:vAlign w:val="bottom"/>
            <w:tcBorders>
              <w:right w:val="single" w:sz="8" w:color="012E6C"/>
            </w:tcBorders>
          </w:tcPr>
          <w:p>
            <w:pPr>
              <w:spacing w:after="0"/>
              <w:rPr>
                <w:sz w:val="7"/>
                <w:szCs w:val="7"/>
                <w:color w:val="auto"/>
              </w:rPr>
            </w:pPr>
          </w:p>
        </w:tc>
        <w:tc>
          <w:tcPr>
            <w:tcW w:w="2060" w:type="dxa"/>
            <w:vAlign w:val="bottom"/>
            <w:tcBorders>
              <w:right w:val="single" w:sz="8" w:color="012E6C"/>
            </w:tcBorders>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060" w:type="dxa"/>
            <w:vAlign w:val="bottom"/>
            <w:tcBorders>
              <w:left w:val="single" w:sz="8" w:color="012E6C"/>
              <w:right w:val="single" w:sz="8" w:color="012E6C"/>
            </w:tcBorders>
            <w:vMerge w:val="restart"/>
          </w:tcPr>
          <w:p>
            <w:pPr>
              <w:jc w:val="center"/>
              <w:spacing w:after="0" w:line="208" w:lineRule="exact"/>
              <w:rPr>
                <w:sz w:val="20"/>
                <w:szCs w:val="20"/>
                <w:color w:val="auto"/>
              </w:rPr>
            </w:pPr>
            <w:r>
              <w:rPr>
                <w:rFonts w:ascii="Arial" w:cs="Arial" w:eastAsia="Arial" w:hAnsi="Arial"/>
                <w:sz w:val="15"/>
                <w:szCs w:val="15"/>
                <w:b w:val="1"/>
                <w:bCs w:val="1"/>
                <w:color w:val="003478"/>
                <w:w w:val="93"/>
              </w:rPr>
              <w:t>NCAP</w:t>
            </w:r>
            <w:r>
              <w:rPr>
                <w:rFonts w:ascii="Arial" w:cs="Arial" w:eastAsia="Arial" w:hAnsi="Arial"/>
                <w:sz w:val="19"/>
                <w:szCs w:val="19"/>
                <w:b w:val="1"/>
                <w:bCs w:val="1"/>
                <w:color w:val="003478"/>
                <w:w w:val="93"/>
                <w:vertAlign w:val="superscript"/>
              </w:rPr>
              <w:t>(5)</w:t>
            </w:r>
          </w:p>
        </w:tc>
        <w:tc>
          <w:tcPr>
            <w:tcW w:w="1920" w:type="dxa"/>
            <w:vAlign w:val="bottom"/>
            <w:tcBorders>
              <w:right w:val="single" w:sz="8" w:color="012E6C"/>
            </w:tcBorders>
            <w:vMerge w:val="continue"/>
          </w:tcPr>
          <w:p>
            <w:pPr>
              <w:spacing w:after="0"/>
              <w:rPr>
                <w:sz w:val="7"/>
                <w:szCs w:val="7"/>
                <w:color w:val="auto"/>
              </w:rPr>
            </w:pPr>
          </w:p>
        </w:tc>
        <w:tc>
          <w:tcPr>
            <w:tcW w:w="1860" w:type="dxa"/>
            <w:vAlign w:val="bottom"/>
            <w:tcBorders>
              <w:right w:val="single" w:sz="8" w:color="012E6C"/>
            </w:tcBorders>
          </w:tcPr>
          <w:p>
            <w:pPr>
              <w:spacing w:after="0"/>
              <w:rPr>
                <w:sz w:val="7"/>
                <w:szCs w:val="7"/>
                <w:color w:val="auto"/>
              </w:rPr>
            </w:pPr>
          </w:p>
        </w:tc>
        <w:tc>
          <w:tcPr>
            <w:tcW w:w="232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for disability or layof, lump sum or</w:t>
            </w:r>
          </w:p>
        </w:tc>
        <w:tc>
          <w:tcPr>
            <w:tcW w:w="2040" w:type="dxa"/>
            <w:vAlign w:val="bottom"/>
            <w:tcBorders>
              <w:right w:val="single" w:sz="8" w:color="012E6C"/>
            </w:tcBorders>
          </w:tcPr>
          <w:p>
            <w:pPr>
              <w:spacing w:after="0"/>
              <w:rPr>
                <w:sz w:val="7"/>
                <w:szCs w:val="7"/>
                <w:color w:val="auto"/>
              </w:rPr>
            </w:pPr>
          </w:p>
        </w:tc>
        <w:tc>
          <w:tcPr>
            <w:tcW w:w="2060" w:type="dxa"/>
            <w:vAlign w:val="bottom"/>
            <w:tcBorders>
              <w:right w:val="single" w:sz="8" w:color="012E6C"/>
            </w:tcBorders>
            <w:vMerge w:val="restart"/>
          </w:tcPr>
          <w:p>
            <w:pPr>
              <w:ind w:left="100"/>
              <w:spacing w:after="0"/>
              <w:rPr>
                <w:sz w:val="20"/>
                <w:szCs w:val="20"/>
                <w:color w:val="auto"/>
              </w:rPr>
            </w:pPr>
            <w:r>
              <w:rPr>
                <w:rFonts w:ascii="Calibri" w:cs="Calibri" w:eastAsia="Calibri" w:hAnsi="Calibri"/>
                <w:sz w:val="14"/>
                <w:szCs w:val="14"/>
                <w:color w:val="auto"/>
              </w:rPr>
              <w:t>NQSSP/NCAP: Lump sum or</w:t>
            </w:r>
          </w:p>
        </w:tc>
        <w:tc>
          <w:tcPr>
            <w:tcW w:w="0" w:type="dxa"/>
            <w:vAlign w:val="bottom"/>
          </w:tcPr>
          <w:p>
            <w:pPr>
              <w:spacing w:after="0"/>
              <w:rPr>
                <w:sz w:val="1"/>
                <w:szCs w:val="1"/>
                <w:color w:val="auto"/>
              </w:rPr>
            </w:pPr>
          </w:p>
        </w:tc>
      </w:tr>
      <w:tr>
        <w:trPr>
          <w:trHeight w:val="126"/>
        </w:trPr>
        <w:tc>
          <w:tcPr>
            <w:tcW w:w="1060" w:type="dxa"/>
            <w:vAlign w:val="bottom"/>
            <w:tcBorders>
              <w:left w:val="single" w:sz="8" w:color="012E6C"/>
              <w:right w:val="single" w:sz="8" w:color="012E6C"/>
            </w:tcBorders>
            <w:vMerge w:val="continue"/>
          </w:tcPr>
          <w:p>
            <w:pPr>
              <w:spacing w:after="0"/>
              <w:rPr>
                <w:sz w:val="10"/>
                <w:szCs w:val="10"/>
                <w:color w:val="auto"/>
              </w:rPr>
            </w:pPr>
          </w:p>
        </w:tc>
        <w:tc>
          <w:tcPr>
            <w:tcW w:w="1920" w:type="dxa"/>
            <w:vAlign w:val="bottom"/>
            <w:tcBorders>
              <w:right w:val="single" w:sz="8" w:color="012E6C"/>
            </w:tcBorders>
          </w:tcPr>
          <w:p>
            <w:pPr>
              <w:spacing w:after="0"/>
              <w:rPr>
                <w:sz w:val="10"/>
                <w:szCs w:val="10"/>
                <w:color w:val="auto"/>
              </w:rPr>
            </w:pPr>
          </w:p>
        </w:tc>
        <w:tc>
          <w:tcPr>
            <w:tcW w:w="1860" w:type="dxa"/>
            <w:vAlign w:val="bottom"/>
            <w:tcBorders>
              <w:right w:val="single" w:sz="8" w:color="012E6C"/>
            </w:tcBorders>
          </w:tcPr>
          <w:p>
            <w:pPr>
              <w:spacing w:after="0"/>
              <w:rPr>
                <w:sz w:val="10"/>
                <w:szCs w:val="10"/>
                <w:color w:val="auto"/>
              </w:rPr>
            </w:pPr>
          </w:p>
        </w:tc>
        <w:tc>
          <w:tcPr>
            <w:tcW w:w="2320" w:type="dxa"/>
            <w:vAlign w:val="bottom"/>
            <w:tcBorders>
              <w:right w:val="single" w:sz="8" w:color="012E6C"/>
            </w:tcBorders>
            <w:vMerge w:val="continue"/>
          </w:tcPr>
          <w:p>
            <w:pPr>
              <w:spacing w:after="0"/>
              <w:rPr>
                <w:sz w:val="10"/>
                <w:szCs w:val="10"/>
                <w:color w:val="auto"/>
              </w:rPr>
            </w:pPr>
          </w:p>
        </w:tc>
        <w:tc>
          <w:tcPr>
            <w:tcW w:w="2040" w:type="dxa"/>
            <w:vAlign w:val="bottom"/>
            <w:tcBorders>
              <w:right w:val="single" w:sz="8" w:color="012E6C"/>
            </w:tcBorders>
          </w:tcPr>
          <w:p>
            <w:pPr>
              <w:spacing w:after="0"/>
              <w:rPr>
                <w:sz w:val="10"/>
                <w:szCs w:val="10"/>
                <w:color w:val="auto"/>
              </w:rPr>
            </w:pPr>
          </w:p>
        </w:tc>
        <w:tc>
          <w:tcPr>
            <w:tcW w:w="2060" w:type="dxa"/>
            <w:vAlign w:val="bottom"/>
            <w:tcBorders>
              <w:right w:val="single" w:sz="8" w:color="012E6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060" w:type="dxa"/>
            <w:vAlign w:val="bottom"/>
            <w:tcBorders>
              <w:left w:val="single" w:sz="8" w:color="012E6C"/>
              <w:right w:val="single" w:sz="8" w:color="012E6C"/>
            </w:tcBorders>
          </w:tcPr>
          <w:p>
            <w:pPr>
              <w:spacing w:after="0"/>
              <w:rPr>
                <w:sz w:val="14"/>
                <w:szCs w:val="14"/>
                <w:color w:val="auto"/>
              </w:rPr>
            </w:pPr>
          </w:p>
        </w:tc>
        <w:tc>
          <w:tcPr>
            <w:tcW w:w="1920" w:type="dxa"/>
            <w:vAlign w:val="bottom"/>
            <w:tcBorders>
              <w:right w:val="single" w:sz="8" w:color="012E6C"/>
            </w:tcBorders>
          </w:tcPr>
          <w:p>
            <w:pPr>
              <w:spacing w:after="0"/>
              <w:rPr>
                <w:sz w:val="14"/>
                <w:szCs w:val="14"/>
                <w:color w:val="auto"/>
              </w:rPr>
            </w:pPr>
          </w:p>
        </w:tc>
        <w:tc>
          <w:tcPr>
            <w:tcW w:w="1860" w:type="dxa"/>
            <w:vAlign w:val="bottom"/>
            <w:tcBorders>
              <w:right w:val="single" w:sz="8" w:color="012E6C"/>
            </w:tcBorders>
          </w:tcPr>
          <w:p>
            <w:pPr>
              <w:spacing w:after="0"/>
              <w:rPr>
                <w:sz w:val="14"/>
                <w:szCs w:val="14"/>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installment payments in</w:t>
            </w:r>
          </w:p>
        </w:tc>
        <w:tc>
          <w:tcPr>
            <w:tcW w:w="2040" w:type="dxa"/>
            <w:vAlign w:val="bottom"/>
            <w:tcBorders>
              <w:right w:val="single" w:sz="8" w:color="012E6C"/>
            </w:tcBorders>
          </w:tcPr>
          <w:p>
            <w:pPr>
              <w:spacing w:after="0"/>
              <w:rPr>
                <w:sz w:val="14"/>
                <w:szCs w:val="14"/>
                <w:color w:val="auto"/>
              </w:rPr>
            </w:pPr>
          </w:p>
        </w:tc>
        <w:tc>
          <w:tcPr>
            <w:tcW w:w="206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installment payments in</w:t>
            </w:r>
          </w:p>
        </w:tc>
        <w:tc>
          <w:tcPr>
            <w:tcW w:w="0" w:type="dxa"/>
            <w:vAlign w:val="bottom"/>
          </w:tcPr>
          <w:p>
            <w:pPr>
              <w:spacing w:after="0"/>
              <w:rPr>
                <w:sz w:val="1"/>
                <w:szCs w:val="1"/>
                <w:color w:val="auto"/>
              </w:rPr>
            </w:pPr>
          </w:p>
        </w:tc>
      </w:tr>
      <w:tr>
        <w:trPr>
          <w:trHeight w:val="189"/>
        </w:trPr>
        <w:tc>
          <w:tcPr>
            <w:tcW w:w="1060" w:type="dxa"/>
            <w:vAlign w:val="bottom"/>
            <w:tcBorders>
              <w:left w:val="single" w:sz="8" w:color="012E6C"/>
              <w:right w:val="single" w:sz="8" w:color="012E6C"/>
            </w:tcBorders>
          </w:tcPr>
          <w:p>
            <w:pPr>
              <w:spacing w:after="0"/>
              <w:rPr>
                <w:sz w:val="16"/>
                <w:szCs w:val="16"/>
                <w:color w:val="auto"/>
              </w:rPr>
            </w:pPr>
          </w:p>
        </w:tc>
        <w:tc>
          <w:tcPr>
            <w:tcW w:w="1920" w:type="dxa"/>
            <w:vAlign w:val="bottom"/>
            <w:tcBorders>
              <w:right w:val="single" w:sz="8" w:color="012E6C"/>
            </w:tcBorders>
          </w:tcPr>
          <w:p>
            <w:pPr>
              <w:spacing w:after="0"/>
              <w:rPr>
                <w:sz w:val="16"/>
                <w:szCs w:val="16"/>
                <w:color w:val="auto"/>
              </w:rPr>
            </w:pPr>
          </w:p>
        </w:tc>
        <w:tc>
          <w:tcPr>
            <w:tcW w:w="1860" w:type="dxa"/>
            <w:vAlign w:val="bottom"/>
            <w:tcBorders>
              <w:right w:val="single" w:sz="8" w:color="012E6C"/>
            </w:tcBorders>
          </w:tcPr>
          <w:p>
            <w:pPr>
              <w:spacing w:after="0"/>
              <w:rPr>
                <w:sz w:val="16"/>
                <w:szCs w:val="16"/>
                <w:color w:val="auto"/>
              </w:rPr>
            </w:pPr>
          </w:p>
        </w:tc>
        <w:tc>
          <w:tcPr>
            <w:tcW w:w="232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accordance with NEO electons.</w:t>
            </w:r>
          </w:p>
        </w:tc>
        <w:tc>
          <w:tcPr>
            <w:tcW w:w="2040" w:type="dxa"/>
            <w:vAlign w:val="bottom"/>
            <w:tcBorders>
              <w:right w:val="single" w:sz="8" w:color="012E6C"/>
            </w:tcBorders>
          </w:tcPr>
          <w:p>
            <w:pPr>
              <w:spacing w:after="0"/>
              <w:rPr>
                <w:sz w:val="16"/>
                <w:szCs w:val="16"/>
                <w:color w:val="auto"/>
              </w:rPr>
            </w:pPr>
          </w:p>
        </w:tc>
        <w:tc>
          <w:tcPr>
            <w:tcW w:w="2060" w:type="dxa"/>
            <w:vAlign w:val="bottom"/>
            <w:tcBorders>
              <w:right w:val="single" w:sz="8" w:color="012E6C"/>
            </w:tcBorders>
          </w:tcPr>
          <w:p>
            <w:pPr>
              <w:ind w:left="100"/>
              <w:spacing w:after="0"/>
              <w:rPr>
                <w:sz w:val="20"/>
                <w:szCs w:val="20"/>
                <w:color w:val="auto"/>
              </w:rPr>
            </w:pPr>
            <w:r>
              <w:rPr>
                <w:rFonts w:ascii="Calibri" w:cs="Calibri" w:eastAsia="Calibri" w:hAnsi="Calibri"/>
                <w:sz w:val="14"/>
                <w:szCs w:val="14"/>
                <w:color w:val="auto"/>
              </w:rPr>
              <w:t>accordance with NEO electons.</w:t>
            </w:r>
          </w:p>
        </w:tc>
        <w:tc>
          <w:tcPr>
            <w:tcW w:w="0" w:type="dxa"/>
            <w:vAlign w:val="bottom"/>
          </w:tcPr>
          <w:p>
            <w:pPr>
              <w:spacing w:after="0"/>
              <w:rPr>
                <w:sz w:val="1"/>
                <w:szCs w:val="1"/>
                <w:color w:val="auto"/>
              </w:rPr>
            </w:pPr>
          </w:p>
        </w:tc>
      </w:tr>
      <w:tr>
        <w:trPr>
          <w:trHeight w:val="114"/>
        </w:trPr>
        <w:tc>
          <w:tcPr>
            <w:tcW w:w="1060" w:type="dxa"/>
            <w:vAlign w:val="bottom"/>
            <w:tcBorders>
              <w:left w:val="single" w:sz="8" w:color="012E6C"/>
              <w:bottom w:val="single" w:sz="8" w:color="012E6C"/>
              <w:right w:val="single" w:sz="8" w:color="012E6C"/>
            </w:tcBorders>
          </w:tcPr>
          <w:p>
            <w:pPr>
              <w:spacing w:after="0"/>
              <w:rPr>
                <w:sz w:val="9"/>
                <w:szCs w:val="9"/>
                <w:color w:val="auto"/>
              </w:rPr>
            </w:pPr>
          </w:p>
        </w:tc>
        <w:tc>
          <w:tcPr>
            <w:tcW w:w="1920" w:type="dxa"/>
            <w:vAlign w:val="bottom"/>
            <w:tcBorders>
              <w:bottom w:val="single" w:sz="8" w:color="012E6C"/>
              <w:right w:val="single" w:sz="8" w:color="012E6C"/>
            </w:tcBorders>
          </w:tcPr>
          <w:p>
            <w:pPr>
              <w:spacing w:after="0"/>
              <w:rPr>
                <w:sz w:val="9"/>
                <w:szCs w:val="9"/>
                <w:color w:val="auto"/>
              </w:rPr>
            </w:pPr>
          </w:p>
        </w:tc>
        <w:tc>
          <w:tcPr>
            <w:tcW w:w="1860" w:type="dxa"/>
            <w:vAlign w:val="bottom"/>
            <w:tcBorders>
              <w:bottom w:val="single" w:sz="8" w:color="012E6C"/>
              <w:right w:val="single" w:sz="8" w:color="012E6C"/>
            </w:tcBorders>
          </w:tcPr>
          <w:p>
            <w:pPr>
              <w:spacing w:after="0"/>
              <w:rPr>
                <w:sz w:val="9"/>
                <w:szCs w:val="9"/>
                <w:color w:val="auto"/>
              </w:rPr>
            </w:pPr>
          </w:p>
        </w:tc>
        <w:tc>
          <w:tcPr>
            <w:tcW w:w="2320" w:type="dxa"/>
            <w:vAlign w:val="bottom"/>
            <w:tcBorders>
              <w:bottom w:val="single" w:sz="8" w:color="012E6C"/>
              <w:right w:val="single" w:sz="8" w:color="012E6C"/>
            </w:tcBorders>
          </w:tcPr>
          <w:p>
            <w:pPr>
              <w:spacing w:after="0"/>
              <w:rPr>
                <w:sz w:val="9"/>
                <w:szCs w:val="9"/>
                <w:color w:val="auto"/>
              </w:rPr>
            </w:pPr>
          </w:p>
        </w:tc>
        <w:tc>
          <w:tcPr>
            <w:tcW w:w="2040" w:type="dxa"/>
            <w:vAlign w:val="bottom"/>
            <w:tcBorders>
              <w:bottom w:val="single" w:sz="8" w:color="012E6C"/>
              <w:right w:val="single" w:sz="8" w:color="012E6C"/>
            </w:tcBorders>
          </w:tcPr>
          <w:p>
            <w:pPr>
              <w:spacing w:after="0"/>
              <w:rPr>
                <w:sz w:val="9"/>
                <w:szCs w:val="9"/>
                <w:color w:val="auto"/>
              </w:rPr>
            </w:pPr>
          </w:p>
        </w:tc>
        <w:tc>
          <w:tcPr>
            <w:tcW w:w="2060" w:type="dxa"/>
            <w:vAlign w:val="bottom"/>
            <w:tcBorders>
              <w:bottom w:val="single" w:sz="8" w:color="012E6C"/>
              <w:right w:val="single" w:sz="8" w:color="012E6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260" w:right="240" w:hanging="252"/>
        <w:spacing w:after="0" w:line="223" w:lineRule="auto"/>
        <w:tabs>
          <w:tab w:leader="none" w:pos="256" w:val="left"/>
        </w:tabs>
        <w:numPr>
          <w:ilvl w:val="0"/>
          <w:numId w:val="95"/>
        </w:numPr>
        <w:rPr>
          <w:rFonts w:ascii="Calibri" w:cs="Calibri" w:eastAsia="Calibri" w:hAnsi="Calibri"/>
          <w:sz w:val="19"/>
          <w:szCs w:val="19"/>
          <w:color w:val="auto"/>
          <w:vertAlign w:val="superscript"/>
        </w:rPr>
      </w:pPr>
      <w:r>
        <w:rPr>
          <w:rFonts w:ascii="Calibri" w:cs="Calibri" w:eastAsia="Calibri" w:hAnsi="Calibri"/>
          <w:sz w:val="14"/>
          <w:szCs w:val="14"/>
          <w:color w:val="auto"/>
        </w:rPr>
        <w:t>Divestture is defned as a transacton which results in the transfer of control of a business operaton to any person, corporaton, associaton, partnership, joint venture, or other business entty of which less than 50 percent of the votng stock or other equity interests (in the case of enttes other than corporatons) is owned or controlled directly or indirectly by us, one or more of our subsidiaries, or by a combinaton thereof following the transacton.</w:t>
      </w:r>
    </w:p>
    <w:p>
      <w:pPr>
        <w:spacing w:after="0" w:line="12" w:lineRule="exact"/>
        <w:rPr>
          <w:rFonts w:ascii="Calibri" w:cs="Calibri" w:eastAsia="Calibri" w:hAnsi="Calibri"/>
          <w:sz w:val="19"/>
          <w:szCs w:val="19"/>
          <w:color w:val="auto"/>
          <w:vertAlign w:val="superscript"/>
        </w:rPr>
      </w:pPr>
    </w:p>
    <w:p>
      <w:pPr>
        <w:ind w:left="240" w:hanging="232"/>
        <w:spacing w:after="0"/>
        <w:tabs>
          <w:tab w:leader="none" w:pos="240" w:val="left"/>
        </w:tabs>
        <w:numPr>
          <w:ilvl w:val="0"/>
          <w:numId w:val="95"/>
        </w:numPr>
        <w:rPr>
          <w:rFonts w:ascii="Calibri" w:cs="Calibri" w:eastAsia="Calibri" w:hAnsi="Calibri"/>
          <w:sz w:val="19"/>
          <w:szCs w:val="19"/>
          <w:color w:val="auto"/>
          <w:vertAlign w:val="superscript"/>
        </w:rPr>
      </w:pPr>
      <w:r>
        <w:rPr>
          <w:rFonts w:ascii="Calibri" w:cs="Calibri" w:eastAsia="Calibri" w:hAnsi="Calibri"/>
          <w:sz w:val="14"/>
          <w:szCs w:val="14"/>
          <w:color w:val="auto"/>
        </w:rPr>
        <w:t>See “Compensaton Discussion and Analysis” for discussion of annual incentve payment calculaton.</w:t>
      </w:r>
    </w:p>
    <w:p>
      <w:pPr>
        <w:spacing w:after="0" w:line="73" w:lineRule="exact"/>
        <w:rPr>
          <w:rFonts w:ascii="Calibri" w:cs="Calibri" w:eastAsia="Calibri" w:hAnsi="Calibri"/>
          <w:sz w:val="19"/>
          <w:szCs w:val="19"/>
          <w:color w:val="auto"/>
          <w:vertAlign w:val="superscript"/>
        </w:rPr>
      </w:pPr>
    </w:p>
    <w:p>
      <w:pPr>
        <w:ind w:left="260" w:right="240" w:hanging="252"/>
        <w:spacing w:after="0" w:line="237" w:lineRule="auto"/>
        <w:tabs>
          <w:tab w:leader="none" w:pos="256" w:val="left"/>
        </w:tabs>
        <w:numPr>
          <w:ilvl w:val="0"/>
          <w:numId w:val="95"/>
        </w:numPr>
        <w:rPr>
          <w:rFonts w:ascii="Calibri" w:cs="Calibri" w:eastAsia="Calibri" w:hAnsi="Calibri"/>
          <w:sz w:val="19"/>
          <w:szCs w:val="19"/>
          <w:color w:val="auto"/>
          <w:vertAlign w:val="superscript"/>
        </w:rPr>
      </w:pPr>
      <w:r>
        <w:rPr>
          <w:rFonts w:ascii="Calibri" w:cs="Calibri" w:eastAsia="Calibri" w:hAnsi="Calibri"/>
          <w:sz w:val="14"/>
          <w:szCs w:val="14"/>
          <w:color w:val="auto"/>
        </w:rPr>
        <w:t>Mr. Malave’s February 23, 2022 equity replacement award and Mr. Mollard’s special one-tme RSU award, which vested on February 23, 2023 and December 15, 2022, respectvely, were subject to the same provisions on terminaton as the other RSUs except in the event of retrement or layof. Under the terms of the awards, Mr. Malave and Mr. Mollard would have forfeited all unvested RSUs upon retrement or resignaton and, in the event of a layof afer August 23, 2022 and before the applicable vestng date, all remaining unvested RSUs would have contnued to vest.</w:t>
      </w:r>
    </w:p>
    <w:p>
      <w:pPr>
        <w:spacing w:after="0" w:line="74" w:lineRule="exact"/>
        <w:rPr>
          <w:rFonts w:ascii="Calibri" w:cs="Calibri" w:eastAsia="Calibri" w:hAnsi="Calibri"/>
          <w:sz w:val="19"/>
          <w:szCs w:val="19"/>
          <w:color w:val="auto"/>
          <w:vertAlign w:val="superscript"/>
        </w:rPr>
      </w:pPr>
    </w:p>
    <w:p>
      <w:pPr>
        <w:ind w:left="260" w:right="20" w:hanging="252"/>
        <w:spacing w:after="0" w:line="243" w:lineRule="auto"/>
        <w:tabs>
          <w:tab w:leader="none" w:pos="256" w:val="left"/>
        </w:tabs>
        <w:numPr>
          <w:ilvl w:val="0"/>
          <w:numId w:val="95"/>
        </w:numPr>
        <w:rPr>
          <w:rFonts w:ascii="Calibri" w:cs="Calibri" w:eastAsia="Calibri" w:hAnsi="Calibri"/>
          <w:sz w:val="19"/>
          <w:szCs w:val="19"/>
          <w:color w:val="auto"/>
          <w:vertAlign w:val="superscript"/>
        </w:rPr>
      </w:pPr>
      <w:r>
        <w:rPr>
          <w:rFonts w:ascii="Calibri" w:cs="Calibri" w:eastAsia="Calibri" w:hAnsi="Calibri"/>
          <w:sz w:val="14"/>
          <w:szCs w:val="14"/>
          <w:color w:val="auto"/>
        </w:rPr>
        <w:t>See “Pension Benefts Table” for present value of accumulated beneft. Amounts paid under the Pension and Supplemental Pension use assumptons set forth in the plans and are diferent than the assumptons used to calculate the accrued beneft reported in the “Pension Benefts Table” or “Summary Compensaton Table” or for fnancial reportng; therefore actual payouts would be diferent from those disclosed in such tables. Payments under the Supplemental Pension would be payable to eligible NEOs in accordance with their individual electons and would not commence prior to age 55, except in the case of a change in control, in which case benefts would be paid in a lump sum payment shortly following the change in control regardless of age. All forms of payment, whether lump sum or annuites and regardless of the payment triggering event, would be calculated using the plan assumptons to be actuarially equivalent so that there is no incremental beneft associated with any of the events or payment forms.</w:t>
      </w:r>
    </w:p>
    <w:p>
      <w:pPr>
        <w:spacing w:after="0" w:line="12" w:lineRule="exact"/>
        <w:rPr>
          <w:rFonts w:ascii="Calibri" w:cs="Calibri" w:eastAsia="Calibri" w:hAnsi="Calibri"/>
          <w:sz w:val="19"/>
          <w:szCs w:val="19"/>
          <w:color w:val="auto"/>
          <w:vertAlign w:val="superscript"/>
        </w:rPr>
      </w:pPr>
    </w:p>
    <w:p>
      <w:pPr>
        <w:ind w:left="240" w:hanging="232"/>
        <w:spacing w:after="0"/>
        <w:tabs>
          <w:tab w:leader="none" w:pos="240" w:val="left"/>
        </w:tabs>
        <w:numPr>
          <w:ilvl w:val="0"/>
          <w:numId w:val="95"/>
        </w:numPr>
        <w:rPr>
          <w:rFonts w:ascii="Calibri" w:cs="Calibri" w:eastAsia="Calibri" w:hAnsi="Calibri"/>
          <w:sz w:val="19"/>
          <w:szCs w:val="19"/>
          <w:color w:val="auto"/>
          <w:vertAlign w:val="superscript"/>
        </w:rPr>
      </w:pPr>
      <w:r>
        <w:rPr>
          <w:rFonts w:ascii="Calibri" w:cs="Calibri" w:eastAsia="Calibri" w:hAnsi="Calibri"/>
          <w:sz w:val="14"/>
          <w:szCs w:val="14"/>
          <w:color w:val="auto"/>
        </w:rPr>
        <w:t>See “Aggregate Balance at Last FYE” column in “Nonqualifed Deferred Compensaton Table” for amounts payable.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1" w:right="319" w:bottom="1440" w:gutter="0" w:footer="0" w:header="0"/>
        </w:sectPr>
      </w:pPr>
    </w:p>
    <w:bookmarkStart w:id="75" w:name="page76"/>
    <w:bookmarkEnd w:id="75"/>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4" w:lineRule="exact"/>
        <w:rPr>
          <w:sz w:val="20"/>
          <w:szCs w:val="20"/>
          <w:color w:val="auto"/>
        </w:rPr>
      </w:pPr>
    </w:p>
    <w:p>
      <w:pPr>
        <w:ind w:right="60"/>
        <w:spacing w:after="0" w:line="257" w:lineRule="auto"/>
        <w:rPr>
          <w:sz w:val="20"/>
          <w:szCs w:val="20"/>
          <w:color w:val="auto"/>
        </w:rPr>
      </w:pPr>
      <w:r>
        <w:rPr>
          <w:rFonts w:ascii="Calibri" w:cs="Calibri" w:eastAsia="Calibri" w:hAnsi="Calibri"/>
          <w:sz w:val="17"/>
          <w:szCs w:val="17"/>
          <w:color w:val="auto"/>
        </w:rPr>
        <w:t>The following table quantfes the payments under our executve compensaton programs in RSU, LTIP and PSU awards and the Executve Severance Plan that would be made for each NEO (other than Mr. Greene and Mr. Mollard) assuming a terminaton event occurred on December 31, 2022. Payments under other plans do not change as a result of the terminaton event, and quantfcaton of those payments is found elsewhere in this Proxy Statement; benefts under plans available generally to salaried employees also are not included. The table shows amounts that would actually be paid on or shortly afer December 31, 2022 on account of the trigger event. Amounts that are contngent upon future performance, contnued vestng or already earned as of December 31, 2022 are described and quantfed in the footnotes following the table. Award agreements for the NEOs contain clawback provisions and post-employment restrictve covenants. To receive a supplemental severance beneft or favorable vestng of RSU, LTIP and PSU awards on layof, an executve must execute a release of claims and, for the supplemental severance beneft, an agreement containing two-year post-employment non-compete and non-solicitaton covenants.</w:t>
      </w:r>
    </w:p>
    <w:p>
      <w:pPr>
        <w:spacing w:after="0" w:line="310" w:lineRule="exact"/>
        <w:rPr>
          <w:sz w:val="20"/>
          <w:szCs w:val="20"/>
          <w:color w:val="auto"/>
        </w:rPr>
      </w:pPr>
    </w:p>
    <w:p>
      <w:pPr>
        <w:spacing w:after="0"/>
        <w:rPr>
          <w:sz w:val="20"/>
          <w:szCs w:val="20"/>
          <w:color w:val="auto"/>
        </w:rPr>
      </w:pPr>
      <w:r>
        <w:rPr>
          <w:rFonts w:ascii="Arial" w:cs="Arial" w:eastAsia="Arial" w:hAnsi="Arial"/>
          <w:sz w:val="29"/>
          <w:szCs w:val="29"/>
          <w:color w:val="003478"/>
        </w:rPr>
        <w:t>Potential Payments Upon Termination or Change in Control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80" w:type="dxa"/>
            <w:vAlign w:val="bottom"/>
            <w:shd w:val="clear" w:color="auto" w:fill="E5E7EF"/>
          </w:tcPr>
          <w:p>
            <w:pPr>
              <w:spacing w:after="0"/>
              <w:rPr>
                <w:sz w:val="13"/>
                <w:szCs w:val="13"/>
                <w:color w:val="auto"/>
              </w:rPr>
            </w:pPr>
          </w:p>
        </w:tc>
        <w:tc>
          <w:tcPr>
            <w:tcW w:w="1800" w:type="dxa"/>
            <w:vAlign w:val="bottom"/>
            <w:shd w:val="clear" w:color="auto" w:fill="E5E7EF"/>
          </w:tcPr>
          <w:p>
            <w:pPr>
              <w:spacing w:after="0"/>
              <w:rPr>
                <w:sz w:val="13"/>
                <w:szCs w:val="13"/>
                <w:color w:val="auto"/>
              </w:rPr>
            </w:pPr>
          </w:p>
        </w:tc>
        <w:tc>
          <w:tcPr>
            <w:tcW w:w="1300" w:type="dxa"/>
            <w:vAlign w:val="bottom"/>
            <w:shd w:val="clear" w:color="auto" w:fill="E5E7EF"/>
          </w:tcPr>
          <w:p>
            <w:pPr>
              <w:spacing w:after="0"/>
              <w:rPr>
                <w:sz w:val="13"/>
                <w:szCs w:val="13"/>
                <w:color w:val="auto"/>
              </w:rPr>
            </w:pPr>
          </w:p>
        </w:tc>
        <w:tc>
          <w:tcPr>
            <w:tcW w:w="1120" w:type="dxa"/>
            <w:vAlign w:val="bottom"/>
            <w:shd w:val="clear" w:color="auto" w:fill="E5E7EF"/>
          </w:tcPr>
          <w:p>
            <w:pPr>
              <w:jc w:val="right"/>
              <w:ind w:right="129"/>
              <w:spacing w:after="0"/>
              <w:rPr>
                <w:sz w:val="20"/>
                <w:szCs w:val="20"/>
                <w:color w:val="auto"/>
              </w:rPr>
            </w:pPr>
            <w:r>
              <w:rPr>
                <w:rFonts w:ascii="Arial" w:cs="Arial" w:eastAsia="Arial" w:hAnsi="Arial"/>
                <w:sz w:val="13"/>
                <w:szCs w:val="13"/>
                <w:color w:val="auto"/>
              </w:rPr>
              <w:t>Change</w:t>
            </w:r>
          </w:p>
        </w:tc>
        <w:tc>
          <w:tcPr>
            <w:tcW w:w="1120" w:type="dxa"/>
            <w:vAlign w:val="bottom"/>
            <w:shd w:val="clear" w:color="auto" w:fill="E5E7EF"/>
          </w:tcPr>
          <w:p>
            <w:pPr>
              <w:jc w:val="right"/>
              <w:ind w:right="129"/>
              <w:spacing w:after="0"/>
              <w:rPr>
                <w:sz w:val="20"/>
                <w:szCs w:val="20"/>
                <w:color w:val="auto"/>
              </w:rPr>
            </w:pPr>
            <w:r>
              <w:rPr>
                <w:rFonts w:ascii="Arial" w:cs="Arial" w:eastAsia="Arial" w:hAnsi="Arial"/>
                <w:sz w:val="13"/>
                <w:szCs w:val="13"/>
                <w:color w:val="auto"/>
              </w:rPr>
              <w:t>Death/</w:t>
            </w:r>
          </w:p>
        </w:tc>
        <w:tc>
          <w:tcPr>
            <w:tcW w:w="1120" w:type="dxa"/>
            <w:vAlign w:val="bottom"/>
            <w:shd w:val="clear" w:color="auto" w:fill="E5E7EF"/>
          </w:tcPr>
          <w:p>
            <w:pPr>
              <w:spacing w:after="0"/>
              <w:rPr>
                <w:sz w:val="13"/>
                <w:szCs w:val="13"/>
                <w:color w:val="auto"/>
              </w:rPr>
            </w:pPr>
          </w:p>
        </w:tc>
        <w:tc>
          <w:tcPr>
            <w:tcW w:w="1060" w:type="dxa"/>
            <w:vAlign w:val="bottom"/>
            <w:shd w:val="clear" w:color="auto" w:fill="E5E7EF"/>
          </w:tcPr>
          <w:p>
            <w:pPr>
              <w:spacing w:after="0"/>
              <w:rPr>
                <w:sz w:val="13"/>
                <w:szCs w:val="13"/>
                <w:color w:val="auto"/>
              </w:rPr>
            </w:pPr>
          </w:p>
        </w:tc>
        <w:tc>
          <w:tcPr>
            <w:tcW w:w="9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Termination/</w:t>
            </w:r>
          </w:p>
        </w:tc>
      </w:tr>
      <w:tr>
        <w:trPr>
          <w:trHeight w:val="193"/>
        </w:trPr>
        <w:tc>
          <w:tcPr>
            <w:tcW w:w="2780" w:type="dxa"/>
            <w:vAlign w:val="bottom"/>
            <w:shd w:val="clear" w:color="auto" w:fill="E5E7EF"/>
          </w:tcPr>
          <w:p>
            <w:pPr>
              <w:spacing w:after="0"/>
              <w:rPr>
                <w:sz w:val="16"/>
                <w:szCs w:val="16"/>
                <w:color w:val="auto"/>
              </w:rPr>
            </w:pPr>
          </w:p>
        </w:tc>
        <w:tc>
          <w:tcPr>
            <w:tcW w:w="1800" w:type="dxa"/>
            <w:vAlign w:val="bottom"/>
            <w:shd w:val="clear" w:color="auto" w:fill="E5E7EF"/>
          </w:tcPr>
          <w:p>
            <w:pPr>
              <w:spacing w:after="0"/>
              <w:rPr>
                <w:sz w:val="16"/>
                <w:szCs w:val="16"/>
                <w:color w:val="auto"/>
              </w:rPr>
            </w:pPr>
          </w:p>
        </w:tc>
        <w:tc>
          <w:tcPr>
            <w:tcW w:w="1300" w:type="dxa"/>
            <w:vAlign w:val="bottom"/>
            <w:shd w:val="clear" w:color="auto" w:fill="E5E7EF"/>
          </w:tcPr>
          <w:p>
            <w:pPr>
              <w:ind w:left="480"/>
              <w:spacing w:after="0"/>
              <w:rPr>
                <w:sz w:val="20"/>
                <w:szCs w:val="20"/>
                <w:color w:val="auto"/>
              </w:rPr>
            </w:pPr>
            <w:r>
              <w:rPr>
                <w:rFonts w:ascii="Arial" w:cs="Arial" w:eastAsia="Arial" w:hAnsi="Arial"/>
                <w:sz w:val="13"/>
                <w:szCs w:val="13"/>
                <w:color w:val="auto"/>
              </w:rPr>
              <w:t>Retirement</w:t>
            </w:r>
          </w:p>
        </w:tc>
        <w:tc>
          <w:tcPr>
            <w:tcW w:w="1120" w:type="dxa"/>
            <w:vAlign w:val="bottom"/>
            <w:shd w:val="clear" w:color="auto" w:fill="E5E7EF"/>
          </w:tcPr>
          <w:p>
            <w:pPr>
              <w:jc w:val="right"/>
              <w:ind w:right="129"/>
              <w:spacing w:after="0"/>
              <w:rPr>
                <w:sz w:val="20"/>
                <w:szCs w:val="20"/>
                <w:color w:val="auto"/>
              </w:rPr>
            </w:pPr>
            <w:r>
              <w:rPr>
                <w:rFonts w:ascii="Arial" w:cs="Arial" w:eastAsia="Arial" w:hAnsi="Arial"/>
                <w:sz w:val="13"/>
                <w:szCs w:val="13"/>
                <w:color w:val="auto"/>
              </w:rPr>
              <w:t>In Control</w:t>
            </w:r>
          </w:p>
        </w:tc>
        <w:tc>
          <w:tcPr>
            <w:tcW w:w="1120" w:type="dxa"/>
            <w:vAlign w:val="bottom"/>
            <w:shd w:val="clear" w:color="auto" w:fill="E5E7EF"/>
          </w:tcPr>
          <w:p>
            <w:pPr>
              <w:jc w:val="right"/>
              <w:ind w:right="129"/>
              <w:spacing w:after="0"/>
              <w:rPr>
                <w:sz w:val="20"/>
                <w:szCs w:val="20"/>
                <w:color w:val="auto"/>
              </w:rPr>
            </w:pPr>
            <w:r>
              <w:rPr>
                <w:rFonts w:ascii="Arial" w:cs="Arial" w:eastAsia="Arial" w:hAnsi="Arial"/>
                <w:sz w:val="13"/>
                <w:szCs w:val="13"/>
                <w:color w:val="auto"/>
              </w:rPr>
              <w:t>Disability</w:t>
            </w:r>
          </w:p>
        </w:tc>
        <w:tc>
          <w:tcPr>
            <w:tcW w:w="1120" w:type="dxa"/>
            <w:vAlign w:val="bottom"/>
            <w:shd w:val="clear" w:color="auto" w:fill="E5E7EF"/>
          </w:tcPr>
          <w:p>
            <w:pPr>
              <w:jc w:val="right"/>
              <w:ind w:right="149"/>
              <w:spacing w:after="0"/>
              <w:rPr>
                <w:sz w:val="20"/>
                <w:szCs w:val="20"/>
                <w:color w:val="auto"/>
              </w:rPr>
            </w:pPr>
            <w:r>
              <w:rPr>
                <w:rFonts w:ascii="Arial" w:cs="Arial" w:eastAsia="Arial" w:hAnsi="Arial"/>
                <w:sz w:val="13"/>
                <w:szCs w:val="13"/>
                <w:color w:val="auto"/>
              </w:rPr>
              <w:t>Layoff</w:t>
            </w:r>
          </w:p>
        </w:tc>
        <w:tc>
          <w:tcPr>
            <w:tcW w:w="106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Divestiture</w:t>
            </w:r>
          </w:p>
        </w:tc>
        <w:tc>
          <w:tcPr>
            <w:tcW w:w="9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Resignation</w:t>
            </w:r>
            <w:r>
              <w:rPr>
                <w:rFonts w:ascii="Arial" w:cs="Arial" w:eastAsia="Arial" w:hAnsi="Arial"/>
                <w:sz w:val="16"/>
                <w:szCs w:val="16"/>
                <w:color w:val="auto"/>
                <w:vertAlign w:val="superscript"/>
              </w:rPr>
              <w:t>(1)</w:t>
            </w:r>
          </w:p>
        </w:tc>
      </w:tr>
      <w:tr>
        <w:trPr>
          <w:trHeight w:val="208"/>
        </w:trPr>
        <w:tc>
          <w:tcPr>
            <w:tcW w:w="27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800" w:type="dxa"/>
            <w:vAlign w:val="bottom"/>
            <w:tcBorders>
              <w:bottom w:val="single" w:sz="8" w:color="E5E7EF"/>
            </w:tcBorders>
            <w:shd w:val="clear" w:color="auto" w:fill="E5E7EF"/>
          </w:tcPr>
          <w:p>
            <w:pPr>
              <w:spacing w:after="0"/>
              <w:rPr>
                <w:sz w:val="17"/>
                <w:szCs w:val="17"/>
                <w:color w:val="auto"/>
              </w:rPr>
            </w:pPr>
          </w:p>
        </w:tc>
        <w:tc>
          <w:tcPr>
            <w:tcW w:w="1300" w:type="dxa"/>
            <w:vAlign w:val="bottom"/>
            <w:tcBorders>
              <w:bottom w:val="single" w:sz="8" w:color="E5E7EF"/>
            </w:tcBorders>
            <w:shd w:val="clear" w:color="auto" w:fill="E5E7EF"/>
          </w:tcPr>
          <w:p>
            <w:pPr>
              <w:ind w:left="94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ind w:right="129"/>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ind w:right="129"/>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ind w:right="149"/>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E5E7EF"/>
            </w:tcBorders>
            <w:shd w:val="clear" w:color="auto" w:fill="E5E7EF"/>
          </w:tcPr>
          <w:p>
            <w:pPr>
              <w:jc w:val="right"/>
              <w:ind w:right="89"/>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5E7EF"/>
            </w:tcBorders>
            <w:shd w:val="clear" w:color="auto" w:fill="E5E7EF"/>
          </w:tcPr>
          <w:p>
            <w:pPr>
              <w:ind w:left="760"/>
              <w:spacing w:after="0"/>
              <w:rPr>
                <w:sz w:val="20"/>
                <w:szCs w:val="20"/>
                <w:color w:val="auto"/>
              </w:rPr>
            </w:pPr>
            <w:r>
              <w:rPr>
                <w:rFonts w:ascii="Arial" w:cs="Arial" w:eastAsia="Arial" w:hAnsi="Arial"/>
                <w:sz w:val="13"/>
                <w:szCs w:val="13"/>
                <w:color w:val="auto"/>
              </w:rPr>
              <w:t>($)</w:t>
            </w:r>
          </w:p>
        </w:tc>
      </w:tr>
      <w:tr>
        <w:trPr>
          <w:trHeight w:val="196"/>
        </w:trPr>
        <w:tc>
          <w:tcPr>
            <w:tcW w:w="2780" w:type="dxa"/>
            <w:vAlign w:val="bottom"/>
            <w:tcBorders>
              <w:top w:val="single" w:sz="8" w:color="003478"/>
            </w:tcBorders>
          </w:tcPr>
          <w:p>
            <w:pPr>
              <w:ind w:left="20"/>
              <w:spacing w:after="0"/>
              <w:rPr>
                <w:sz w:val="20"/>
                <w:szCs w:val="20"/>
                <w:color w:val="auto"/>
              </w:rPr>
            </w:pPr>
            <w:r>
              <w:rPr>
                <w:rFonts w:ascii="Calibri" w:cs="Calibri" w:eastAsia="Calibri" w:hAnsi="Calibri"/>
                <w:sz w:val="14"/>
                <w:szCs w:val="14"/>
                <w:b w:val="1"/>
                <w:bCs w:val="1"/>
                <w:color w:val="003478"/>
              </w:rPr>
              <w:t>James D. Taiclet</w:t>
            </w:r>
          </w:p>
        </w:tc>
        <w:tc>
          <w:tcPr>
            <w:tcW w:w="1800" w:type="dxa"/>
            <w:vAlign w:val="bottom"/>
            <w:tcBorders>
              <w:top w:val="single" w:sz="8" w:color="003478"/>
            </w:tcBorders>
          </w:tcPr>
          <w:p>
            <w:pPr>
              <w:ind w:left="20"/>
              <w:spacing w:after="0" w:line="196" w:lineRule="exact"/>
              <w:rPr>
                <w:sz w:val="20"/>
                <w:szCs w:val="20"/>
                <w:color w:val="auto"/>
              </w:rPr>
            </w:pPr>
            <w:r>
              <w:rPr>
                <w:rFonts w:ascii="Calibri" w:cs="Calibri" w:eastAsia="Calibri" w:hAnsi="Calibri"/>
                <w:sz w:val="14"/>
                <w:szCs w:val="14"/>
                <w:color w:val="auto"/>
              </w:rPr>
              <w:t>LTIP</w:t>
            </w:r>
            <w:r>
              <w:rPr>
                <w:rFonts w:ascii="Calibri" w:cs="Calibri" w:eastAsia="Calibri" w:hAnsi="Calibri"/>
                <w:sz w:val="18"/>
                <w:szCs w:val="18"/>
                <w:color w:val="auto"/>
                <w:vertAlign w:val="superscript"/>
              </w:rPr>
              <w:t>(2)</w:t>
            </w:r>
          </w:p>
        </w:tc>
        <w:tc>
          <w:tcPr>
            <w:tcW w:w="1300" w:type="dxa"/>
            <w:vAlign w:val="bottom"/>
            <w:tcBorders>
              <w:top w:val="single" w:sz="8" w:color="003478"/>
            </w:tcBorders>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Borders>
              <w:top w:val="single" w:sz="8" w:color="003478"/>
            </w:tcBorders>
          </w:tcPr>
          <w:p>
            <w:pPr>
              <w:jc w:val="right"/>
              <w:ind w:right="169"/>
              <w:spacing w:after="0"/>
              <w:rPr>
                <w:sz w:val="20"/>
                <w:szCs w:val="20"/>
                <w:color w:val="auto"/>
              </w:rPr>
            </w:pPr>
            <w:r>
              <w:rPr>
                <w:rFonts w:ascii="Calibri" w:cs="Calibri" w:eastAsia="Calibri" w:hAnsi="Calibri"/>
                <w:sz w:val="14"/>
                <w:szCs w:val="14"/>
                <w:color w:val="auto"/>
              </w:rPr>
              <w:t>5,380,042</w:t>
            </w:r>
          </w:p>
        </w:tc>
        <w:tc>
          <w:tcPr>
            <w:tcW w:w="1120" w:type="dxa"/>
            <w:vAlign w:val="bottom"/>
            <w:tcBorders>
              <w:top w:val="single" w:sz="8" w:color="003478"/>
            </w:tcBorders>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Borders>
              <w:top w:val="single" w:sz="8" w:color="003478"/>
            </w:tcBorders>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tcBorders>
              <w:top w:val="single" w:sz="8" w:color="003478"/>
            </w:tcBorders>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Borders>
              <w:top w:val="single" w:sz="8" w:color="003478"/>
            </w:tcBorders>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shd w:val="clear" w:color="auto" w:fill="E5E7EF"/>
          </w:tcPr>
          <w:p>
            <w:pPr>
              <w:ind w:left="20"/>
              <w:spacing w:after="0" w:line="203" w:lineRule="exact"/>
              <w:rPr>
                <w:sz w:val="20"/>
                <w:szCs w:val="20"/>
                <w:color w:val="auto"/>
              </w:rPr>
            </w:pPr>
            <w:r>
              <w:rPr>
                <w:rFonts w:ascii="Calibri" w:cs="Calibri" w:eastAsia="Calibri" w:hAnsi="Calibri"/>
                <w:sz w:val="14"/>
                <w:szCs w:val="14"/>
                <w:color w:val="auto"/>
              </w:rPr>
              <w:t>RSUs</w:t>
            </w:r>
            <w:r>
              <w:rPr>
                <w:rFonts w:ascii="Calibri" w:cs="Calibri" w:eastAsia="Calibri" w:hAnsi="Calibri"/>
                <w:sz w:val="18"/>
                <w:szCs w:val="18"/>
                <w:color w:val="auto"/>
                <w:vertAlign w:val="superscript"/>
              </w:rPr>
              <w:t>(3)</w:t>
            </w:r>
          </w:p>
        </w:tc>
        <w:tc>
          <w:tcPr>
            <w:tcW w:w="1300" w:type="dxa"/>
            <w:vAlign w:val="bottom"/>
            <w:shd w:val="clear" w:color="auto" w:fill="E5E7EF"/>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shd w:val="clear" w:color="auto" w:fill="E5E7EF"/>
          </w:tcPr>
          <w:p>
            <w:pPr>
              <w:jc w:val="right"/>
              <w:ind w:right="169"/>
              <w:spacing w:after="0"/>
              <w:rPr>
                <w:sz w:val="20"/>
                <w:szCs w:val="20"/>
                <w:color w:val="auto"/>
              </w:rPr>
            </w:pPr>
            <w:r>
              <w:rPr>
                <w:rFonts w:ascii="Calibri" w:cs="Calibri" w:eastAsia="Calibri" w:hAnsi="Calibri"/>
                <w:sz w:val="14"/>
                <w:szCs w:val="14"/>
                <w:color w:val="auto"/>
              </w:rPr>
              <w:t>17,655,218</w:t>
            </w:r>
          </w:p>
        </w:tc>
        <w:tc>
          <w:tcPr>
            <w:tcW w:w="1120" w:type="dxa"/>
            <w:vAlign w:val="bottom"/>
            <w:shd w:val="clear" w:color="auto" w:fill="E5E7EF"/>
          </w:tcPr>
          <w:p>
            <w:pPr>
              <w:jc w:val="right"/>
              <w:ind w:right="169"/>
              <w:spacing w:after="0"/>
              <w:rPr>
                <w:sz w:val="20"/>
                <w:szCs w:val="20"/>
                <w:color w:val="auto"/>
              </w:rPr>
            </w:pPr>
            <w:r>
              <w:rPr>
                <w:rFonts w:ascii="Calibri" w:cs="Calibri" w:eastAsia="Calibri" w:hAnsi="Calibri"/>
                <w:sz w:val="14"/>
                <w:szCs w:val="14"/>
                <w:color w:val="auto"/>
              </w:rPr>
              <w:t>17,655,218</w:t>
            </w:r>
          </w:p>
        </w:tc>
        <w:tc>
          <w:tcPr>
            <w:tcW w:w="1120" w:type="dxa"/>
            <w:vAlign w:val="bottom"/>
            <w:shd w:val="clear" w:color="auto" w:fill="E5E7EF"/>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E5E7EF"/>
          </w:tcPr>
          <w:p>
            <w:pPr>
              <w:jc w:val="right"/>
              <w:ind w:right="129"/>
              <w:spacing w:after="0"/>
              <w:rPr>
                <w:sz w:val="20"/>
                <w:szCs w:val="20"/>
                <w:color w:val="auto"/>
              </w:rPr>
            </w:pPr>
            <w:r>
              <w:rPr>
                <w:rFonts w:ascii="Calibri" w:cs="Calibri" w:eastAsia="Calibri" w:hAnsi="Calibri"/>
                <w:sz w:val="14"/>
                <w:szCs w:val="14"/>
                <w:color w:val="auto"/>
              </w:rPr>
              <w:t>10,045,260</w:t>
            </w:r>
          </w:p>
        </w:tc>
        <w:tc>
          <w:tcPr>
            <w:tcW w:w="940" w:type="dxa"/>
            <w:vAlign w:val="bottom"/>
            <w:shd w:val="clear" w:color="auto" w:fill="E5E7EF"/>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tcPr>
          <w:p>
            <w:pPr>
              <w:ind w:left="20"/>
              <w:spacing w:after="0" w:line="203" w:lineRule="exact"/>
              <w:rPr>
                <w:sz w:val="20"/>
                <w:szCs w:val="20"/>
                <w:color w:val="auto"/>
              </w:rPr>
            </w:pPr>
            <w:r>
              <w:rPr>
                <w:rFonts w:ascii="Calibri" w:cs="Calibri" w:eastAsia="Calibri" w:hAnsi="Calibri"/>
                <w:sz w:val="14"/>
                <w:szCs w:val="14"/>
                <w:color w:val="auto"/>
              </w:rPr>
              <w:t>PSUs</w:t>
            </w:r>
            <w:r>
              <w:rPr>
                <w:rFonts w:ascii="Calibri" w:cs="Calibri" w:eastAsia="Calibri" w:hAnsi="Calibri"/>
                <w:sz w:val="18"/>
                <w:szCs w:val="18"/>
                <w:color w:val="auto"/>
                <w:vertAlign w:val="superscript"/>
              </w:rPr>
              <w:t>(4)</w:t>
            </w:r>
          </w:p>
        </w:tc>
        <w:tc>
          <w:tcPr>
            <w:tcW w:w="1300" w:type="dxa"/>
            <w:vAlign w:val="bottom"/>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29,427,899</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tcBorders>
              <w:bottom w:val="single" w:sz="8" w:color="959595"/>
            </w:tcBorders>
            <w:shd w:val="clear" w:color="auto" w:fill="E5E7EF"/>
          </w:tcPr>
          <w:p>
            <w:pPr>
              <w:ind w:left="20"/>
              <w:spacing w:after="0" w:line="203" w:lineRule="exact"/>
              <w:rPr>
                <w:sz w:val="20"/>
                <w:szCs w:val="20"/>
                <w:color w:val="auto"/>
              </w:rPr>
            </w:pPr>
            <w:r>
              <w:rPr>
                <w:rFonts w:ascii="Calibri" w:cs="Calibri" w:eastAsia="Calibri" w:hAnsi="Calibri"/>
                <w:sz w:val="14"/>
                <w:szCs w:val="14"/>
                <w:color w:val="auto"/>
              </w:rPr>
              <w:t>Executve Severance</w:t>
            </w:r>
            <w:r>
              <w:rPr>
                <w:rFonts w:ascii="Calibri" w:cs="Calibri" w:eastAsia="Calibri" w:hAnsi="Calibri"/>
                <w:sz w:val="18"/>
                <w:szCs w:val="18"/>
                <w:color w:val="auto"/>
                <w:vertAlign w:val="superscript"/>
              </w:rPr>
              <w:t>(5)</w:t>
            </w:r>
          </w:p>
        </w:tc>
        <w:tc>
          <w:tcPr>
            <w:tcW w:w="1300" w:type="dxa"/>
            <w:vAlign w:val="bottom"/>
            <w:tcBorders>
              <w:bottom w:val="single" w:sz="8" w:color="959595"/>
            </w:tcBorders>
            <w:shd w:val="clear" w:color="auto" w:fill="E5E7EF"/>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89"/>
              <w:spacing w:after="0"/>
              <w:rPr>
                <w:sz w:val="20"/>
                <w:szCs w:val="20"/>
                <w:color w:val="auto"/>
              </w:rPr>
            </w:pPr>
            <w:r>
              <w:rPr>
                <w:rFonts w:ascii="Calibri" w:cs="Calibri" w:eastAsia="Calibri" w:hAnsi="Calibri"/>
                <w:sz w:val="14"/>
                <w:szCs w:val="14"/>
                <w:color w:val="auto"/>
              </w:rPr>
              <w:t>15,279,969</w:t>
            </w:r>
          </w:p>
        </w:tc>
        <w:tc>
          <w:tcPr>
            <w:tcW w:w="1060" w:type="dxa"/>
            <w:vAlign w:val="bottom"/>
            <w:tcBorders>
              <w:bottom w:val="single" w:sz="8" w:color="959595"/>
            </w:tcBorders>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Borders>
              <w:bottom w:val="single" w:sz="8" w:color="959595"/>
            </w:tcBorders>
            <w:shd w:val="clear" w:color="auto" w:fill="E5E7EF"/>
          </w:tcPr>
          <w:p>
            <w:pPr>
              <w:ind w:left="760"/>
              <w:spacing w:after="0"/>
              <w:rPr>
                <w:sz w:val="20"/>
                <w:szCs w:val="20"/>
                <w:color w:val="auto"/>
              </w:rPr>
            </w:pPr>
            <w:r>
              <w:rPr>
                <w:rFonts w:ascii="Calibri" w:cs="Calibri" w:eastAsia="Calibri" w:hAnsi="Calibri"/>
                <w:sz w:val="14"/>
                <w:szCs w:val="14"/>
                <w:color w:val="auto"/>
              </w:rPr>
              <w:t>—</w:t>
            </w:r>
          </w:p>
        </w:tc>
      </w:tr>
      <w:tr>
        <w:trPr>
          <w:trHeight w:val="163"/>
        </w:trPr>
        <w:tc>
          <w:tcPr>
            <w:tcW w:w="2780" w:type="dxa"/>
            <w:vAlign w:val="bottom"/>
          </w:tcPr>
          <w:p>
            <w:pPr>
              <w:spacing w:after="0"/>
              <w:rPr>
                <w:sz w:val="14"/>
                <w:szCs w:val="14"/>
                <w:color w:val="auto"/>
              </w:rPr>
            </w:pPr>
          </w:p>
        </w:tc>
        <w:tc>
          <w:tcPr>
            <w:tcW w:w="18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TOTAL</w:t>
            </w:r>
          </w:p>
        </w:tc>
        <w:tc>
          <w:tcPr>
            <w:tcW w:w="1300" w:type="dxa"/>
            <w:vAlign w:val="bottom"/>
          </w:tcPr>
          <w:p>
            <w:pPr>
              <w:ind w:left="920"/>
              <w:spacing w:after="0" w:line="164" w:lineRule="exact"/>
              <w:rPr>
                <w:sz w:val="20"/>
                <w:szCs w:val="20"/>
                <w:color w:val="auto"/>
              </w:rPr>
            </w:pPr>
            <w:r>
              <w:rPr>
                <w:rFonts w:ascii="Calibri" w:cs="Calibri" w:eastAsia="Calibri" w:hAnsi="Calibri"/>
                <w:sz w:val="14"/>
                <w:szCs w:val="14"/>
                <w:b w:val="1"/>
                <w:bCs w:val="1"/>
                <w:color w:val="auto"/>
              </w:rPr>
              <w:t>—</w:t>
            </w:r>
          </w:p>
        </w:tc>
        <w:tc>
          <w:tcPr>
            <w:tcW w:w="1120" w:type="dxa"/>
            <w:vAlign w:val="bottom"/>
          </w:tcPr>
          <w:p>
            <w:pPr>
              <w:jc w:val="right"/>
              <w:ind w:right="169"/>
              <w:spacing w:after="0" w:line="164" w:lineRule="exact"/>
              <w:rPr>
                <w:sz w:val="20"/>
                <w:szCs w:val="20"/>
                <w:color w:val="auto"/>
              </w:rPr>
            </w:pPr>
            <w:r>
              <w:rPr>
                <w:rFonts w:ascii="Calibri" w:cs="Calibri" w:eastAsia="Calibri" w:hAnsi="Calibri"/>
                <w:sz w:val="14"/>
                <w:szCs w:val="14"/>
                <w:b w:val="1"/>
                <w:bCs w:val="1"/>
                <w:color w:val="auto"/>
              </w:rPr>
              <w:t>52,463,159</w:t>
            </w:r>
          </w:p>
        </w:tc>
        <w:tc>
          <w:tcPr>
            <w:tcW w:w="1120" w:type="dxa"/>
            <w:vAlign w:val="bottom"/>
          </w:tcPr>
          <w:p>
            <w:pPr>
              <w:jc w:val="right"/>
              <w:ind w:right="169"/>
              <w:spacing w:after="0" w:line="164" w:lineRule="exact"/>
              <w:rPr>
                <w:sz w:val="20"/>
                <w:szCs w:val="20"/>
                <w:color w:val="auto"/>
              </w:rPr>
            </w:pPr>
            <w:r>
              <w:rPr>
                <w:rFonts w:ascii="Calibri" w:cs="Calibri" w:eastAsia="Calibri" w:hAnsi="Calibri"/>
                <w:sz w:val="14"/>
                <w:szCs w:val="14"/>
                <w:b w:val="1"/>
                <w:bCs w:val="1"/>
                <w:color w:val="auto"/>
              </w:rPr>
              <w:t>17,655,218</w:t>
            </w:r>
          </w:p>
        </w:tc>
        <w:tc>
          <w:tcPr>
            <w:tcW w:w="1120" w:type="dxa"/>
            <w:vAlign w:val="bottom"/>
          </w:tcPr>
          <w:p>
            <w:pPr>
              <w:jc w:val="right"/>
              <w:ind w:right="189"/>
              <w:spacing w:after="0" w:line="164" w:lineRule="exact"/>
              <w:rPr>
                <w:sz w:val="20"/>
                <w:szCs w:val="20"/>
                <w:color w:val="auto"/>
              </w:rPr>
            </w:pPr>
            <w:r>
              <w:rPr>
                <w:rFonts w:ascii="Calibri" w:cs="Calibri" w:eastAsia="Calibri" w:hAnsi="Calibri"/>
                <w:sz w:val="14"/>
                <w:szCs w:val="14"/>
                <w:b w:val="1"/>
                <w:bCs w:val="1"/>
                <w:color w:val="auto"/>
              </w:rPr>
              <w:t>15,279,969</w:t>
            </w:r>
          </w:p>
        </w:tc>
        <w:tc>
          <w:tcPr>
            <w:tcW w:w="1060" w:type="dxa"/>
            <w:vAlign w:val="bottom"/>
          </w:tcPr>
          <w:p>
            <w:pPr>
              <w:jc w:val="right"/>
              <w:ind w:right="129"/>
              <w:spacing w:after="0" w:line="164" w:lineRule="exact"/>
              <w:rPr>
                <w:sz w:val="20"/>
                <w:szCs w:val="20"/>
                <w:color w:val="auto"/>
              </w:rPr>
            </w:pPr>
            <w:r>
              <w:rPr>
                <w:rFonts w:ascii="Calibri" w:cs="Calibri" w:eastAsia="Calibri" w:hAnsi="Calibri"/>
                <w:sz w:val="14"/>
                <w:szCs w:val="14"/>
                <w:b w:val="1"/>
                <w:bCs w:val="1"/>
                <w:color w:val="auto"/>
              </w:rPr>
              <w:t>10,045,260</w:t>
            </w:r>
          </w:p>
        </w:tc>
        <w:tc>
          <w:tcPr>
            <w:tcW w:w="940" w:type="dxa"/>
            <w:vAlign w:val="bottom"/>
          </w:tcPr>
          <w:p>
            <w:pPr>
              <w:ind w:left="760"/>
              <w:spacing w:after="0" w:line="164" w:lineRule="exact"/>
              <w:rPr>
                <w:sz w:val="20"/>
                <w:szCs w:val="20"/>
                <w:color w:val="auto"/>
              </w:rPr>
            </w:pPr>
            <w:r>
              <w:rPr>
                <w:rFonts w:ascii="Calibri" w:cs="Calibri" w:eastAsia="Calibri" w:hAnsi="Calibri"/>
                <w:sz w:val="14"/>
                <w:szCs w:val="14"/>
                <w:b w:val="1"/>
                <w:bCs w:val="1"/>
                <w:color w:val="auto"/>
              </w:rPr>
              <w:t>—</w:t>
            </w:r>
          </w:p>
        </w:tc>
      </w:tr>
      <w:tr>
        <w:trPr>
          <w:trHeight w:val="33"/>
        </w:trPr>
        <w:tc>
          <w:tcPr>
            <w:tcW w:w="2780" w:type="dxa"/>
            <w:vAlign w:val="bottom"/>
            <w:tcBorders>
              <w:bottom w:val="single" w:sz="8" w:color="959595"/>
            </w:tcBorders>
          </w:tcPr>
          <w:p>
            <w:pPr>
              <w:spacing w:after="0"/>
              <w:rPr>
                <w:sz w:val="2"/>
                <w:szCs w:val="2"/>
                <w:color w:val="auto"/>
              </w:rPr>
            </w:pPr>
          </w:p>
        </w:tc>
        <w:tc>
          <w:tcPr>
            <w:tcW w:w="180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940" w:type="dxa"/>
            <w:vAlign w:val="bottom"/>
            <w:tcBorders>
              <w:bottom w:val="single" w:sz="8" w:color="959595"/>
            </w:tcBorders>
          </w:tcPr>
          <w:p>
            <w:pPr>
              <w:spacing w:after="0"/>
              <w:rPr>
                <w:sz w:val="2"/>
                <w:szCs w:val="2"/>
                <w:color w:val="auto"/>
              </w:rPr>
            </w:pPr>
          </w:p>
        </w:tc>
      </w:tr>
      <w:tr>
        <w:trPr>
          <w:trHeight w:val="196"/>
        </w:trPr>
        <w:tc>
          <w:tcPr>
            <w:tcW w:w="2780" w:type="dxa"/>
            <w:vAlign w:val="bottom"/>
          </w:tcPr>
          <w:p>
            <w:pPr>
              <w:ind w:left="20"/>
              <w:spacing w:after="0"/>
              <w:rPr>
                <w:sz w:val="20"/>
                <w:szCs w:val="20"/>
                <w:color w:val="auto"/>
              </w:rPr>
            </w:pPr>
            <w:r>
              <w:rPr>
                <w:rFonts w:ascii="Calibri" w:cs="Calibri" w:eastAsia="Calibri" w:hAnsi="Calibri"/>
                <w:sz w:val="14"/>
                <w:szCs w:val="14"/>
                <w:b w:val="1"/>
                <w:bCs w:val="1"/>
                <w:color w:val="003478"/>
              </w:rPr>
              <w:t>Jesus Malave</w:t>
            </w:r>
          </w:p>
        </w:tc>
        <w:tc>
          <w:tcPr>
            <w:tcW w:w="1800" w:type="dxa"/>
            <w:vAlign w:val="bottom"/>
          </w:tcPr>
          <w:p>
            <w:pPr>
              <w:ind w:left="20"/>
              <w:spacing w:after="0" w:line="196" w:lineRule="exact"/>
              <w:rPr>
                <w:sz w:val="20"/>
                <w:szCs w:val="20"/>
                <w:color w:val="auto"/>
              </w:rPr>
            </w:pPr>
            <w:r>
              <w:rPr>
                <w:rFonts w:ascii="Calibri" w:cs="Calibri" w:eastAsia="Calibri" w:hAnsi="Calibri"/>
                <w:sz w:val="14"/>
                <w:szCs w:val="14"/>
                <w:color w:val="auto"/>
              </w:rPr>
              <w:t>LTIP</w:t>
            </w:r>
            <w:r>
              <w:rPr>
                <w:rFonts w:ascii="Calibri" w:cs="Calibri" w:eastAsia="Calibri" w:hAnsi="Calibri"/>
                <w:sz w:val="18"/>
                <w:szCs w:val="18"/>
                <w:color w:val="auto"/>
                <w:vertAlign w:val="superscript"/>
              </w:rPr>
              <w:t>(2)</w:t>
            </w:r>
          </w:p>
        </w:tc>
        <w:tc>
          <w:tcPr>
            <w:tcW w:w="1300" w:type="dxa"/>
            <w:vAlign w:val="bottom"/>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455,474</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shd w:val="clear" w:color="auto" w:fill="E5E7EF"/>
          </w:tcPr>
          <w:p>
            <w:pPr>
              <w:ind w:left="20"/>
              <w:spacing w:after="0" w:line="203" w:lineRule="exact"/>
              <w:rPr>
                <w:sz w:val="20"/>
                <w:szCs w:val="20"/>
                <w:color w:val="auto"/>
              </w:rPr>
            </w:pPr>
            <w:r>
              <w:rPr>
                <w:rFonts w:ascii="Calibri" w:cs="Calibri" w:eastAsia="Calibri" w:hAnsi="Calibri"/>
                <w:sz w:val="14"/>
                <w:szCs w:val="14"/>
                <w:color w:val="auto"/>
              </w:rPr>
              <w:t>RSUs</w:t>
            </w:r>
            <w:r>
              <w:rPr>
                <w:rFonts w:ascii="Calibri" w:cs="Calibri" w:eastAsia="Calibri" w:hAnsi="Calibri"/>
                <w:sz w:val="18"/>
                <w:szCs w:val="18"/>
                <w:color w:val="auto"/>
                <w:vertAlign w:val="superscript"/>
              </w:rPr>
              <w:t>(3)</w:t>
            </w:r>
          </w:p>
        </w:tc>
        <w:tc>
          <w:tcPr>
            <w:tcW w:w="1300" w:type="dxa"/>
            <w:vAlign w:val="bottom"/>
            <w:shd w:val="clear" w:color="auto" w:fill="E4E6EF"/>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shd w:val="clear" w:color="auto" w:fill="E4E6EF"/>
          </w:tcPr>
          <w:p>
            <w:pPr>
              <w:jc w:val="right"/>
              <w:ind w:right="169"/>
              <w:spacing w:after="0"/>
              <w:rPr>
                <w:sz w:val="20"/>
                <w:szCs w:val="20"/>
                <w:color w:val="auto"/>
              </w:rPr>
            </w:pPr>
            <w:r>
              <w:rPr>
                <w:rFonts w:ascii="Calibri" w:cs="Calibri" w:eastAsia="Calibri" w:hAnsi="Calibri"/>
                <w:sz w:val="14"/>
                <w:szCs w:val="14"/>
                <w:color w:val="auto"/>
              </w:rPr>
              <w:t>8,193,776</w:t>
            </w:r>
          </w:p>
        </w:tc>
        <w:tc>
          <w:tcPr>
            <w:tcW w:w="1120" w:type="dxa"/>
            <w:vAlign w:val="bottom"/>
            <w:shd w:val="clear" w:color="auto" w:fill="E4E6EF"/>
          </w:tcPr>
          <w:p>
            <w:pPr>
              <w:jc w:val="right"/>
              <w:ind w:right="169"/>
              <w:spacing w:after="0"/>
              <w:rPr>
                <w:sz w:val="20"/>
                <w:szCs w:val="20"/>
                <w:color w:val="auto"/>
              </w:rPr>
            </w:pPr>
            <w:r>
              <w:rPr>
                <w:rFonts w:ascii="Calibri" w:cs="Calibri" w:eastAsia="Calibri" w:hAnsi="Calibri"/>
                <w:sz w:val="14"/>
                <w:szCs w:val="14"/>
                <w:color w:val="auto"/>
              </w:rPr>
              <w:t>8,193,776</w:t>
            </w:r>
          </w:p>
        </w:tc>
        <w:tc>
          <w:tcPr>
            <w:tcW w:w="1120" w:type="dxa"/>
            <w:vAlign w:val="bottom"/>
            <w:shd w:val="clear" w:color="auto" w:fill="E4E6EF"/>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E4E6EF"/>
          </w:tcPr>
          <w:p>
            <w:pPr>
              <w:jc w:val="right"/>
              <w:ind w:right="129"/>
              <w:spacing w:after="0"/>
              <w:rPr>
                <w:sz w:val="20"/>
                <w:szCs w:val="20"/>
                <w:color w:val="auto"/>
              </w:rPr>
            </w:pPr>
            <w:r>
              <w:rPr>
                <w:rFonts w:ascii="Calibri" w:cs="Calibri" w:eastAsia="Calibri" w:hAnsi="Calibri"/>
                <w:sz w:val="14"/>
                <w:szCs w:val="14"/>
                <w:color w:val="auto"/>
              </w:rPr>
              <w:t>2,323,653</w:t>
            </w:r>
          </w:p>
        </w:tc>
        <w:tc>
          <w:tcPr>
            <w:tcW w:w="940" w:type="dxa"/>
            <w:vAlign w:val="bottom"/>
            <w:shd w:val="clear" w:color="auto" w:fill="E4E6EF"/>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tcPr>
          <w:p>
            <w:pPr>
              <w:ind w:left="20"/>
              <w:spacing w:after="0" w:line="203" w:lineRule="exact"/>
              <w:rPr>
                <w:sz w:val="20"/>
                <w:szCs w:val="20"/>
                <w:color w:val="auto"/>
              </w:rPr>
            </w:pPr>
            <w:r>
              <w:rPr>
                <w:rFonts w:ascii="Calibri" w:cs="Calibri" w:eastAsia="Calibri" w:hAnsi="Calibri"/>
                <w:sz w:val="14"/>
                <w:szCs w:val="14"/>
                <w:color w:val="auto"/>
              </w:rPr>
              <w:t>PSUs</w:t>
            </w:r>
            <w:r>
              <w:rPr>
                <w:rFonts w:ascii="Calibri" w:cs="Calibri" w:eastAsia="Calibri" w:hAnsi="Calibri"/>
                <w:sz w:val="18"/>
                <w:szCs w:val="18"/>
                <w:color w:val="auto"/>
                <w:vertAlign w:val="superscript"/>
              </w:rPr>
              <w:t>(4)</w:t>
            </w:r>
          </w:p>
        </w:tc>
        <w:tc>
          <w:tcPr>
            <w:tcW w:w="1300" w:type="dxa"/>
            <w:vAlign w:val="bottom"/>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5,121,296</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tcBorders>
              <w:bottom w:val="single" w:sz="8" w:color="959595"/>
            </w:tcBorders>
            <w:shd w:val="clear" w:color="auto" w:fill="E5E7EF"/>
          </w:tcPr>
          <w:p>
            <w:pPr>
              <w:ind w:left="20"/>
              <w:spacing w:after="0" w:line="203" w:lineRule="exact"/>
              <w:rPr>
                <w:sz w:val="20"/>
                <w:szCs w:val="20"/>
                <w:color w:val="auto"/>
              </w:rPr>
            </w:pPr>
            <w:r>
              <w:rPr>
                <w:rFonts w:ascii="Calibri" w:cs="Calibri" w:eastAsia="Calibri" w:hAnsi="Calibri"/>
                <w:sz w:val="14"/>
                <w:szCs w:val="14"/>
                <w:color w:val="auto"/>
              </w:rPr>
              <w:t>Executve Severance</w:t>
            </w:r>
            <w:r>
              <w:rPr>
                <w:rFonts w:ascii="Calibri" w:cs="Calibri" w:eastAsia="Calibri" w:hAnsi="Calibri"/>
                <w:sz w:val="18"/>
                <w:szCs w:val="18"/>
                <w:color w:val="auto"/>
                <w:vertAlign w:val="superscript"/>
              </w:rPr>
              <w:t>(5)</w:t>
            </w:r>
          </w:p>
        </w:tc>
        <w:tc>
          <w:tcPr>
            <w:tcW w:w="1300" w:type="dxa"/>
            <w:vAlign w:val="bottom"/>
            <w:tcBorders>
              <w:bottom w:val="single" w:sz="8" w:color="959595"/>
            </w:tcBorders>
            <w:shd w:val="clear" w:color="auto" w:fill="E4E6EF"/>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4E6EF"/>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4E6EF"/>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4E6EF"/>
          </w:tcPr>
          <w:p>
            <w:pPr>
              <w:jc w:val="right"/>
              <w:ind w:right="189"/>
              <w:spacing w:after="0"/>
              <w:rPr>
                <w:sz w:val="20"/>
                <w:szCs w:val="20"/>
                <w:color w:val="auto"/>
              </w:rPr>
            </w:pPr>
            <w:r>
              <w:rPr>
                <w:rFonts w:ascii="Calibri" w:cs="Calibri" w:eastAsia="Calibri" w:hAnsi="Calibri"/>
                <w:sz w:val="14"/>
                <w:szCs w:val="14"/>
                <w:color w:val="auto"/>
              </w:rPr>
              <w:t>2,034,311</w:t>
            </w:r>
          </w:p>
        </w:tc>
        <w:tc>
          <w:tcPr>
            <w:tcW w:w="1060" w:type="dxa"/>
            <w:vAlign w:val="bottom"/>
            <w:tcBorders>
              <w:bottom w:val="single" w:sz="8" w:color="959595"/>
            </w:tcBorders>
            <w:shd w:val="clear" w:color="auto" w:fill="E4E6EF"/>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Borders>
              <w:bottom w:val="single" w:sz="8" w:color="959595"/>
            </w:tcBorders>
            <w:shd w:val="clear" w:color="auto" w:fill="E4E6EF"/>
          </w:tcPr>
          <w:p>
            <w:pPr>
              <w:ind w:left="760"/>
              <w:spacing w:after="0"/>
              <w:rPr>
                <w:sz w:val="20"/>
                <w:szCs w:val="20"/>
                <w:color w:val="auto"/>
              </w:rPr>
            </w:pPr>
            <w:r>
              <w:rPr>
                <w:rFonts w:ascii="Calibri" w:cs="Calibri" w:eastAsia="Calibri" w:hAnsi="Calibri"/>
                <w:sz w:val="14"/>
                <w:szCs w:val="14"/>
                <w:color w:val="auto"/>
              </w:rPr>
              <w:t>—</w:t>
            </w:r>
          </w:p>
        </w:tc>
      </w:tr>
      <w:tr>
        <w:trPr>
          <w:trHeight w:val="163"/>
        </w:trPr>
        <w:tc>
          <w:tcPr>
            <w:tcW w:w="2780" w:type="dxa"/>
            <w:vAlign w:val="bottom"/>
          </w:tcPr>
          <w:p>
            <w:pPr>
              <w:spacing w:after="0"/>
              <w:rPr>
                <w:sz w:val="14"/>
                <w:szCs w:val="14"/>
                <w:color w:val="auto"/>
              </w:rPr>
            </w:pPr>
          </w:p>
        </w:tc>
        <w:tc>
          <w:tcPr>
            <w:tcW w:w="18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TOTAL</w:t>
            </w:r>
          </w:p>
        </w:tc>
        <w:tc>
          <w:tcPr>
            <w:tcW w:w="1300" w:type="dxa"/>
            <w:vAlign w:val="bottom"/>
          </w:tcPr>
          <w:p>
            <w:pPr>
              <w:ind w:left="920"/>
              <w:spacing w:after="0" w:line="164" w:lineRule="exact"/>
              <w:rPr>
                <w:sz w:val="20"/>
                <w:szCs w:val="20"/>
                <w:color w:val="auto"/>
              </w:rPr>
            </w:pPr>
            <w:r>
              <w:rPr>
                <w:rFonts w:ascii="Calibri" w:cs="Calibri" w:eastAsia="Calibri" w:hAnsi="Calibri"/>
                <w:sz w:val="14"/>
                <w:szCs w:val="14"/>
                <w:b w:val="1"/>
                <w:bCs w:val="1"/>
                <w:color w:val="auto"/>
              </w:rPr>
              <w:t>—</w:t>
            </w:r>
          </w:p>
        </w:tc>
        <w:tc>
          <w:tcPr>
            <w:tcW w:w="1120" w:type="dxa"/>
            <w:vAlign w:val="bottom"/>
          </w:tcPr>
          <w:p>
            <w:pPr>
              <w:jc w:val="right"/>
              <w:ind w:right="169"/>
              <w:spacing w:after="0" w:line="164" w:lineRule="exact"/>
              <w:rPr>
                <w:sz w:val="20"/>
                <w:szCs w:val="20"/>
                <w:color w:val="auto"/>
              </w:rPr>
            </w:pPr>
            <w:r>
              <w:rPr>
                <w:rFonts w:ascii="Calibri" w:cs="Calibri" w:eastAsia="Calibri" w:hAnsi="Calibri"/>
                <w:sz w:val="14"/>
                <w:szCs w:val="14"/>
                <w:b w:val="1"/>
                <w:bCs w:val="1"/>
                <w:color w:val="auto"/>
              </w:rPr>
              <w:t>13,770,546</w:t>
            </w:r>
          </w:p>
        </w:tc>
        <w:tc>
          <w:tcPr>
            <w:tcW w:w="1120" w:type="dxa"/>
            <w:vAlign w:val="bottom"/>
          </w:tcPr>
          <w:p>
            <w:pPr>
              <w:jc w:val="right"/>
              <w:ind w:right="169"/>
              <w:spacing w:after="0" w:line="164" w:lineRule="exact"/>
              <w:rPr>
                <w:sz w:val="20"/>
                <w:szCs w:val="20"/>
                <w:color w:val="auto"/>
              </w:rPr>
            </w:pPr>
            <w:r>
              <w:rPr>
                <w:rFonts w:ascii="Calibri" w:cs="Calibri" w:eastAsia="Calibri" w:hAnsi="Calibri"/>
                <w:sz w:val="14"/>
                <w:szCs w:val="14"/>
                <w:b w:val="1"/>
                <w:bCs w:val="1"/>
                <w:color w:val="auto"/>
              </w:rPr>
              <w:t>8,193,776</w:t>
            </w:r>
          </w:p>
        </w:tc>
        <w:tc>
          <w:tcPr>
            <w:tcW w:w="1120" w:type="dxa"/>
            <w:vAlign w:val="bottom"/>
          </w:tcPr>
          <w:p>
            <w:pPr>
              <w:jc w:val="right"/>
              <w:ind w:right="189"/>
              <w:spacing w:after="0" w:line="164" w:lineRule="exact"/>
              <w:rPr>
                <w:sz w:val="20"/>
                <w:szCs w:val="20"/>
                <w:color w:val="auto"/>
              </w:rPr>
            </w:pPr>
            <w:r>
              <w:rPr>
                <w:rFonts w:ascii="Calibri" w:cs="Calibri" w:eastAsia="Calibri" w:hAnsi="Calibri"/>
                <w:sz w:val="14"/>
                <w:szCs w:val="14"/>
                <w:b w:val="1"/>
                <w:bCs w:val="1"/>
                <w:color w:val="auto"/>
              </w:rPr>
              <w:t>2,034,311</w:t>
            </w:r>
          </w:p>
        </w:tc>
        <w:tc>
          <w:tcPr>
            <w:tcW w:w="1060" w:type="dxa"/>
            <w:vAlign w:val="bottom"/>
          </w:tcPr>
          <w:p>
            <w:pPr>
              <w:jc w:val="right"/>
              <w:ind w:right="129"/>
              <w:spacing w:after="0" w:line="164" w:lineRule="exact"/>
              <w:rPr>
                <w:sz w:val="20"/>
                <w:szCs w:val="20"/>
                <w:color w:val="auto"/>
              </w:rPr>
            </w:pPr>
            <w:r>
              <w:rPr>
                <w:rFonts w:ascii="Calibri" w:cs="Calibri" w:eastAsia="Calibri" w:hAnsi="Calibri"/>
                <w:sz w:val="14"/>
                <w:szCs w:val="14"/>
                <w:b w:val="1"/>
                <w:bCs w:val="1"/>
                <w:color w:val="auto"/>
              </w:rPr>
              <w:t>2,323,653</w:t>
            </w:r>
          </w:p>
        </w:tc>
        <w:tc>
          <w:tcPr>
            <w:tcW w:w="940" w:type="dxa"/>
            <w:vAlign w:val="bottom"/>
          </w:tcPr>
          <w:p>
            <w:pPr>
              <w:ind w:left="760"/>
              <w:spacing w:after="0" w:line="164" w:lineRule="exact"/>
              <w:rPr>
                <w:sz w:val="20"/>
                <w:szCs w:val="20"/>
                <w:color w:val="auto"/>
              </w:rPr>
            </w:pPr>
            <w:r>
              <w:rPr>
                <w:rFonts w:ascii="Calibri" w:cs="Calibri" w:eastAsia="Calibri" w:hAnsi="Calibri"/>
                <w:sz w:val="14"/>
                <w:szCs w:val="14"/>
                <w:b w:val="1"/>
                <w:bCs w:val="1"/>
                <w:color w:val="auto"/>
              </w:rPr>
              <w:t>—</w:t>
            </w:r>
          </w:p>
        </w:tc>
      </w:tr>
      <w:tr>
        <w:trPr>
          <w:trHeight w:val="33"/>
        </w:trPr>
        <w:tc>
          <w:tcPr>
            <w:tcW w:w="2780" w:type="dxa"/>
            <w:vAlign w:val="bottom"/>
            <w:tcBorders>
              <w:bottom w:val="single" w:sz="8" w:color="959595"/>
            </w:tcBorders>
          </w:tcPr>
          <w:p>
            <w:pPr>
              <w:spacing w:after="0"/>
              <w:rPr>
                <w:sz w:val="2"/>
                <w:szCs w:val="2"/>
                <w:color w:val="auto"/>
              </w:rPr>
            </w:pPr>
          </w:p>
        </w:tc>
        <w:tc>
          <w:tcPr>
            <w:tcW w:w="180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940" w:type="dxa"/>
            <w:vAlign w:val="bottom"/>
            <w:tcBorders>
              <w:bottom w:val="single" w:sz="8" w:color="959595"/>
            </w:tcBorders>
          </w:tcPr>
          <w:p>
            <w:pPr>
              <w:spacing w:after="0"/>
              <w:rPr>
                <w:sz w:val="2"/>
                <w:szCs w:val="2"/>
                <w:color w:val="auto"/>
              </w:rPr>
            </w:pPr>
          </w:p>
        </w:tc>
      </w:tr>
      <w:tr>
        <w:trPr>
          <w:trHeight w:val="196"/>
        </w:trPr>
        <w:tc>
          <w:tcPr>
            <w:tcW w:w="2780" w:type="dxa"/>
            <w:vAlign w:val="bottom"/>
          </w:tcPr>
          <w:p>
            <w:pPr>
              <w:ind w:left="20"/>
              <w:spacing w:after="0"/>
              <w:rPr>
                <w:sz w:val="20"/>
                <w:szCs w:val="20"/>
                <w:color w:val="auto"/>
              </w:rPr>
            </w:pPr>
            <w:r>
              <w:rPr>
                <w:rFonts w:ascii="Calibri" w:cs="Calibri" w:eastAsia="Calibri" w:hAnsi="Calibri"/>
                <w:sz w:val="14"/>
                <w:szCs w:val="14"/>
                <w:b w:val="1"/>
                <w:bCs w:val="1"/>
                <w:color w:val="003478"/>
              </w:rPr>
              <w:t>Frank A. St. John</w:t>
            </w:r>
          </w:p>
        </w:tc>
        <w:tc>
          <w:tcPr>
            <w:tcW w:w="1800" w:type="dxa"/>
            <w:vAlign w:val="bottom"/>
          </w:tcPr>
          <w:p>
            <w:pPr>
              <w:ind w:left="20"/>
              <w:spacing w:after="0" w:line="196" w:lineRule="exact"/>
              <w:rPr>
                <w:sz w:val="20"/>
                <w:szCs w:val="20"/>
                <w:color w:val="auto"/>
              </w:rPr>
            </w:pPr>
            <w:r>
              <w:rPr>
                <w:rFonts w:ascii="Calibri" w:cs="Calibri" w:eastAsia="Calibri" w:hAnsi="Calibri"/>
                <w:sz w:val="14"/>
                <w:szCs w:val="14"/>
                <w:color w:val="auto"/>
              </w:rPr>
              <w:t>LTIP</w:t>
            </w:r>
            <w:r>
              <w:rPr>
                <w:rFonts w:ascii="Calibri" w:cs="Calibri" w:eastAsia="Calibri" w:hAnsi="Calibri"/>
                <w:sz w:val="18"/>
                <w:szCs w:val="18"/>
                <w:color w:val="auto"/>
                <w:vertAlign w:val="superscript"/>
              </w:rPr>
              <w:t>(2)</w:t>
            </w:r>
          </w:p>
        </w:tc>
        <w:tc>
          <w:tcPr>
            <w:tcW w:w="1300" w:type="dxa"/>
            <w:vAlign w:val="bottom"/>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1,949,688</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shd w:val="clear" w:color="auto" w:fill="E5E7EF"/>
          </w:tcPr>
          <w:p>
            <w:pPr>
              <w:ind w:left="20"/>
              <w:spacing w:after="0" w:line="203" w:lineRule="exact"/>
              <w:rPr>
                <w:sz w:val="20"/>
                <w:szCs w:val="20"/>
                <w:color w:val="auto"/>
              </w:rPr>
            </w:pPr>
            <w:r>
              <w:rPr>
                <w:rFonts w:ascii="Calibri" w:cs="Calibri" w:eastAsia="Calibri" w:hAnsi="Calibri"/>
                <w:sz w:val="14"/>
                <w:szCs w:val="14"/>
                <w:color w:val="auto"/>
              </w:rPr>
              <w:t>RSUs</w:t>
            </w:r>
            <w:r>
              <w:rPr>
                <w:rFonts w:ascii="Calibri" w:cs="Calibri" w:eastAsia="Calibri" w:hAnsi="Calibri"/>
                <w:sz w:val="18"/>
                <w:szCs w:val="18"/>
                <w:color w:val="auto"/>
                <w:vertAlign w:val="superscript"/>
              </w:rPr>
              <w:t>(3)</w:t>
            </w:r>
          </w:p>
        </w:tc>
        <w:tc>
          <w:tcPr>
            <w:tcW w:w="1300" w:type="dxa"/>
            <w:vAlign w:val="bottom"/>
            <w:shd w:val="clear" w:color="auto" w:fill="E5E7EF"/>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shd w:val="clear" w:color="auto" w:fill="E5E7EF"/>
          </w:tcPr>
          <w:p>
            <w:pPr>
              <w:jc w:val="right"/>
              <w:ind w:right="169"/>
              <w:spacing w:after="0"/>
              <w:rPr>
                <w:sz w:val="20"/>
                <w:szCs w:val="20"/>
                <w:color w:val="auto"/>
              </w:rPr>
            </w:pPr>
            <w:r>
              <w:rPr>
                <w:rFonts w:ascii="Calibri" w:cs="Calibri" w:eastAsia="Calibri" w:hAnsi="Calibri"/>
                <w:sz w:val="14"/>
                <w:szCs w:val="14"/>
                <w:color w:val="auto"/>
              </w:rPr>
              <w:t>6,432,208</w:t>
            </w:r>
          </w:p>
        </w:tc>
        <w:tc>
          <w:tcPr>
            <w:tcW w:w="1120" w:type="dxa"/>
            <w:vAlign w:val="bottom"/>
            <w:shd w:val="clear" w:color="auto" w:fill="E5E7EF"/>
          </w:tcPr>
          <w:p>
            <w:pPr>
              <w:jc w:val="right"/>
              <w:ind w:right="169"/>
              <w:spacing w:after="0"/>
              <w:rPr>
                <w:sz w:val="20"/>
                <w:szCs w:val="20"/>
                <w:color w:val="auto"/>
              </w:rPr>
            </w:pPr>
            <w:r>
              <w:rPr>
                <w:rFonts w:ascii="Calibri" w:cs="Calibri" w:eastAsia="Calibri" w:hAnsi="Calibri"/>
                <w:sz w:val="14"/>
                <w:szCs w:val="14"/>
                <w:color w:val="auto"/>
              </w:rPr>
              <w:t>6,432,208</w:t>
            </w:r>
          </w:p>
        </w:tc>
        <w:tc>
          <w:tcPr>
            <w:tcW w:w="1120" w:type="dxa"/>
            <w:vAlign w:val="bottom"/>
            <w:shd w:val="clear" w:color="auto" w:fill="E5E7EF"/>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E5E7EF"/>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tcPr>
          <w:p>
            <w:pPr>
              <w:ind w:left="20"/>
              <w:spacing w:after="0" w:line="203" w:lineRule="exact"/>
              <w:rPr>
                <w:sz w:val="20"/>
                <w:szCs w:val="20"/>
                <w:color w:val="auto"/>
              </w:rPr>
            </w:pPr>
            <w:r>
              <w:rPr>
                <w:rFonts w:ascii="Calibri" w:cs="Calibri" w:eastAsia="Calibri" w:hAnsi="Calibri"/>
                <w:sz w:val="14"/>
                <w:szCs w:val="14"/>
                <w:color w:val="auto"/>
              </w:rPr>
              <w:t>PSUs</w:t>
            </w:r>
            <w:r>
              <w:rPr>
                <w:rFonts w:ascii="Calibri" w:cs="Calibri" w:eastAsia="Calibri" w:hAnsi="Calibri"/>
                <w:sz w:val="18"/>
                <w:szCs w:val="18"/>
                <w:color w:val="auto"/>
                <w:vertAlign w:val="superscript"/>
              </w:rPr>
              <w:t>(4)</w:t>
            </w:r>
          </w:p>
        </w:tc>
        <w:tc>
          <w:tcPr>
            <w:tcW w:w="1300" w:type="dxa"/>
            <w:vAlign w:val="bottom"/>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11,068,752</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tcBorders>
              <w:bottom w:val="single" w:sz="8" w:color="959595"/>
            </w:tcBorders>
            <w:shd w:val="clear" w:color="auto" w:fill="E5E7EF"/>
          </w:tcPr>
          <w:p>
            <w:pPr>
              <w:ind w:left="20"/>
              <w:spacing w:after="0" w:line="203" w:lineRule="exact"/>
              <w:rPr>
                <w:sz w:val="20"/>
                <w:szCs w:val="20"/>
                <w:color w:val="auto"/>
              </w:rPr>
            </w:pPr>
            <w:r>
              <w:rPr>
                <w:rFonts w:ascii="Calibri" w:cs="Calibri" w:eastAsia="Calibri" w:hAnsi="Calibri"/>
                <w:sz w:val="14"/>
                <w:szCs w:val="14"/>
                <w:color w:val="auto"/>
              </w:rPr>
              <w:t>Executve Severance</w:t>
            </w:r>
            <w:r>
              <w:rPr>
                <w:rFonts w:ascii="Calibri" w:cs="Calibri" w:eastAsia="Calibri" w:hAnsi="Calibri"/>
                <w:sz w:val="18"/>
                <w:szCs w:val="18"/>
                <w:color w:val="auto"/>
                <w:vertAlign w:val="superscript"/>
              </w:rPr>
              <w:t>(5)</w:t>
            </w:r>
          </w:p>
        </w:tc>
        <w:tc>
          <w:tcPr>
            <w:tcW w:w="1300" w:type="dxa"/>
            <w:vAlign w:val="bottom"/>
            <w:tcBorders>
              <w:bottom w:val="single" w:sz="8" w:color="959595"/>
            </w:tcBorders>
            <w:shd w:val="clear" w:color="auto" w:fill="E5E7EF"/>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89"/>
              <w:spacing w:after="0"/>
              <w:rPr>
                <w:sz w:val="20"/>
                <w:szCs w:val="20"/>
                <w:color w:val="auto"/>
              </w:rPr>
            </w:pPr>
            <w:r>
              <w:rPr>
                <w:rFonts w:ascii="Calibri" w:cs="Calibri" w:eastAsia="Calibri" w:hAnsi="Calibri"/>
                <w:sz w:val="14"/>
                <w:szCs w:val="14"/>
                <w:color w:val="auto"/>
              </w:rPr>
              <w:t>2,567,835</w:t>
            </w:r>
          </w:p>
        </w:tc>
        <w:tc>
          <w:tcPr>
            <w:tcW w:w="1060" w:type="dxa"/>
            <w:vAlign w:val="bottom"/>
            <w:tcBorders>
              <w:bottom w:val="single" w:sz="8" w:color="959595"/>
            </w:tcBorders>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Borders>
              <w:bottom w:val="single" w:sz="8" w:color="959595"/>
            </w:tcBorders>
            <w:shd w:val="clear" w:color="auto" w:fill="E5E7EF"/>
          </w:tcPr>
          <w:p>
            <w:pPr>
              <w:ind w:left="760"/>
              <w:spacing w:after="0"/>
              <w:rPr>
                <w:sz w:val="20"/>
                <w:szCs w:val="20"/>
                <w:color w:val="auto"/>
              </w:rPr>
            </w:pPr>
            <w:r>
              <w:rPr>
                <w:rFonts w:ascii="Calibri" w:cs="Calibri" w:eastAsia="Calibri" w:hAnsi="Calibri"/>
                <w:sz w:val="14"/>
                <w:szCs w:val="14"/>
                <w:color w:val="auto"/>
              </w:rPr>
              <w:t>—</w:t>
            </w:r>
          </w:p>
        </w:tc>
      </w:tr>
      <w:tr>
        <w:trPr>
          <w:trHeight w:val="163"/>
        </w:trPr>
        <w:tc>
          <w:tcPr>
            <w:tcW w:w="2780" w:type="dxa"/>
            <w:vAlign w:val="bottom"/>
          </w:tcPr>
          <w:p>
            <w:pPr>
              <w:spacing w:after="0"/>
              <w:rPr>
                <w:sz w:val="14"/>
                <w:szCs w:val="14"/>
                <w:color w:val="auto"/>
              </w:rPr>
            </w:pPr>
          </w:p>
        </w:tc>
        <w:tc>
          <w:tcPr>
            <w:tcW w:w="18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TOTAL</w:t>
            </w:r>
          </w:p>
        </w:tc>
        <w:tc>
          <w:tcPr>
            <w:tcW w:w="1300" w:type="dxa"/>
            <w:vAlign w:val="bottom"/>
          </w:tcPr>
          <w:p>
            <w:pPr>
              <w:ind w:left="920"/>
              <w:spacing w:after="0" w:line="164" w:lineRule="exact"/>
              <w:rPr>
                <w:sz w:val="20"/>
                <w:szCs w:val="20"/>
                <w:color w:val="auto"/>
              </w:rPr>
            </w:pPr>
            <w:r>
              <w:rPr>
                <w:rFonts w:ascii="Calibri" w:cs="Calibri" w:eastAsia="Calibri" w:hAnsi="Calibri"/>
                <w:sz w:val="14"/>
                <w:szCs w:val="14"/>
                <w:b w:val="1"/>
                <w:bCs w:val="1"/>
                <w:color w:val="auto"/>
              </w:rPr>
              <w:t>—</w:t>
            </w:r>
          </w:p>
        </w:tc>
        <w:tc>
          <w:tcPr>
            <w:tcW w:w="1120" w:type="dxa"/>
            <w:vAlign w:val="bottom"/>
          </w:tcPr>
          <w:p>
            <w:pPr>
              <w:jc w:val="right"/>
              <w:ind w:right="169"/>
              <w:spacing w:after="0" w:line="164" w:lineRule="exact"/>
              <w:rPr>
                <w:sz w:val="20"/>
                <w:szCs w:val="20"/>
                <w:color w:val="auto"/>
              </w:rPr>
            </w:pPr>
            <w:r>
              <w:rPr>
                <w:rFonts w:ascii="Calibri" w:cs="Calibri" w:eastAsia="Calibri" w:hAnsi="Calibri"/>
                <w:sz w:val="14"/>
                <w:szCs w:val="14"/>
                <w:b w:val="1"/>
                <w:bCs w:val="1"/>
                <w:color w:val="auto"/>
              </w:rPr>
              <w:t>19,450,648</w:t>
            </w:r>
          </w:p>
        </w:tc>
        <w:tc>
          <w:tcPr>
            <w:tcW w:w="1120" w:type="dxa"/>
            <w:vAlign w:val="bottom"/>
          </w:tcPr>
          <w:p>
            <w:pPr>
              <w:jc w:val="right"/>
              <w:ind w:right="169"/>
              <w:spacing w:after="0" w:line="164" w:lineRule="exact"/>
              <w:rPr>
                <w:sz w:val="20"/>
                <w:szCs w:val="20"/>
                <w:color w:val="auto"/>
              </w:rPr>
            </w:pPr>
            <w:r>
              <w:rPr>
                <w:rFonts w:ascii="Calibri" w:cs="Calibri" w:eastAsia="Calibri" w:hAnsi="Calibri"/>
                <w:sz w:val="14"/>
                <w:szCs w:val="14"/>
                <w:b w:val="1"/>
                <w:bCs w:val="1"/>
                <w:color w:val="auto"/>
              </w:rPr>
              <w:t>6,432,208</w:t>
            </w:r>
          </w:p>
        </w:tc>
        <w:tc>
          <w:tcPr>
            <w:tcW w:w="1120" w:type="dxa"/>
            <w:vAlign w:val="bottom"/>
          </w:tcPr>
          <w:p>
            <w:pPr>
              <w:jc w:val="right"/>
              <w:ind w:right="189"/>
              <w:spacing w:after="0" w:line="164" w:lineRule="exact"/>
              <w:rPr>
                <w:sz w:val="20"/>
                <w:szCs w:val="20"/>
                <w:color w:val="auto"/>
              </w:rPr>
            </w:pPr>
            <w:r>
              <w:rPr>
                <w:rFonts w:ascii="Calibri" w:cs="Calibri" w:eastAsia="Calibri" w:hAnsi="Calibri"/>
                <w:sz w:val="14"/>
                <w:szCs w:val="14"/>
                <w:b w:val="1"/>
                <w:bCs w:val="1"/>
                <w:color w:val="auto"/>
              </w:rPr>
              <w:t>2,567,835</w:t>
            </w:r>
          </w:p>
        </w:tc>
        <w:tc>
          <w:tcPr>
            <w:tcW w:w="1060" w:type="dxa"/>
            <w:vAlign w:val="bottom"/>
          </w:tcPr>
          <w:p>
            <w:pPr>
              <w:jc w:val="right"/>
              <w:ind w:right="129"/>
              <w:spacing w:after="0" w:line="164" w:lineRule="exact"/>
              <w:rPr>
                <w:sz w:val="20"/>
                <w:szCs w:val="20"/>
                <w:color w:val="auto"/>
              </w:rPr>
            </w:pPr>
            <w:r>
              <w:rPr>
                <w:rFonts w:ascii="Calibri" w:cs="Calibri" w:eastAsia="Calibri" w:hAnsi="Calibri"/>
                <w:sz w:val="14"/>
                <w:szCs w:val="14"/>
                <w:b w:val="1"/>
                <w:bCs w:val="1"/>
                <w:color w:val="auto"/>
              </w:rPr>
              <w:t>—</w:t>
            </w:r>
          </w:p>
        </w:tc>
        <w:tc>
          <w:tcPr>
            <w:tcW w:w="940" w:type="dxa"/>
            <w:vAlign w:val="bottom"/>
          </w:tcPr>
          <w:p>
            <w:pPr>
              <w:ind w:left="760"/>
              <w:spacing w:after="0" w:line="164" w:lineRule="exact"/>
              <w:rPr>
                <w:sz w:val="20"/>
                <w:szCs w:val="20"/>
                <w:color w:val="auto"/>
              </w:rPr>
            </w:pPr>
            <w:r>
              <w:rPr>
                <w:rFonts w:ascii="Calibri" w:cs="Calibri" w:eastAsia="Calibri" w:hAnsi="Calibri"/>
                <w:sz w:val="14"/>
                <w:szCs w:val="14"/>
                <w:b w:val="1"/>
                <w:bCs w:val="1"/>
                <w:color w:val="auto"/>
              </w:rPr>
              <w:t>—</w:t>
            </w:r>
          </w:p>
        </w:tc>
      </w:tr>
      <w:tr>
        <w:trPr>
          <w:trHeight w:val="33"/>
        </w:trPr>
        <w:tc>
          <w:tcPr>
            <w:tcW w:w="2780" w:type="dxa"/>
            <w:vAlign w:val="bottom"/>
            <w:tcBorders>
              <w:bottom w:val="single" w:sz="8" w:color="959595"/>
            </w:tcBorders>
          </w:tcPr>
          <w:p>
            <w:pPr>
              <w:spacing w:after="0"/>
              <w:rPr>
                <w:sz w:val="2"/>
                <w:szCs w:val="2"/>
                <w:color w:val="auto"/>
              </w:rPr>
            </w:pPr>
          </w:p>
        </w:tc>
        <w:tc>
          <w:tcPr>
            <w:tcW w:w="180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940" w:type="dxa"/>
            <w:vAlign w:val="bottom"/>
            <w:tcBorders>
              <w:bottom w:val="single" w:sz="8" w:color="959595"/>
            </w:tcBorders>
          </w:tcPr>
          <w:p>
            <w:pPr>
              <w:spacing w:after="0"/>
              <w:rPr>
                <w:sz w:val="2"/>
                <w:szCs w:val="2"/>
                <w:color w:val="auto"/>
              </w:rPr>
            </w:pPr>
          </w:p>
        </w:tc>
      </w:tr>
      <w:tr>
        <w:trPr>
          <w:trHeight w:val="196"/>
        </w:trPr>
        <w:tc>
          <w:tcPr>
            <w:tcW w:w="2780" w:type="dxa"/>
            <w:vAlign w:val="bottom"/>
          </w:tcPr>
          <w:p>
            <w:pPr>
              <w:ind w:left="20"/>
              <w:spacing w:after="0"/>
              <w:rPr>
                <w:sz w:val="20"/>
                <w:szCs w:val="20"/>
                <w:color w:val="auto"/>
              </w:rPr>
            </w:pPr>
            <w:r>
              <w:rPr>
                <w:rFonts w:ascii="Calibri" w:cs="Calibri" w:eastAsia="Calibri" w:hAnsi="Calibri"/>
                <w:sz w:val="14"/>
                <w:szCs w:val="14"/>
                <w:b w:val="1"/>
                <w:bCs w:val="1"/>
                <w:color w:val="003478"/>
              </w:rPr>
              <w:t>Maryanne R. Lavan</w:t>
            </w:r>
          </w:p>
        </w:tc>
        <w:tc>
          <w:tcPr>
            <w:tcW w:w="1800" w:type="dxa"/>
            <w:vAlign w:val="bottom"/>
          </w:tcPr>
          <w:p>
            <w:pPr>
              <w:ind w:left="20"/>
              <w:spacing w:after="0" w:line="196" w:lineRule="exact"/>
              <w:rPr>
                <w:sz w:val="20"/>
                <w:szCs w:val="20"/>
                <w:color w:val="auto"/>
              </w:rPr>
            </w:pPr>
            <w:r>
              <w:rPr>
                <w:rFonts w:ascii="Calibri" w:cs="Calibri" w:eastAsia="Calibri" w:hAnsi="Calibri"/>
                <w:sz w:val="14"/>
                <w:szCs w:val="14"/>
                <w:color w:val="auto"/>
              </w:rPr>
              <w:t>LTIP</w:t>
            </w:r>
            <w:r>
              <w:rPr>
                <w:rFonts w:ascii="Calibri" w:cs="Calibri" w:eastAsia="Calibri" w:hAnsi="Calibri"/>
                <w:sz w:val="18"/>
                <w:szCs w:val="18"/>
                <w:color w:val="auto"/>
                <w:vertAlign w:val="superscript"/>
              </w:rPr>
              <w:t>(2)</w:t>
            </w:r>
          </w:p>
        </w:tc>
        <w:tc>
          <w:tcPr>
            <w:tcW w:w="1300" w:type="dxa"/>
            <w:vAlign w:val="bottom"/>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1,292,635</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Pr>
          <w:p>
            <w:pPr>
              <w:ind w:left="760"/>
              <w:spacing w:after="0"/>
              <w:rPr>
                <w:sz w:val="20"/>
                <w:szCs w:val="20"/>
                <w:color w:val="auto"/>
              </w:rPr>
            </w:pPr>
            <w:r>
              <w:rPr>
                <w:rFonts w:ascii="Calibri" w:cs="Calibri" w:eastAsia="Calibri" w:hAnsi="Calibri"/>
                <w:sz w:val="14"/>
                <w:szCs w:val="14"/>
                <w:color w:val="auto"/>
              </w:rPr>
              <w:t>—</w:t>
            </w:r>
          </w:p>
        </w:tc>
      </w:tr>
      <w:tr>
        <w:trPr>
          <w:trHeight w:val="202"/>
        </w:trPr>
        <w:tc>
          <w:tcPr>
            <w:tcW w:w="2780" w:type="dxa"/>
            <w:vAlign w:val="bottom"/>
          </w:tcPr>
          <w:p>
            <w:pPr>
              <w:spacing w:after="0"/>
              <w:rPr>
                <w:sz w:val="17"/>
                <w:szCs w:val="17"/>
                <w:color w:val="auto"/>
              </w:rPr>
            </w:pPr>
          </w:p>
        </w:tc>
        <w:tc>
          <w:tcPr>
            <w:tcW w:w="1800" w:type="dxa"/>
            <w:vAlign w:val="bottom"/>
            <w:shd w:val="clear" w:color="auto" w:fill="E5E7EF"/>
          </w:tcPr>
          <w:p>
            <w:pPr>
              <w:ind w:left="20"/>
              <w:spacing w:after="0" w:line="203" w:lineRule="exact"/>
              <w:rPr>
                <w:sz w:val="20"/>
                <w:szCs w:val="20"/>
                <w:color w:val="auto"/>
              </w:rPr>
            </w:pPr>
            <w:r>
              <w:rPr>
                <w:rFonts w:ascii="Calibri" w:cs="Calibri" w:eastAsia="Calibri" w:hAnsi="Calibri"/>
                <w:sz w:val="14"/>
                <w:szCs w:val="14"/>
                <w:color w:val="auto"/>
              </w:rPr>
              <w:t>RSUs</w:t>
            </w:r>
            <w:r>
              <w:rPr>
                <w:rFonts w:ascii="Calibri" w:cs="Calibri" w:eastAsia="Calibri" w:hAnsi="Calibri"/>
                <w:sz w:val="18"/>
                <w:szCs w:val="18"/>
                <w:color w:val="auto"/>
                <w:vertAlign w:val="superscript"/>
              </w:rPr>
              <w:t>(3)</w:t>
            </w:r>
          </w:p>
        </w:tc>
        <w:tc>
          <w:tcPr>
            <w:tcW w:w="1300" w:type="dxa"/>
            <w:vAlign w:val="bottom"/>
            <w:shd w:val="clear" w:color="auto" w:fill="E5E7EF"/>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shd w:val="clear" w:color="auto" w:fill="E5E7EF"/>
          </w:tcPr>
          <w:p>
            <w:pPr>
              <w:jc w:val="right"/>
              <w:ind w:right="169"/>
              <w:spacing w:after="0"/>
              <w:rPr>
                <w:sz w:val="20"/>
                <w:szCs w:val="20"/>
                <w:color w:val="auto"/>
              </w:rPr>
            </w:pPr>
            <w:r>
              <w:rPr>
                <w:rFonts w:ascii="Calibri" w:cs="Calibri" w:eastAsia="Calibri" w:hAnsi="Calibri"/>
                <w:sz w:val="14"/>
                <w:szCs w:val="14"/>
                <w:color w:val="auto"/>
              </w:rPr>
              <w:t>4,137,876</w:t>
            </w:r>
          </w:p>
        </w:tc>
        <w:tc>
          <w:tcPr>
            <w:tcW w:w="1120" w:type="dxa"/>
            <w:vAlign w:val="bottom"/>
            <w:shd w:val="clear" w:color="auto" w:fill="E5E7EF"/>
          </w:tcPr>
          <w:p>
            <w:pPr>
              <w:jc w:val="right"/>
              <w:ind w:right="169"/>
              <w:spacing w:after="0"/>
              <w:rPr>
                <w:sz w:val="20"/>
                <w:szCs w:val="20"/>
                <w:color w:val="auto"/>
              </w:rPr>
            </w:pPr>
            <w:r>
              <w:rPr>
                <w:rFonts w:ascii="Calibri" w:cs="Calibri" w:eastAsia="Calibri" w:hAnsi="Calibri"/>
                <w:sz w:val="14"/>
                <w:szCs w:val="14"/>
                <w:color w:val="auto"/>
              </w:rPr>
              <w:t>4,137,876</w:t>
            </w:r>
          </w:p>
        </w:tc>
        <w:tc>
          <w:tcPr>
            <w:tcW w:w="1120" w:type="dxa"/>
            <w:vAlign w:val="bottom"/>
            <w:shd w:val="clear" w:color="auto" w:fill="E5E7EF"/>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E5E7EF"/>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tcPr>
          <w:p>
            <w:pPr>
              <w:ind w:left="20"/>
              <w:spacing w:after="0" w:line="203" w:lineRule="exact"/>
              <w:rPr>
                <w:sz w:val="20"/>
                <w:szCs w:val="20"/>
                <w:color w:val="auto"/>
              </w:rPr>
            </w:pPr>
            <w:r>
              <w:rPr>
                <w:rFonts w:ascii="Calibri" w:cs="Calibri" w:eastAsia="Calibri" w:hAnsi="Calibri"/>
                <w:sz w:val="14"/>
                <w:szCs w:val="14"/>
                <w:color w:val="auto"/>
              </w:rPr>
              <w:t>PSUs</w:t>
            </w:r>
            <w:r>
              <w:rPr>
                <w:rFonts w:ascii="Calibri" w:cs="Calibri" w:eastAsia="Calibri" w:hAnsi="Calibri"/>
                <w:sz w:val="18"/>
                <w:szCs w:val="18"/>
                <w:color w:val="auto"/>
                <w:vertAlign w:val="superscript"/>
              </w:rPr>
              <w:t>(4)</w:t>
            </w:r>
          </w:p>
        </w:tc>
        <w:tc>
          <w:tcPr>
            <w:tcW w:w="1300" w:type="dxa"/>
            <w:vAlign w:val="bottom"/>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7,137,141</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tcBorders>
              <w:bottom w:val="single" w:sz="8" w:color="959595"/>
            </w:tcBorders>
            <w:shd w:val="clear" w:color="auto" w:fill="E5E7EF"/>
          </w:tcPr>
          <w:p>
            <w:pPr>
              <w:ind w:left="20"/>
              <w:spacing w:after="0" w:line="203" w:lineRule="exact"/>
              <w:rPr>
                <w:sz w:val="20"/>
                <w:szCs w:val="20"/>
                <w:color w:val="auto"/>
              </w:rPr>
            </w:pPr>
            <w:r>
              <w:rPr>
                <w:rFonts w:ascii="Calibri" w:cs="Calibri" w:eastAsia="Calibri" w:hAnsi="Calibri"/>
                <w:sz w:val="14"/>
                <w:szCs w:val="14"/>
                <w:color w:val="auto"/>
              </w:rPr>
              <w:t>Executve Severance</w:t>
            </w:r>
            <w:r>
              <w:rPr>
                <w:rFonts w:ascii="Calibri" w:cs="Calibri" w:eastAsia="Calibri" w:hAnsi="Calibri"/>
                <w:sz w:val="18"/>
                <w:szCs w:val="18"/>
                <w:color w:val="auto"/>
                <w:vertAlign w:val="superscript"/>
              </w:rPr>
              <w:t>(5)</w:t>
            </w:r>
          </w:p>
        </w:tc>
        <w:tc>
          <w:tcPr>
            <w:tcW w:w="1300" w:type="dxa"/>
            <w:vAlign w:val="bottom"/>
            <w:tcBorders>
              <w:bottom w:val="single" w:sz="8" w:color="959595"/>
            </w:tcBorders>
            <w:shd w:val="clear" w:color="auto" w:fill="E5E7EF"/>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89"/>
              <w:spacing w:after="0"/>
              <w:rPr>
                <w:sz w:val="20"/>
                <w:szCs w:val="20"/>
                <w:color w:val="auto"/>
              </w:rPr>
            </w:pPr>
            <w:r>
              <w:rPr>
                <w:rFonts w:ascii="Calibri" w:cs="Calibri" w:eastAsia="Calibri" w:hAnsi="Calibri"/>
                <w:sz w:val="14"/>
                <w:szCs w:val="14"/>
                <w:color w:val="auto"/>
              </w:rPr>
              <w:t>1,942,274</w:t>
            </w:r>
          </w:p>
        </w:tc>
        <w:tc>
          <w:tcPr>
            <w:tcW w:w="1060" w:type="dxa"/>
            <w:vAlign w:val="bottom"/>
            <w:tcBorders>
              <w:bottom w:val="single" w:sz="8" w:color="959595"/>
            </w:tcBorders>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Borders>
              <w:bottom w:val="single" w:sz="8" w:color="959595"/>
            </w:tcBorders>
            <w:shd w:val="clear" w:color="auto" w:fill="E5E7EF"/>
          </w:tcPr>
          <w:p>
            <w:pPr>
              <w:ind w:left="760"/>
              <w:spacing w:after="0"/>
              <w:rPr>
                <w:sz w:val="20"/>
                <w:szCs w:val="20"/>
                <w:color w:val="auto"/>
              </w:rPr>
            </w:pPr>
            <w:r>
              <w:rPr>
                <w:rFonts w:ascii="Calibri" w:cs="Calibri" w:eastAsia="Calibri" w:hAnsi="Calibri"/>
                <w:sz w:val="14"/>
                <w:szCs w:val="14"/>
                <w:color w:val="auto"/>
              </w:rPr>
              <w:t>—</w:t>
            </w:r>
          </w:p>
        </w:tc>
      </w:tr>
      <w:tr>
        <w:trPr>
          <w:trHeight w:val="163"/>
        </w:trPr>
        <w:tc>
          <w:tcPr>
            <w:tcW w:w="2780" w:type="dxa"/>
            <w:vAlign w:val="bottom"/>
          </w:tcPr>
          <w:p>
            <w:pPr>
              <w:spacing w:after="0"/>
              <w:rPr>
                <w:sz w:val="14"/>
                <w:szCs w:val="14"/>
                <w:color w:val="auto"/>
              </w:rPr>
            </w:pPr>
          </w:p>
        </w:tc>
        <w:tc>
          <w:tcPr>
            <w:tcW w:w="18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TOTAL</w:t>
            </w:r>
          </w:p>
        </w:tc>
        <w:tc>
          <w:tcPr>
            <w:tcW w:w="1300" w:type="dxa"/>
            <w:vAlign w:val="bottom"/>
          </w:tcPr>
          <w:p>
            <w:pPr>
              <w:ind w:left="920"/>
              <w:spacing w:after="0" w:line="164" w:lineRule="exact"/>
              <w:rPr>
                <w:sz w:val="20"/>
                <w:szCs w:val="20"/>
                <w:color w:val="auto"/>
              </w:rPr>
            </w:pPr>
            <w:r>
              <w:rPr>
                <w:rFonts w:ascii="Calibri" w:cs="Calibri" w:eastAsia="Calibri" w:hAnsi="Calibri"/>
                <w:sz w:val="14"/>
                <w:szCs w:val="14"/>
                <w:b w:val="1"/>
                <w:bCs w:val="1"/>
                <w:color w:val="auto"/>
              </w:rPr>
              <w:t>—</w:t>
            </w:r>
          </w:p>
        </w:tc>
        <w:tc>
          <w:tcPr>
            <w:tcW w:w="1120" w:type="dxa"/>
            <w:vAlign w:val="bottom"/>
          </w:tcPr>
          <w:p>
            <w:pPr>
              <w:jc w:val="right"/>
              <w:ind w:right="169"/>
              <w:spacing w:after="0" w:line="164" w:lineRule="exact"/>
              <w:rPr>
                <w:sz w:val="20"/>
                <w:szCs w:val="20"/>
                <w:color w:val="auto"/>
              </w:rPr>
            </w:pPr>
            <w:r>
              <w:rPr>
                <w:rFonts w:ascii="Calibri" w:cs="Calibri" w:eastAsia="Calibri" w:hAnsi="Calibri"/>
                <w:sz w:val="14"/>
                <w:szCs w:val="14"/>
                <w:b w:val="1"/>
                <w:bCs w:val="1"/>
                <w:color w:val="auto"/>
              </w:rPr>
              <w:t>12,567,652</w:t>
            </w:r>
          </w:p>
        </w:tc>
        <w:tc>
          <w:tcPr>
            <w:tcW w:w="1120" w:type="dxa"/>
            <w:vAlign w:val="bottom"/>
          </w:tcPr>
          <w:p>
            <w:pPr>
              <w:jc w:val="right"/>
              <w:ind w:right="169"/>
              <w:spacing w:after="0" w:line="164" w:lineRule="exact"/>
              <w:rPr>
                <w:sz w:val="20"/>
                <w:szCs w:val="20"/>
                <w:color w:val="auto"/>
              </w:rPr>
            </w:pPr>
            <w:r>
              <w:rPr>
                <w:rFonts w:ascii="Calibri" w:cs="Calibri" w:eastAsia="Calibri" w:hAnsi="Calibri"/>
                <w:sz w:val="14"/>
                <w:szCs w:val="14"/>
                <w:b w:val="1"/>
                <w:bCs w:val="1"/>
                <w:color w:val="auto"/>
              </w:rPr>
              <w:t>4,137,876</w:t>
            </w:r>
          </w:p>
        </w:tc>
        <w:tc>
          <w:tcPr>
            <w:tcW w:w="1120" w:type="dxa"/>
            <w:vAlign w:val="bottom"/>
          </w:tcPr>
          <w:p>
            <w:pPr>
              <w:jc w:val="right"/>
              <w:ind w:right="189"/>
              <w:spacing w:after="0" w:line="164" w:lineRule="exact"/>
              <w:rPr>
                <w:sz w:val="20"/>
                <w:szCs w:val="20"/>
                <w:color w:val="auto"/>
              </w:rPr>
            </w:pPr>
            <w:r>
              <w:rPr>
                <w:rFonts w:ascii="Calibri" w:cs="Calibri" w:eastAsia="Calibri" w:hAnsi="Calibri"/>
                <w:sz w:val="14"/>
                <w:szCs w:val="14"/>
                <w:b w:val="1"/>
                <w:bCs w:val="1"/>
                <w:color w:val="auto"/>
              </w:rPr>
              <w:t>1,942,274</w:t>
            </w:r>
          </w:p>
        </w:tc>
        <w:tc>
          <w:tcPr>
            <w:tcW w:w="1060" w:type="dxa"/>
            <w:vAlign w:val="bottom"/>
          </w:tcPr>
          <w:p>
            <w:pPr>
              <w:jc w:val="right"/>
              <w:ind w:right="129"/>
              <w:spacing w:after="0" w:line="164" w:lineRule="exact"/>
              <w:rPr>
                <w:sz w:val="20"/>
                <w:szCs w:val="20"/>
                <w:color w:val="auto"/>
              </w:rPr>
            </w:pPr>
            <w:r>
              <w:rPr>
                <w:rFonts w:ascii="Calibri" w:cs="Calibri" w:eastAsia="Calibri" w:hAnsi="Calibri"/>
                <w:sz w:val="14"/>
                <w:szCs w:val="14"/>
                <w:b w:val="1"/>
                <w:bCs w:val="1"/>
                <w:color w:val="auto"/>
              </w:rPr>
              <w:t>—</w:t>
            </w:r>
          </w:p>
        </w:tc>
        <w:tc>
          <w:tcPr>
            <w:tcW w:w="940" w:type="dxa"/>
            <w:vAlign w:val="bottom"/>
          </w:tcPr>
          <w:p>
            <w:pPr>
              <w:ind w:left="760"/>
              <w:spacing w:after="0" w:line="164" w:lineRule="exact"/>
              <w:rPr>
                <w:sz w:val="20"/>
                <w:szCs w:val="20"/>
                <w:color w:val="auto"/>
              </w:rPr>
            </w:pPr>
            <w:r>
              <w:rPr>
                <w:rFonts w:ascii="Calibri" w:cs="Calibri" w:eastAsia="Calibri" w:hAnsi="Calibri"/>
                <w:sz w:val="14"/>
                <w:szCs w:val="14"/>
                <w:b w:val="1"/>
                <w:bCs w:val="1"/>
                <w:color w:val="auto"/>
              </w:rPr>
              <w:t>—</w:t>
            </w:r>
          </w:p>
        </w:tc>
      </w:tr>
      <w:tr>
        <w:trPr>
          <w:trHeight w:val="33"/>
        </w:trPr>
        <w:tc>
          <w:tcPr>
            <w:tcW w:w="2780" w:type="dxa"/>
            <w:vAlign w:val="bottom"/>
            <w:tcBorders>
              <w:bottom w:val="single" w:sz="8" w:color="959595"/>
            </w:tcBorders>
          </w:tcPr>
          <w:p>
            <w:pPr>
              <w:spacing w:after="0"/>
              <w:rPr>
                <w:sz w:val="2"/>
                <w:szCs w:val="2"/>
                <w:color w:val="auto"/>
              </w:rPr>
            </w:pPr>
          </w:p>
        </w:tc>
        <w:tc>
          <w:tcPr>
            <w:tcW w:w="180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940" w:type="dxa"/>
            <w:vAlign w:val="bottom"/>
            <w:tcBorders>
              <w:bottom w:val="single" w:sz="8" w:color="959595"/>
            </w:tcBorders>
          </w:tcPr>
          <w:p>
            <w:pPr>
              <w:spacing w:after="0"/>
              <w:rPr>
                <w:sz w:val="2"/>
                <w:szCs w:val="2"/>
                <w:color w:val="auto"/>
              </w:rPr>
            </w:pPr>
          </w:p>
        </w:tc>
      </w:tr>
      <w:tr>
        <w:trPr>
          <w:trHeight w:val="196"/>
        </w:trPr>
        <w:tc>
          <w:tcPr>
            <w:tcW w:w="2780" w:type="dxa"/>
            <w:vAlign w:val="bottom"/>
          </w:tcPr>
          <w:p>
            <w:pPr>
              <w:ind w:left="20"/>
              <w:spacing w:after="0"/>
              <w:rPr>
                <w:sz w:val="20"/>
                <w:szCs w:val="20"/>
                <w:color w:val="auto"/>
              </w:rPr>
            </w:pPr>
            <w:r>
              <w:rPr>
                <w:rFonts w:ascii="Calibri" w:cs="Calibri" w:eastAsia="Calibri" w:hAnsi="Calibri"/>
                <w:sz w:val="14"/>
                <w:szCs w:val="14"/>
                <w:b w:val="1"/>
                <w:bCs w:val="1"/>
                <w:color w:val="003478"/>
              </w:rPr>
              <w:t>Gregory M. Ulmer</w:t>
            </w:r>
          </w:p>
        </w:tc>
        <w:tc>
          <w:tcPr>
            <w:tcW w:w="1800" w:type="dxa"/>
            <w:vAlign w:val="bottom"/>
          </w:tcPr>
          <w:p>
            <w:pPr>
              <w:ind w:left="20"/>
              <w:spacing w:after="0" w:line="196" w:lineRule="exact"/>
              <w:rPr>
                <w:sz w:val="20"/>
                <w:szCs w:val="20"/>
                <w:color w:val="auto"/>
              </w:rPr>
            </w:pPr>
            <w:r>
              <w:rPr>
                <w:rFonts w:ascii="Calibri" w:cs="Calibri" w:eastAsia="Calibri" w:hAnsi="Calibri"/>
                <w:sz w:val="14"/>
                <w:szCs w:val="14"/>
                <w:color w:val="auto"/>
              </w:rPr>
              <w:t>LTIP</w:t>
            </w:r>
            <w:r>
              <w:rPr>
                <w:rFonts w:ascii="Calibri" w:cs="Calibri" w:eastAsia="Calibri" w:hAnsi="Calibri"/>
                <w:sz w:val="18"/>
                <w:szCs w:val="18"/>
                <w:color w:val="auto"/>
                <w:vertAlign w:val="superscript"/>
              </w:rPr>
              <w:t>(2)</w:t>
            </w:r>
          </w:p>
        </w:tc>
        <w:tc>
          <w:tcPr>
            <w:tcW w:w="1300" w:type="dxa"/>
            <w:vAlign w:val="bottom"/>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1,088,888</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shd w:val="clear" w:color="auto" w:fill="E5E7EF"/>
          </w:tcPr>
          <w:p>
            <w:pPr>
              <w:ind w:left="20"/>
              <w:spacing w:after="0" w:line="203" w:lineRule="exact"/>
              <w:rPr>
                <w:sz w:val="20"/>
                <w:szCs w:val="20"/>
                <w:color w:val="auto"/>
              </w:rPr>
            </w:pPr>
            <w:r>
              <w:rPr>
                <w:rFonts w:ascii="Calibri" w:cs="Calibri" w:eastAsia="Calibri" w:hAnsi="Calibri"/>
                <w:sz w:val="14"/>
                <w:szCs w:val="14"/>
                <w:color w:val="auto"/>
              </w:rPr>
              <w:t>RSUs</w:t>
            </w:r>
            <w:r>
              <w:rPr>
                <w:rFonts w:ascii="Calibri" w:cs="Calibri" w:eastAsia="Calibri" w:hAnsi="Calibri"/>
                <w:sz w:val="18"/>
                <w:szCs w:val="18"/>
                <w:color w:val="auto"/>
                <w:vertAlign w:val="superscript"/>
              </w:rPr>
              <w:t>(3)</w:t>
            </w:r>
          </w:p>
        </w:tc>
        <w:tc>
          <w:tcPr>
            <w:tcW w:w="1300" w:type="dxa"/>
            <w:vAlign w:val="bottom"/>
            <w:shd w:val="clear" w:color="auto" w:fill="E5E7EF"/>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shd w:val="clear" w:color="auto" w:fill="E5E7EF"/>
          </w:tcPr>
          <w:p>
            <w:pPr>
              <w:jc w:val="right"/>
              <w:ind w:right="169"/>
              <w:spacing w:after="0"/>
              <w:rPr>
                <w:sz w:val="20"/>
                <w:szCs w:val="20"/>
                <w:color w:val="auto"/>
              </w:rPr>
            </w:pPr>
            <w:r>
              <w:rPr>
                <w:rFonts w:ascii="Calibri" w:cs="Calibri" w:eastAsia="Calibri" w:hAnsi="Calibri"/>
                <w:sz w:val="14"/>
                <w:szCs w:val="14"/>
                <w:color w:val="auto"/>
              </w:rPr>
              <w:t>3,838,954</w:t>
            </w:r>
          </w:p>
        </w:tc>
        <w:tc>
          <w:tcPr>
            <w:tcW w:w="1120" w:type="dxa"/>
            <w:vAlign w:val="bottom"/>
            <w:shd w:val="clear" w:color="auto" w:fill="E5E7EF"/>
          </w:tcPr>
          <w:p>
            <w:pPr>
              <w:jc w:val="right"/>
              <w:ind w:right="169"/>
              <w:spacing w:after="0"/>
              <w:rPr>
                <w:sz w:val="20"/>
                <w:szCs w:val="20"/>
                <w:color w:val="auto"/>
              </w:rPr>
            </w:pPr>
            <w:r>
              <w:rPr>
                <w:rFonts w:ascii="Calibri" w:cs="Calibri" w:eastAsia="Calibri" w:hAnsi="Calibri"/>
                <w:sz w:val="14"/>
                <w:szCs w:val="14"/>
                <w:color w:val="auto"/>
              </w:rPr>
              <w:t>3,838,954</w:t>
            </w:r>
          </w:p>
        </w:tc>
        <w:tc>
          <w:tcPr>
            <w:tcW w:w="1120" w:type="dxa"/>
            <w:vAlign w:val="bottom"/>
            <w:shd w:val="clear" w:color="auto" w:fill="E5E7EF"/>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shd w:val="clear" w:color="auto" w:fill="E5E7EF"/>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tcPr>
          <w:p>
            <w:pPr>
              <w:ind w:left="20"/>
              <w:spacing w:after="0" w:line="203" w:lineRule="exact"/>
              <w:rPr>
                <w:sz w:val="20"/>
                <w:szCs w:val="20"/>
                <w:color w:val="auto"/>
              </w:rPr>
            </w:pPr>
            <w:r>
              <w:rPr>
                <w:rFonts w:ascii="Calibri" w:cs="Calibri" w:eastAsia="Calibri" w:hAnsi="Calibri"/>
                <w:sz w:val="14"/>
                <w:szCs w:val="14"/>
                <w:color w:val="auto"/>
              </w:rPr>
              <w:t>PSUs</w:t>
            </w:r>
            <w:r>
              <w:rPr>
                <w:rFonts w:ascii="Calibri" w:cs="Calibri" w:eastAsia="Calibri" w:hAnsi="Calibri"/>
                <w:sz w:val="18"/>
                <w:szCs w:val="18"/>
                <w:color w:val="auto"/>
                <w:vertAlign w:val="superscript"/>
              </w:rPr>
              <w:t>(4)</w:t>
            </w:r>
          </w:p>
        </w:tc>
        <w:tc>
          <w:tcPr>
            <w:tcW w:w="1300" w:type="dxa"/>
            <w:vAlign w:val="bottom"/>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5,662,746</w:t>
            </w:r>
          </w:p>
        </w:tc>
        <w:tc>
          <w:tcPr>
            <w:tcW w:w="1120" w:type="dxa"/>
            <w:vAlign w:val="bottom"/>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Pr>
          <w:p>
            <w:pPr>
              <w:jc w:val="right"/>
              <w:ind w:right="189"/>
              <w:spacing w:after="0"/>
              <w:rPr>
                <w:sz w:val="20"/>
                <w:szCs w:val="20"/>
                <w:color w:val="auto"/>
              </w:rPr>
            </w:pPr>
            <w:r>
              <w:rPr>
                <w:rFonts w:ascii="Calibri" w:cs="Calibri" w:eastAsia="Calibri" w:hAnsi="Calibri"/>
                <w:sz w:val="14"/>
                <w:szCs w:val="14"/>
                <w:color w:val="auto"/>
              </w:rPr>
              <w:t>—</w:t>
            </w:r>
          </w:p>
        </w:tc>
        <w:tc>
          <w:tcPr>
            <w:tcW w:w="1060" w:type="dxa"/>
            <w:vAlign w:val="bottom"/>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Pr>
          <w:p>
            <w:pPr>
              <w:ind w:left="760"/>
              <w:spacing w:after="0"/>
              <w:rPr>
                <w:sz w:val="20"/>
                <w:szCs w:val="20"/>
                <w:color w:val="auto"/>
              </w:rPr>
            </w:pPr>
            <w:r>
              <w:rPr>
                <w:rFonts w:ascii="Calibri" w:cs="Calibri" w:eastAsia="Calibri" w:hAnsi="Calibri"/>
                <w:sz w:val="14"/>
                <w:szCs w:val="14"/>
                <w:color w:val="auto"/>
              </w:rPr>
              <w:t>—</w:t>
            </w:r>
          </w:p>
        </w:tc>
      </w:tr>
      <w:tr>
        <w:trPr>
          <w:trHeight w:val="203"/>
        </w:trPr>
        <w:tc>
          <w:tcPr>
            <w:tcW w:w="2780" w:type="dxa"/>
            <w:vAlign w:val="bottom"/>
          </w:tcPr>
          <w:p>
            <w:pPr>
              <w:spacing w:after="0"/>
              <w:rPr>
                <w:sz w:val="17"/>
                <w:szCs w:val="17"/>
                <w:color w:val="auto"/>
              </w:rPr>
            </w:pPr>
          </w:p>
        </w:tc>
        <w:tc>
          <w:tcPr>
            <w:tcW w:w="1800" w:type="dxa"/>
            <w:vAlign w:val="bottom"/>
            <w:tcBorders>
              <w:bottom w:val="single" w:sz="8" w:color="959595"/>
            </w:tcBorders>
            <w:shd w:val="clear" w:color="auto" w:fill="E5E7EF"/>
          </w:tcPr>
          <w:p>
            <w:pPr>
              <w:ind w:left="20"/>
              <w:spacing w:after="0" w:line="203" w:lineRule="exact"/>
              <w:rPr>
                <w:sz w:val="20"/>
                <w:szCs w:val="20"/>
                <w:color w:val="auto"/>
              </w:rPr>
            </w:pPr>
            <w:r>
              <w:rPr>
                <w:rFonts w:ascii="Calibri" w:cs="Calibri" w:eastAsia="Calibri" w:hAnsi="Calibri"/>
                <w:sz w:val="14"/>
                <w:szCs w:val="14"/>
                <w:color w:val="auto"/>
              </w:rPr>
              <w:t>Executve Severance</w:t>
            </w:r>
            <w:r>
              <w:rPr>
                <w:rFonts w:ascii="Calibri" w:cs="Calibri" w:eastAsia="Calibri" w:hAnsi="Calibri"/>
                <w:sz w:val="18"/>
                <w:szCs w:val="18"/>
                <w:color w:val="auto"/>
                <w:vertAlign w:val="superscript"/>
              </w:rPr>
              <w:t>(5)</w:t>
            </w:r>
          </w:p>
        </w:tc>
        <w:tc>
          <w:tcPr>
            <w:tcW w:w="1300" w:type="dxa"/>
            <w:vAlign w:val="bottom"/>
            <w:tcBorders>
              <w:bottom w:val="single" w:sz="8" w:color="959595"/>
            </w:tcBorders>
            <w:shd w:val="clear" w:color="auto" w:fill="E5E7EF"/>
          </w:tcPr>
          <w:p>
            <w:pPr>
              <w:ind w:left="920"/>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959595"/>
            </w:tcBorders>
            <w:shd w:val="clear" w:color="auto" w:fill="E5E7EF"/>
          </w:tcPr>
          <w:p>
            <w:pPr>
              <w:jc w:val="right"/>
              <w:ind w:right="189"/>
              <w:spacing w:after="0"/>
              <w:rPr>
                <w:sz w:val="20"/>
                <w:szCs w:val="20"/>
                <w:color w:val="auto"/>
              </w:rPr>
            </w:pPr>
            <w:r>
              <w:rPr>
                <w:rFonts w:ascii="Calibri" w:cs="Calibri" w:eastAsia="Calibri" w:hAnsi="Calibri"/>
                <w:sz w:val="14"/>
                <w:szCs w:val="14"/>
                <w:color w:val="auto"/>
              </w:rPr>
              <w:t>2,133,354</w:t>
            </w:r>
          </w:p>
        </w:tc>
        <w:tc>
          <w:tcPr>
            <w:tcW w:w="1060" w:type="dxa"/>
            <w:vAlign w:val="bottom"/>
            <w:tcBorders>
              <w:bottom w:val="single" w:sz="8" w:color="959595"/>
            </w:tcBorders>
            <w:shd w:val="clear" w:color="auto" w:fill="E5E7EF"/>
          </w:tcPr>
          <w:p>
            <w:pPr>
              <w:jc w:val="right"/>
              <w:ind w:right="129"/>
              <w:spacing w:after="0"/>
              <w:rPr>
                <w:sz w:val="20"/>
                <w:szCs w:val="20"/>
                <w:color w:val="auto"/>
              </w:rPr>
            </w:pPr>
            <w:r>
              <w:rPr>
                <w:rFonts w:ascii="Calibri" w:cs="Calibri" w:eastAsia="Calibri" w:hAnsi="Calibri"/>
                <w:sz w:val="14"/>
                <w:szCs w:val="14"/>
                <w:color w:val="auto"/>
              </w:rPr>
              <w:t>—</w:t>
            </w:r>
          </w:p>
        </w:tc>
        <w:tc>
          <w:tcPr>
            <w:tcW w:w="940" w:type="dxa"/>
            <w:vAlign w:val="bottom"/>
            <w:tcBorders>
              <w:bottom w:val="single" w:sz="8" w:color="959595"/>
            </w:tcBorders>
            <w:shd w:val="clear" w:color="auto" w:fill="E5E7EF"/>
          </w:tcPr>
          <w:p>
            <w:pPr>
              <w:ind w:left="760"/>
              <w:spacing w:after="0"/>
              <w:rPr>
                <w:sz w:val="20"/>
                <w:szCs w:val="20"/>
                <w:color w:val="auto"/>
              </w:rPr>
            </w:pPr>
            <w:r>
              <w:rPr>
                <w:rFonts w:ascii="Calibri" w:cs="Calibri" w:eastAsia="Calibri" w:hAnsi="Calibri"/>
                <w:sz w:val="14"/>
                <w:szCs w:val="14"/>
                <w:color w:val="auto"/>
              </w:rPr>
              <w:t>—</w:t>
            </w:r>
          </w:p>
        </w:tc>
      </w:tr>
      <w:tr>
        <w:trPr>
          <w:trHeight w:val="163"/>
        </w:trPr>
        <w:tc>
          <w:tcPr>
            <w:tcW w:w="2780" w:type="dxa"/>
            <w:vAlign w:val="bottom"/>
          </w:tcPr>
          <w:p>
            <w:pPr>
              <w:spacing w:after="0"/>
              <w:rPr>
                <w:sz w:val="14"/>
                <w:szCs w:val="14"/>
                <w:color w:val="auto"/>
              </w:rPr>
            </w:pPr>
          </w:p>
        </w:tc>
        <w:tc>
          <w:tcPr>
            <w:tcW w:w="18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TOTAL</w:t>
            </w:r>
          </w:p>
        </w:tc>
        <w:tc>
          <w:tcPr>
            <w:tcW w:w="1300" w:type="dxa"/>
            <w:vAlign w:val="bottom"/>
          </w:tcPr>
          <w:p>
            <w:pPr>
              <w:ind w:left="920"/>
              <w:spacing w:after="0" w:line="164" w:lineRule="exact"/>
              <w:rPr>
                <w:sz w:val="20"/>
                <w:szCs w:val="20"/>
                <w:color w:val="auto"/>
              </w:rPr>
            </w:pPr>
            <w:r>
              <w:rPr>
                <w:rFonts w:ascii="Calibri" w:cs="Calibri" w:eastAsia="Calibri" w:hAnsi="Calibri"/>
                <w:sz w:val="14"/>
                <w:szCs w:val="14"/>
                <w:b w:val="1"/>
                <w:bCs w:val="1"/>
                <w:color w:val="auto"/>
              </w:rPr>
              <w:t>—</w:t>
            </w:r>
          </w:p>
        </w:tc>
        <w:tc>
          <w:tcPr>
            <w:tcW w:w="1120" w:type="dxa"/>
            <w:vAlign w:val="bottom"/>
          </w:tcPr>
          <w:p>
            <w:pPr>
              <w:jc w:val="right"/>
              <w:ind w:right="169"/>
              <w:spacing w:after="0" w:line="164" w:lineRule="exact"/>
              <w:rPr>
                <w:sz w:val="20"/>
                <w:szCs w:val="20"/>
                <w:color w:val="auto"/>
              </w:rPr>
            </w:pPr>
            <w:r>
              <w:rPr>
                <w:rFonts w:ascii="Calibri" w:cs="Calibri" w:eastAsia="Calibri" w:hAnsi="Calibri"/>
                <w:sz w:val="14"/>
                <w:szCs w:val="14"/>
                <w:b w:val="1"/>
                <w:bCs w:val="1"/>
                <w:color w:val="auto"/>
              </w:rPr>
              <w:t>10,590,588</w:t>
            </w:r>
          </w:p>
        </w:tc>
        <w:tc>
          <w:tcPr>
            <w:tcW w:w="1120" w:type="dxa"/>
            <w:vAlign w:val="bottom"/>
          </w:tcPr>
          <w:p>
            <w:pPr>
              <w:jc w:val="right"/>
              <w:ind w:right="169"/>
              <w:spacing w:after="0" w:line="164" w:lineRule="exact"/>
              <w:rPr>
                <w:sz w:val="20"/>
                <w:szCs w:val="20"/>
                <w:color w:val="auto"/>
              </w:rPr>
            </w:pPr>
            <w:r>
              <w:rPr>
                <w:rFonts w:ascii="Calibri" w:cs="Calibri" w:eastAsia="Calibri" w:hAnsi="Calibri"/>
                <w:sz w:val="14"/>
                <w:szCs w:val="14"/>
                <w:b w:val="1"/>
                <w:bCs w:val="1"/>
                <w:color w:val="auto"/>
              </w:rPr>
              <w:t>3,838,954</w:t>
            </w:r>
          </w:p>
        </w:tc>
        <w:tc>
          <w:tcPr>
            <w:tcW w:w="1120" w:type="dxa"/>
            <w:vAlign w:val="bottom"/>
          </w:tcPr>
          <w:p>
            <w:pPr>
              <w:jc w:val="right"/>
              <w:ind w:right="189"/>
              <w:spacing w:after="0" w:line="164" w:lineRule="exact"/>
              <w:rPr>
                <w:sz w:val="20"/>
                <w:szCs w:val="20"/>
                <w:color w:val="auto"/>
              </w:rPr>
            </w:pPr>
            <w:r>
              <w:rPr>
                <w:rFonts w:ascii="Calibri" w:cs="Calibri" w:eastAsia="Calibri" w:hAnsi="Calibri"/>
                <w:sz w:val="14"/>
                <w:szCs w:val="14"/>
                <w:b w:val="1"/>
                <w:bCs w:val="1"/>
                <w:color w:val="auto"/>
              </w:rPr>
              <w:t>2,133,354</w:t>
            </w:r>
          </w:p>
        </w:tc>
        <w:tc>
          <w:tcPr>
            <w:tcW w:w="1060" w:type="dxa"/>
            <w:vAlign w:val="bottom"/>
          </w:tcPr>
          <w:p>
            <w:pPr>
              <w:jc w:val="right"/>
              <w:ind w:right="129"/>
              <w:spacing w:after="0" w:line="164" w:lineRule="exact"/>
              <w:rPr>
                <w:sz w:val="20"/>
                <w:szCs w:val="20"/>
                <w:color w:val="auto"/>
              </w:rPr>
            </w:pPr>
            <w:r>
              <w:rPr>
                <w:rFonts w:ascii="Calibri" w:cs="Calibri" w:eastAsia="Calibri" w:hAnsi="Calibri"/>
                <w:sz w:val="14"/>
                <w:szCs w:val="14"/>
                <w:b w:val="1"/>
                <w:bCs w:val="1"/>
                <w:color w:val="auto"/>
              </w:rPr>
              <w:t>—</w:t>
            </w:r>
          </w:p>
        </w:tc>
        <w:tc>
          <w:tcPr>
            <w:tcW w:w="940" w:type="dxa"/>
            <w:vAlign w:val="bottom"/>
          </w:tcPr>
          <w:p>
            <w:pPr>
              <w:ind w:left="760"/>
              <w:spacing w:after="0" w:line="164" w:lineRule="exact"/>
              <w:rPr>
                <w:sz w:val="20"/>
                <w:szCs w:val="20"/>
                <w:color w:val="auto"/>
              </w:rPr>
            </w:pPr>
            <w:r>
              <w:rPr>
                <w:rFonts w:ascii="Calibri" w:cs="Calibri" w:eastAsia="Calibri" w:hAnsi="Calibri"/>
                <w:sz w:val="14"/>
                <w:szCs w:val="14"/>
                <w:b w:val="1"/>
                <w:bCs w:val="1"/>
                <w:color w:val="auto"/>
              </w:rPr>
              <w:t>—</w:t>
            </w:r>
          </w:p>
        </w:tc>
      </w:tr>
      <w:tr>
        <w:trPr>
          <w:trHeight w:val="33"/>
        </w:trPr>
        <w:tc>
          <w:tcPr>
            <w:tcW w:w="2780" w:type="dxa"/>
            <w:vAlign w:val="bottom"/>
            <w:tcBorders>
              <w:bottom w:val="single" w:sz="8" w:color="959595"/>
            </w:tcBorders>
          </w:tcPr>
          <w:p>
            <w:pPr>
              <w:spacing w:after="0"/>
              <w:rPr>
                <w:sz w:val="2"/>
                <w:szCs w:val="2"/>
                <w:color w:val="auto"/>
              </w:rPr>
            </w:pPr>
          </w:p>
        </w:tc>
        <w:tc>
          <w:tcPr>
            <w:tcW w:w="1800" w:type="dxa"/>
            <w:vAlign w:val="bottom"/>
            <w:tcBorders>
              <w:bottom w:val="single" w:sz="8" w:color="959595"/>
            </w:tcBorders>
          </w:tcPr>
          <w:p>
            <w:pPr>
              <w:spacing w:after="0"/>
              <w:rPr>
                <w:sz w:val="2"/>
                <w:szCs w:val="2"/>
                <w:color w:val="auto"/>
              </w:rPr>
            </w:pPr>
          </w:p>
        </w:tc>
        <w:tc>
          <w:tcPr>
            <w:tcW w:w="130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940" w:type="dxa"/>
            <w:vAlign w:val="bottom"/>
            <w:tcBorders>
              <w:bottom w:val="single" w:sz="8" w:color="959595"/>
            </w:tcBorders>
          </w:tcPr>
          <w:p>
            <w:pPr>
              <w:spacing w:after="0"/>
              <w:rPr>
                <w:sz w:val="2"/>
                <w:szCs w:val="2"/>
                <w:color w:val="auto"/>
              </w:rPr>
            </w:pPr>
          </w:p>
        </w:tc>
      </w:tr>
    </w:tbl>
    <w:p>
      <w:pPr>
        <w:spacing w:after="0" w:line="175" w:lineRule="exact"/>
        <w:rPr>
          <w:sz w:val="20"/>
          <w:szCs w:val="20"/>
          <w:color w:val="auto"/>
        </w:rPr>
      </w:pPr>
    </w:p>
    <w:p>
      <w:pPr>
        <w:ind w:left="260" w:right="120" w:hanging="252"/>
        <w:spacing w:after="0" w:line="213" w:lineRule="auto"/>
        <w:tabs>
          <w:tab w:leader="none" w:pos="256" w:val="left"/>
        </w:tabs>
        <w:numPr>
          <w:ilvl w:val="0"/>
          <w:numId w:val="96"/>
        </w:numPr>
        <w:rPr>
          <w:rFonts w:ascii="Calibri" w:cs="Calibri" w:eastAsia="Calibri" w:hAnsi="Calibri"/>
          <w:sz w:val="19"/>
          <w:szCs w:val="19"/>
          <w:color w:val="auto"/>
          <w:vertAlign w:val="superscript"/>
        </w:rPr>
      </w:pPr>
      <w:r>
        <w:rPr>
          <w:rFonts w:ascii="Calibri" w:cs="Calibri" w:eastAsia="Calibri" w:hAnsi="Calibri"/>
          <w:sz w:val="14"/>
          <w:szCs w:val="14"/>
          <w:b w:val="1"/>
          <w:bCs w:val="1"/>
          <w:color w:val="auto"/>
        </w:rPr>
        <w:t xml:space="preserve">Terminaton/Resignaton: </w:t>
      </w:r>
      <w:r>
        <w:rPr>
          <w:rFonts w:ascii="Calibri" w:cs="Calibri" w:eastAsia="Calibri" w:hAnsi="Calibri"/>
          <w:sz w:val="14"/>
          <w:szCs w:val="14"/>
          <w:color w:val="auto"/>
        </w:rPr>
        <w:t>Resignaton by executves who are eligible for retrement, for purposes of this table, is treated as retrement. All NEOs who partcipate in the pension plans were</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eligible for retrement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304800</wp:posOffset>
            </wp:positionV>
            <wp:extent cx="1071880" cy="1803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6" w:name="page77"/>
    <w:bookmarkEnd w:id="76"/>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3" w:lineRule="exact"/>
        <w:rPr>
          <w:sz w:val="20"/>
          <w:szCs w:val="20"/>
          <w:color w:val="auto"/>
        </w:rPr>
      </w:pPr>
    </w:p>
    <w:p>
      <w:pPr>
        <w:ind w:left="260" w:right="20" w:hanging="252"/>
        <w:spacing w:after="0" w:line="229" w:lineRule="auto"/>
        <w:tabs>
          <w:tab w:leader="none" w:pos="256" w:val="left"/>
        </w:tabs>
        <w:numPr>
          <w:ilvl w:val="0"/>
          <w:numId w:val="97"/>
        </w:numPr>
        <w:rPr>
          <w:rFonts w:ascii="Calibri" w:cs="Calibri" w:eastAsia="Calibri" w:hAnsi="Calibri"/>
          <w:sz w:val="19"/>
          <w:szCs w:val="19"/>
          <w:color w:val="auto"/>
          <w:vertAlign w:val="superscript"/>
        </w:rPr>
      </w:pPr>
      <w:r>
        <w:rPr>
          <w:rFonts w:ascii="Calibri" w:cs="Calibri" w:eastAsia="Calibri" w:hAnsi="Calibri"/>
          <w:sz w:val="14"/>
          <w:szCs w:val="14"/>
          <w:b w:val="1"/>
          <w:bCs w:val="1"/>
          <w:color w:val="auto"/>
        </w:rPr>
        <w:t xml:space="preserve">Long-Term Incentve Performance Awards: </w:t>
      </w:r>
      <w:r>
        <w:rPr>
          <w:rFonts w:ascii="Calibri" w:cs="Calibri" w:eastAsia="Calibri" w:hAnsi="Calibri"/>
          <w:sz w:val="14"/>
          <w:szCs w:val="14"/>
          <w:color w:val="auto"/>
        </w:rPr>
        <w:t>The table shows an amount payable in the event of a change in control trigger event for the 2021-2023 and 2022-2024 LTIP performance</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periods. For a trigger event based upon death, disability, retrement (or resignaton afer satsfying the requirements for retrement), layof or divestture on December 31, 2022, amounts (if any) for the 2021-2023 and 2022-2024 LTIP performance periods would not be payable untl afer the end of the performance period. The estmated prorated amounts payable for the</w:t>
      </w:r>
    </w:p>
    <w:p>
      <w:pPr>
        <w:spacing w:after="0" w:line="18" w:lineRule="exact"/>
        <w:rPr>
          <w:rFonts w:ascii="Calibri" w:cs="Calibri" w:eastAsia="Calibri" w:hAnsi="Calibri"/>
          <w:sz w:val="19"/>
          <w:szCs w:val="19"/>
          <w:color w:val="auto"/>
          <w:vertAlign w:val="superscript"/>
        </w:rPr>
      </w:pPr>
    </w:p>
    <w:p>
      <w:pPr>
        <w:ind w:left="260"/>
        <w:spacing w:after="0"/>
        <w:rPr>
          <w:rFonts w:ascii="Calibri" w:cs="Calibri" w:eastAsia="Calibri" w:hAnsi="Calibri"/>
          <w:sz w:val="19"/>
          <w:szCs w:val="19"/>
          <w:color w:val="auto"/>
          <w:vertAlign w:val="superscript"/>
        </w:rPr>
      </w:pPr>
      <w:r>
        <w:rPr>
          <w:rFonts w:ascii="Calibri" w:cs="Calibri" w:eastAsia="Calibri" w:hAnsi="Calibri"/>
          <w:sz w:val="14"/>
          <w:szCs w:val="14"/>
          <w:color w:val="auto"/>
        </w:rPr>
        <w:t>2021-2023 performance cycle based on performance through December 31, 2022 are: Mr. Taiclet $4,127,200; Mr. Mollard $471,680; Mr. St. John $1,621,400; Mr. Greene $1,179,200; Ms.</w:t>
      </w:r>
    </w:p>
    <w:p>
      <w:pPr>
        <w:spacing w:after="0" w:line="5" w:lineRule="exact"/>
        <w:rPr>
          <w:rFonts w:ascii="Calibri" w:cs="Calibri" w:eastAsia="Calibri" w:hAnsi="Calibri"/>
          <w:sz w:val="19"/>
          <w:szCs w:val="19"/>
          <w:color w:val="auto"/>
          <w:vertAlign w:val="superscript"/>
        </w:rPr>
      </w:pPr>
    </w:p>
    <w:p>
      <w:pPr>
        <w:ind w:left="260" w:right="80"/>
        <w:spacing w:after="0" w:line="268"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Lavan $1,046,540 and Mr. Ulmer $1,179,200. The estmated prorated amounts payable for the 2022-2024 performance cycle based on performance through December 31, 2022 are: Mr. Taiclet $4,134,000; Mr. Malave $2,204,800; Mr. Mollard $440,960; Mr. St. John $1,653,600; Mr. Greene $1,102,400; Ms. Lavan $992,160 and Mr. Ulmer $1,102,400. The table does not include amounts for the 2020-2022 performance cycle as these amounts are reported in the “Summary Compensaton Table” (see footnote to the Non-Equity Incentve Plan Compensaton column).</w:t>
      </w:r>
    </w:p>
    <w:p>
      <w:pPr>
        <w:spacing w:after="0" w:line="237" w:lineRule="exact"/>
        <w:rPr>
          <w:rFonts w:ascii="Calibri" w:cs="Calibri" w:eastAsia="Calibri" w:hAnsi="Calibri"/>
          <w:sz w:val="19"/>
          <w:szCs w:val="19"/>
          <w:color w:val="auto"/>
          <w:vertAlign w:val="superscript"/>
        </w:rPr>
      </w:pPr>
    </w:p>
    <w:p>
      <w:pPr>
        <w:ind w:left="260" w:right="20" w:hanging="252"/>
        <w:spacing w:after="0" w:line="213" w:lineRule="auto"/>
        <w:tabs>
          <w:tab w:leader="none" w:pos="256" w:val="left"/>
        </w:tabs>
        <w:numPr>
          <w:ilvl w:val="0"/>
          <w:numId w:val="97"/>
        </w:numPr>
        <w:rPr>
          <w:rFonts w:ascii="Calibri" w:cs="Calibri" w:eastAsia="Calibri" w:hAnsi="Calibri"/>
          <w:sz w:val="19"/>
          <w:szCs w:val="19"/>
          <w:color w:val="auto"/>
          <w:vertAlign w:val="superscript"/>
        </w:rPr>
      </w:pPr>
      <w:r>
        <w:rPr>
          <w:rFonts w:ascii="Calibri" w:cs="Calibri" w:eastAsia="Calibri" w:hAnsi="Calibri"/>
          <w:sz w:val="14"/>
          <w:szCs w:val="14"/>
          <w:b w:val="1"/>
          <w:bCs w:val="1"/>
          <w:color w:val="auto"/>
        </w:rPr>
        <w:t xml:space="preserve">Restricted Stock Units: </w:t>
      </w:r>
      <w:r>
        <w:rPr>
          <w:rFonts w:ascii="Calibri" w:cs="Calibri" w:eastAsia="Calibri" w:hAnsi="Calibri"/>
          <w:sz w:val="14"/>
          <w:szCs w:val="14"/>
          <w:color w:val="auto"/>
        </w:rPr>
        <w:t>All 2020 and 2021 RSUs would contnue to vest for retrement or layof occurring on December 31, 2022 and would not become payable untl their applicable vestng</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date, and are not included in the table. All 2022 RSUs, other than Mr. Malave’s February 2022 equity replacement award, would contnue to vest for retrement or pro rata vest for layof</w:t>
      </w:r>
    </w:p>
    <w:p>
      <w:pPr>
        <w:spacing w:after="0" w:line="20" w:lineRule="exact"/>
        <w:rPr>
          <w:rFonts w:ascii="Calibri" w:cs="Calibri" w:eastAsia="Calibri" w:hAnsi="Calibri"/>
          <w:sz w:val="19"/>
          <w:szCs w:val="19"/>
          <w:color w:val="auto"/>
          <w:vertAlign w:val="superscript"/>
        </w:rPr>
      </w:pPr>
    </w:p>
    <w:p>
      <w:pPr>
        <w:ind w:left="260" w:right="40"/>
        <w:spacing w:after="0" w:line="262"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occurring on December 31, 2022 and would not become payable untl February 23, 2025. If Mr. Malave retred or resigned as of December 31, 2022, the unvested porton of his equity replacement award would be forfeited and, therefore is not included in the table. In additon, in the event of his layof as of December 31, 2022, his 2022 equity replacement award would contnue to vest. For a change in control (assuming satsfacton of the double trigger), death, disability or divestture, the reported value of the RSUs was based upon the closing price of our stock on December 30, 2022 ($486.49) plus deferred dividend equivalents that accrued. The amounts for retrement or layof on December 31, 2022 are not payable untl the end of the respectve vestng periods. For retrement under the 2020, 2021 and 2022 RSUs and layof under the 2020 and 2021 RSUs, the RSUs would have the same value on December 31, 2022 as the amounts shown for immediate payment on account of death or disability. The estmated prorated value for layof on December 31, 2022 under the 2022 RSUs (other than Mr. Malave’s 2022 equity replacement award) is: Mr. Taiclet $1,633,577; Mr. Malave $2,323,653; Mr. Mollard $145,384; Mr. St. John $653,730; Mr. Greene $435,654; Ms. Lavan $392,337 and Mr. Ulmer $435,654. If a NEO is retrement-eligible, then in the case of a divestture occurring on December 31, 2022, the RSUs will contnue to vest and are treated as a retrement.</w:t>
      </w:r>
    </w:p>
    <w:p>
      <w:pPr>
        <w:spacing w:after="0" w:line="46" w:lineRule="exact"/>
        <w:rPr>
          <w:rFonts w:ascii="Calibri" w:cs="Calibri" w:eastAsia="Calibri" w:hAnsi="Calibri"/>
          <w:sz w:val="19"/>
          <w:szCs w:val="19"/>
          <w:color w:val="auto"/>
          <w:vertAlign w:val="superscript"/>
        </w:rPr>
      </w:pPr>
    </w:p>
    <w:p>
      <w:pPr>
        <w:ind w:left="260" w:right="100" w:hanging="252"/>
        <w:spacing w:after="0" w:line="247" w:lineRule="auto"/>
        <w:tabs>
          <w:tab w:leader="none" w:pos="256" w:val="left"/>
        </w:tabs>
        <w:numPr>
          <w:ilvl w:val="0"/>
          <w:numId w:val="97"/>
        </w:numPr>
        <w:rPr>
          <w:rFonts w:ascii="Calibri" w:cs="Calibri" w:eastAsia="Calibri" w:hAnsi="Calibri"/>
          <w:sz w:val="19"/>
          <w:szCs w:val="19"/>
          <w:color w:val="auto"/>
          <w:vertAlign w:val="superscript"/>
        </w:rPr>
      </w:pPr>
      <w:r>
        <w:rPr>
          <w:rFonts w:ascii="Calibri" w:cs="Calibri" w:eastAsia="Calibri" w:hAnsi="Calibri"/>
          <w:sz w:val="14"/>
          <w:szCs w:val="14"/>
          <w:b w:val="1"/>
          <w:bCs w:val="1"/>
          <w:color w:val="auto"/>
        </w:rPr>
        <w:t xml:space="preserve">Performance Stock Units: </w:t>
      </w:r>
      <w:r>
        <w:rPr>
          <w:rFonts w:ascii="Calibri" w:cs="Calibri" w:eastAsia="Calibri" w:hAnsi="Calibri"/>
          <w:sz w:val="14"/>
          <w:szCs w:val="14"/>
          <w:color w:val="auto"/>
        </w:rPr>
        <w:t>The table shows an amount payable in the event of a change in control trigger event for the 2020-2022, 2021-2023 and 2022-2024 performance periods. The</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amount shown for the PSUs upon a change in control is the target level of the shares valued using the closing price of our stock on December 30, 2022 ($486.49) plus deferred dividend equivalents that accrued. The table assumes the double trigger occurred. For a trigger event based upon death, disability, retrement (or resignaton afer satsfying the requirements for retrement), layof or divestture on December 31, 2022, amounts (if any) for the 2020-2022, 2021-2023 and 2022-2024 PSU performance periods would be paid on a prorated basis following the end of the applicable performance period. The payments estmated to be paid on a non-prorated basis following the end of the performance cycle using the December 31, 2022 stock price are reported for the 2020-2022 PSU performance cycle in the Market Value of Shares or Units of Stock That Have Not Vested column of the “Outstanding Equity Awards at</w:t>
      </w:r>
    </w:p>
    <w:p>
      <w:pPr>
        <w:spacing w:after="0" w:line="14" w:lineRule="exact"/>
        <w:rPr>
          <w:rFonts w:ascii="Calibri" w:cs="Calibri" w:eastAsia="Calibri" w:hAnsi="Calibri"/>
          <w:sz w:val="19"/>
          <w:szCs w:val="19"/>
          <w:color w:val="auto"/>
          <w:vertAlign w:val="superscript"/>
        </w:rPr>
      </w:pPr>
    </w:p>
    <w:p>
      <w:pPr>
        <w:ind w:left="260"/>
        <w:spacing w:after="0"/>
        <w:rPr>
          <w:rFonts w:ascii="Calibri" w:cs="Calibri" w:eastAsia="Calibri" w:hAnsi="Calibri"/>
          <w:sz w:val="19"/>
          <w:szCs w:val="19"/>
          <w:color w:val="auto"/>
          <w:vertAlign w:val="superscript"/>
        </w:rPr>
      </w:pPr>
      <w:r>
        <w:rPr>
          <w:rFonts w:ascii="Calibri" w:cs="Calibri" w:eastAsia="Calibri" w:hAnsi="Calibri"/>
          <w:sz w:val="14"/>
          <w:szCs w:val="14"/>
          <w:color w:val="auto"/>
        </w:rPr>
        <w:t>2022 Fiscal Year-End Table” and for 2021-2023 and 2022-2024 in Equity Incentve Plan Awards: Market or Payout Value of Unearned Shares, Units or Other Rights That Have Not Vested</w:t>
      </w:r>
    </w:p>
    <w:p>
      <w:pPr>
        <w:spacing w:after="0" w:line="4" w:lineRule="exact"/>
        <w:rPr>
          <w:rFonts w:ascii="Calibri" w:cs="Calibri" w:eastAsia="Calibri" w:hAnsi="Calibri"/>
          <w:sz w:val="19"/>
          <w:szCs w:val="19"/>
          <w:color w:val="auto"/>
          <w:vertAlign w:val="superscript"/>
        </w:rPr>
      </w:pPr>
    </w:p>
    <w:p>
      <w:pPr>
        <w:ind w:left="260"/>
        <w:spacing w:after="0"/>
        <w:rPr>
          <w:rFonts w:ascii="Calibri" w:cs="Calibri" w:eastAsia="Calibri" w:hAnsi="Calibri"/>
          <w:sz w:val="19"/>
          <w:szCs w:val="19"/>
          <w:color w:val="auto"/>
          <w:vertAlign w:val="superscript"/>
        </w:rPr>
      </w:pPr>
      <w:r>
        <w:rPr>
          <w:rFonts w:ascii="Calibri" w:cs="Calibri" w:eastAsia="Calibri" w:hAnsi="Calibri"/>
          <w:sz w:val="14"/>
          <w:szCs w:val="14"/>
          <w:color w:val="auto"/>
        </w:rPr>
        <w:t>column of that table. The estmated prorated amounts for a trigger event occurring on December 31, 2022 plus deferred dividend equivalents that accrued are for each cycle: (i) 2020-2022</w:t>
      </w:r>
    </w:p>
    <w:p>
      <w:pPr>
        <w:spacing w:after="0" w:line="18" w:lineRule="exact"/>
        <w:rPr>
          <w:rFonts w:ascii="Calibri" w:cs="Calibri" w:eastAsia="Calibri" w:hAnsi="Calibri"/>
          <w:sz w:val="19"/>
          <w:szCs w:val="19"/>
          <w:color w:val="auto"/>
          <w:vertAlign w:val="superscript"/>
        </w:rPr>
      </w:pPr>
    </w:p>
    <w:p>
      <w:pPr>
        <w:ind w:left="260"/>
        <w:spacing w:after="0"/>
        <w:rPr>
          <w:rFonts w:ascii="Calibri" w:cs="Calibri" w:eastAsia="Calibri" w:hAnsi="Calibri"/>
          <w:sz w:val="19"/>
          <w:szCs w:val="19"/>
          <w:color w:val="auto"/>
          <w:vertAlign w:val="superscript"/>
        </w:rPr>
      </w:pPr>
      <w:r>
        <w:rPr>
          <w:rFonts w:ascii="Calibri" w:cs="Calibri" w:eastAsia="Calibri" w:hAnsi="Calibri"/>
          <w:sz w:val="14"/>
          <w:szCs w:val="14"/>
          <w:color w:val="auto"/>
        </w:rPr>
        <w:t>cycle: Mr. Taiclet $13,026,214; Mr. Mollard $142,530; Mr. St. John $4,378,231; Mr. Greene $3,765,895; Ms. Lavan $3,060,502 and Mr. Ulmer $173,627; (ii) 2021-2023 cycle: Mr. Taiclet</w:t>
      </w:r>
    </w:p>
    <w:p>
      <w:pPr>
        <w:spacing w:after="0" w:line="19" w:lineRule="exact"/>
        <w:rPr>
          <w:rFonts w:ascii="Calibri" w:cs="Calibri" w:eastAsia="Calibri" w:hAnsi="Calibri"/>
          <w:sz w:val="19"/>
          <w:szCs w:val="19"/>
          <w:color w:val="auto"/>
          <w:vertAlign w:val="superscript"/>
        </w:rPr>
      </w:pPr>
    </w:p>
    <w:p>
      <w:pPr>
        <w:ind w:left="260" w:right="120"/>
        <w:spacing w:after="0" w:line="264"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$9,967,421; Mr. Mollard $114,919; Mr. St. John $3,916,390; Mr. Greene $2,848,561; Ms. Lavan $2,527,704 and Mr. Ulmer $2,848,561; and (iii) 2022-2024 cycle: Mr. Taiclet $3,958,226; Mr. Malave $2,111,551; Mr. Mollard $42,818; Mr. St. John $1,583,788; Mr. Greene $1,056,024; Ms. Lavan $950,472 and Mr. Ulmer $1,056,024. The prorated amounts are based on the stock price and estmated performance as of December 31, 2022.</w:t>
      </w:r>
    </w:p>
    <w:p>
      <w:pPr>
        <w:spacing w:after="0" w:line="57" w:lineRule="exact"/>
        <w:rPr>
          <w:rFonts w:ascii="Calibri" w:cs="Calibri" w:eastAsia="Calibri" w:hAnsi="Calibri"/>
          <w:sz w:val="19"/>
          <w:szCs w:val="19"/>
          <w:color w:val="auto"/>
          <w:vertAlign w:val="superscript"/>
        </w:rPr>
      </w:pPr>
    </w:p>
    <w:p>
      <w:pPr>
        <w:ind w:left="260" w:right="200" w:hanging="252"/>
        <w:spacing w:after="0" w:line="229" w:lineRule="auto"/>
        <w:tabs>
          <w:tab w:leader="none" w:pos="256" w:val="left"/>
        </w:tabs>
        <w:numPr>
          <w:ilvl w:val="0"/>
          <w:numId w:val="97"/>
        </w:numPr>
        <w:rPr>
          <w:rFonts w:ascii="Calibri" w:cs="Calibri" w:eastAsia="Calibri" w:hAnsi="Calibri"/>
          <w:sz w:val="19"/>
          <w:szCs w:val="19"/>
          <w:color w:val="auto"/>
          <w:vertAlign w:val="superscript"/>
        </w:rPr>
      </w:pPr>
      <w:r>
        <w:rPr>
          <w:rFonts w:ascii="Calibri" w:cs="Calibri" w:eastAsia="Calibri" w:hAnsi="Calibri"/>
          <w:sz w:val="14"/>
          <w:szCs w:val="14"/>
          <w:b w:val="1"/>
          <w:bCs w:val="1"/>
          <w:color w:val="auto"/>
        </w:rPr>
        <w:t xml:space="preserve">Executve Severance: </w:t>
      </w:r>
      <w:r>
        <w:rPr>
          <w:rFonts w:ascii="Calibri" w:cs="Calibri" w:eastAsia="Calibri" w:hAnsi="Calibri"/>
          <w:sz w:val="14"/>
          <w:szCs w:val="14"/>
          <w:color w:val="auto"/>
        </w:rPr>
        <w:t>The total amounts projected for severance payments due to layof are based on the Executve Severance Plan. It includes payment for one year of salary (2.99 years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for Mr. Taiclet) and one year of target annual incentve (2.99 for Mr. Taiclet), estmated costs for benefts contnuaton for one year, outplacement services and relocaton assistance (if required under the plan terms).</w:t>
      </w:r>
    </w:p>
    <w:p>
      <w:pPr>
        <w:spacing w:after="0" w:line="115" w:lineRule="exact"/>
        <w:rPr>
          <w:sz w:val="20"/>
          <w:szCs w:val="20"/>
          <w:color w:val="auto"/>
        </w:rPr>
      </w:pPr>
    </w:p>
    <w:p>
      <w:pPr>
        <w:ind w:right="40"/>
        <w:spacing w:after="0" w:line="256" w:lineRule="auto"/>
        <w:rPr>
          <w:sz w:val="20"/>
          <w:szCs w:val="20"/>
          <w:color w:val="auto"/>
        </w:rPr>
      </w:pPr>
      <w:r>
        <w:rPr>
          <w:rFonts w:ascii="Calibri" w:cs="Calibri" w:eastAsia="Calibri" w:hAnsi="Calibri"/>
          <w:sz w:val="17"/>
          <w:szCs w:val="17"/>
          <w:color w:val="auto"/>
        </w:rPr>
        <w:t>Mr. Mollard and Mr. Greene are not included in the preceding table because they retred on January 1, 2023. Upon retrement, they became eligible to receive benefts under the Company’s retrement and retree medical plans. Mr. Greene and Mr. Mollard began receiving qualifed pension payments and supplemental pension payments for benefts accrued prior to January 1, 2005 on January 1, 2023. Mr. Mollard will receive his supplemental pension payments for benefts accrued afer December 31, 2004 in a lump sum on July 1, 2023. Mr. Greene will begin to receive his supplemental pension payments for benefts accrued afer December 31, 2004 on July 1, 2023. The lump sum amounts are actuarially equivalent to any other tming of payments they could have elected. Mr. Mollard and Mr. Greene are receiving payments under the nonqualifed savings and deferred compensaton plans according to the electons they made under each plan, subject to any delays in payments necessary to comply with Code secton 409A, with no acceleraton or enhanced benefts. Mr. Mollard’s and Mr. Greene’s 2020-2022, 2021-2023 and 2022-2024 RSUs, PSUs and LTIP and 2022 annual incentve awards are subject to the treatment described in the chart above under “Retrement” and their PSUs and LTIP would have the estmated values as of December 31, 2022 as shown in the footnotes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7" w:name="page78"/>
    <w:bookmarkEnd w:id="77"/>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CEO Pay Ratio</w:t>
      </w:r>
    </w:p>
    <w:p>
      <w:pPr>
        <w:spacing w:after="0" w:line="144" w:lineRule="exact"/>
        <w:rPr>
          <w:sz w:val="20"/>
          <w:szCs w:val="20"/>
          <w:color w:val="auto"/>
        </w:rPr>
      </w:pPr>
    </w:p>
    <w:p>
      <w:pPr>
        <w:ind w:right="240"/>
        <w:spacing w:after="0" w:line="253" w:lineRule="auto"/>
        <w:rPr>
          <w:sz w:val="20"/>
          <w:szCs w:val="20"/>
          <w:color w:val="auto"/>
        </w:rPr>
      </w:pPr>
      <w:r>
        <w:rPr>
          <w:rFonts w:ascii="Calibri" w:cs="Calibri" w:eastAsia="Calibri" w:hAnsi="Calibri"/>
          <w:sz w:val="17"/>
          <w:szCs w:val="17"/>
          <w:color w:val="auto"/>
        </w:rPr>
        <w:t>As required by Secton 953(b) of the Dodd-Frank Wall Street Reform and Consumer Protecton Act, and Item 402(u) of Regulaton S-K, the Company must annually disclose in its proxy statement the median of the annual total compensaton of all of its employees (excluding the CEO), the annual total compensaton of its CEO, and the rato of the CEO compensaton to the employee median compensaton. The rato of CEO pay to the pay of the Company’s median employee for fscal year 2022 is 209 to one.</w:t>
      </w:r>
    </w:p>
    <w:p>
      <w:pPr>
        <w:spacing w:after="0" w:line="110" w:lineRule="exact"/>
        <w:rPr>
          <w:sz w:val="20"/>
          <w:szCs w:val="20"/>
          <w:color w:val="auto"/>
        </w:rPr>
      </w:pPr>
    </w:p>
    <w:p>
      <w:pPr>
        <w:ind w:right="40"/>
        <w:spacing w:after="0" w:line="261" w:lineRule="auto"/>
        <w:rPr>
          <w:sz w:val="20"/>
          <w:szCs w:val="20"/>
          <w:color w:val="auto"/>
        </w:rPr>
      </w:pPr>
      <w:r>
        <w:rPr>
          <w:rFonts w:ascii="Calibri" w:cs="Calibri" w:eastAsia="Calibri" w:hAnsi="Calibri"/>
          <w:sz w:val="17"/>
          <w:szCs w:val="17"/>
          <w:color w:val="auto"/>
        </w:rPr>
        <w:t>Lockheed Martn employs approximately 116,000 employees that are, in large part, highly skilled professionals located primarily in the United States, but also in numerous other countries.</w:t>
      </w:r>
    </w:p>
    <w:p>
      <w:pPr>
        <w:spacing w:after="0" w:line="102" w:lineRule="exact"/>
        <w:rPr>
          <w:sz w:val="20"/>
          <w:szCs w:val="20"/>
          <w:color w:val="auto"/>
        </w:rPr>
      </w:pPr>
    </w:p>
    <w:p>
      <w:pPr>
        <w:ind w:right="100"/>
        <w:spacing w:after="0" w:line="258" w:lineRule="auto"/>
        <w:rPr>
          <w:sz w:val="20"/>
          <w:szCs w:val="20"/>
          <w:color w:val="auto"/>
        </w:rPr>
      </w:pPr>
      <w:r>
        <w:rPr>
          <w:rFonts w:ascii="Calibri" w:cs="Calibri" w:eastAsia="Calibri" w:hAnsi="Calibri"/>
          <w:sz w:val="17"/>
          <w:szCs w:val="17"/>
          <w:color w:val="auto"/>
        </w:rPr>
        <w:t>We conducted an analysis to determine our median employee in 2022, as our previous median employee lef the Company. A new median employee was determined for 2022 by calculatng the total annual cash compensaton (base salary plus annual incentve) of all employees except the CEO as of December 31, 2022, sortng those employees from highest to lowest compensaton; and determining the median employee from that list. The same approach was used in identfying the median employee in prior years.</w:t>
      </w:r>
    </w:p>
    <w:p>
      <w:pPr>
        <w:spacing w:after="0" w:line="107" w:lineRule="exact"/>
        <w:rPr>
          <w:sz w:val="20"/>
          <w:szCs w:val="20"/>
          <w:color w:val="auto"/>
        </w:rPr>
      </w:pPr>
    </w:p>
    <w:p>
      <w:pPr>
        <w:ind w:right="100"/>
        <w:spacing w:after="0" w:line="253" w:lineRule="auto"/>
        <w:rPr>
          <w:sz w:val="20"/>
          <w:szCs w:val="20"/>
          <w:color w:val="auto"/>
        </w:rPr>
      </w:pPr>
      <w:r>
        <w:rPr>
          <w:rFonts w:ascii="Calibri" w:cs="Calibri" w:eastAsia="Calibri" w:hAnsi="Calibri"/>
          <w:sz w:val="17"/>
          <w:szCs w:val="17"/>
          <w:color w:val="auto"/>
        </w:rPr>
        <w:t>The total annual compensaton for our CEO for fscal year 2022 was $24,810,545, as set forth in the Total column in the “Summary Compensaton Table”. The total annual compensaton for the median employee for fscal year 2022 was $118,497 encompassing base salary, overtme, incentves/recogniton awards and Company contributons to defned contributon plans. The annual total compensaton of the median employee was determined in the same manner as the total compensaton shown for our CEO. Like Mr. Taiclet, the median employee does not partcipate in our pension plan.</w:t>
      </w:r>
    </w:p>
    <w:p>
      <w:pPr>
        <w:spacing w:after="0" w:line="106" w:lineRule="exact"/>
        <w:rPr>
          <w:sz w:val="20"/>
          <w:szCs w:val="20"/>
          <w:color w:val="auto"/>
        </w:rPr>
      </w:pPr>
    </w:p>
    <w:p>
      <w:pPr>
        <w:spacing w:after="0"/>
        <w:rPr>
          <w:sz w:val="20"/>
          <w:szCs w:val="20"/>
          <w:color w:val="auto"/>
        </w:rPr>
      </w:pPr>
      <w:r>
        <w:rPr>
          <w:rFonts w:ascii="Arial" w:cs="Arial" w:eastAsia="Arial" w:hAnsi="Arial"/>
          <w:sz w:val="29"/>
          <w:szCs w:val="29"/>
          <w:color w:val="003478"/>
        </w:rPr>
        <w:t>Pay Versus Performance</w:t>
      </w:r>
    </w:p>
    <w:p>
      <w:pPr>
        <w:spacing w:after="0" w:line="144" w:lineRule="exact"/>
        <w:rPr>
          <w:sz w:val="20"/>
          <w:szCs w:val="20"/>
          <w:color w:val="auto"/>
        </w:rPr>
      </w:pPr>
    </w:p>
    <w:p>
      <w:pPr>
        <w:ind w:right="20"/>
        <w:spacing w:after="0" w:line="247" w:lineRule="auto"/>
        <w:rPr>
          <w:sz w:val="20"/>
          <w:szCs w:val="20"/>
          <w:color w:val="auto"/>
        </w:rPr>
      </w:pPr>
      <w:r>
        <w:rPr>
          <w:rFonts w:ascii="Calibri" w:cs="Calibri" w:eastAsia="Calibri" w:hAnsi="Calibri"/>
          <w:sz w:val="17"/>
          <w:szCs w:val="17"/>
          <w:color w:val="auto"/>
        </w:rPr>
        <w:t>The disclosure included in this secton is prescribed by SEC rules and does not necessarily align with how the Company or the Compensaton Commitee views the link between the Company’s performance and its NEOs’ pay. For a discussion of how the Company views its executve compensaton structure, including alignment with Company performance, see “Compensaton Discussion and Analysis (CD&amp;A)” beginning on page 41.</w:t>
      </w:r>
    </w:p>
    <w:p>
      <w:pPr>
        <w:spacing w:after="0" w:line="129" w:lineRule="exact"/>
        <w:rPr>
          <w:sz w:val="20"/>
          <w:szCs w:val="20"/>
          <w:color w:val="auto"/>
        </w:rPr>
      </w:pPr>
    </w:p>
    <w:p>
      <w:pPr>
        <w:ind w:right="260"/>
        <w:spacing w:after="0" w:line="255" w:lineRule="auto"/>
        <w:rPr>
          <w:sz w:val="20"/>
          <w:szCs w:val="20"/>
          <w:color w:val="auto"/>
        </w:rPr>
      </w:pPr>
      <w:r>
        <w:rPr>
          <w:rFonts w:ascii="Calibri" w:cs="Calibri" w:eastAsia="Calibri" w:hAnsi="Calibri"/>
          <w:sz w:val="17"/>
          <w:szCs w:val="17"/>
          <w:color w:val="auto"/>
        </w:rPr>
        <w:t>The use of the term “compensaton actually paid” (CAP) is required by the SEC’s rules. Neither CAP nor the total amount reported in the Summary Compensaton Table refect the amount of compensaton actually paid, earned or received during the applicable year. Per SEC rules, CAP was calculated by adjustng the Summary Compensaton Table Total values for the applicable year as described in the footnotes to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shd w:val="clear" w:color="auto" w:fill="E4E6EF"/>
          </w:tcPr>
          <w:p>
            <w:pPr>
              <w:spacing w:after="0"/>
              <w:rPr>
                <w:sz w:val="16"/>
                <w:szCs w:val="16"/>
                <w:color w:val="auto"/>
              </w:rPr>
            </w:pPr>
          </w:p>
        </w:tc>
        <w:tc>
          <w:tcPr>
            <w:tcW w:w="1120" w:type="dxa"/>
            <w:vAlign w:val="bottom"/>
            <w:shd w:val="clear" w:color="auto" w:fill="E4E6EF"/>
          </w:tcPr>
          <w:p>
            <w:pPr>
              <w:spacing w:after="0"/>
              <w:rPr>
                <w:sz w:val="16"/>
                <w:szCs w:val="16"/>
                <w:color w:val="auto"/>
              </w:rPr>
            </w:pPr>
          </w:p>
        </w:tc>
        <w:tc>
          <w:tcPr>
            <w:tcW w:w="1080" w:type="dxa"/>
            <w:vAlign w:val="bottom"/>
            <w:shd w:val="clear" w:color="auto" w:fill="E4E6EF"/>
          </w:tcPr>
          <w:p>
            <w:pPr>
              <w:spacing w:after="0"/>
              <w:rPr>
                <w:sz w:val="16"/>
                <w:szCs w:val="16"/>
                <w:color w:val="auto"/>
              </w:rPr>
            </w:pPr>
          </w:p>
        </w:tc>
        <w:tc>
          <w:tcPr>
            <w:tcW w:w="1120" w:type="dxa"/>
            <w:vAlign w:val="bottom"/>
            <w:shd w:val="clear" w:color="auto" w:fill="E4E6EF"/>
          </w:tcPr>
          <w:p>
            <w:pPr>
              <w:spacing w:after="0"/>
              <w:rPr>
                <w:sz w:val="16"/>
                <w:szCs w:val="16"/>
                <w:color w:val="auto"/>
              </w:rPr>
            </w:pPr>
          </w:p>
        </w:tc>
        <w:tc>
          <w:tcPr>
            <w:tcW w:w="1060" w:type="dxa"/>
            <w:vAlign w:val="bottom"/>
            <w:shd w:val="clear" w:color="auto" w:fill="E4E6EF"/>
          </w:tcPr>
          <w:p>
            <w:pPr>
              <w:spacing w:after="0"/>
              <w:rPr>
                <w:sz w:val="16"/>
                <w:szCs w:val="16"/>
                <w:color w:val="auto"/>
              </w:rPr>
            </w:pPr>
          </w:p>
        </w:tc>
        <w:tc>
          <w:tcPr>
            <w:tcW w:w="1120" w:type="dxa"/>
            <w:vAlign w:val="bottom"/>
            <w:shd w:val="clear" w:color="auto" w:fill="E4E6EF"/>
          </w:tcPr>
          <w:p>
            <w:pPr>
              <w:spacing w:after="0"/>
              <w:rPr>
                <w:sz w:val="16"/>
                <w:szCs w:val="16"/>
                <w:color w:val="auto"/>
              </w:rPr>
            </w:pPr>
          </w:p>
        </w:tc>
        <w:tc>
          <w:tcPr>
            <w:tcW w:w="1080" w:type="dxa"/>
            <w:vAlign w:val="bottom"/>
            <w:shd w:val="clear" w:color="auto" w:fill="E4E6EF"/>
          </w:tcPr>
          <w:p>
            <w:pPr>
              <w:spacing w:after="0"/>
              <w:rPr>
                <w:sz w:val="16"/>
                <w:szCs w:val="16"/>
                <w:color w:val="auto"/>
              </w:rPr>
            </w:pPr>
          </w:p>
        </w:tc>
        <w:tc>
          <w:tcPr>
            <w:tcW w:w="2080" w:type="dxa"/>
            <w:vAlign w:val="bottom"/>
            <w:gridSpan w:val="2"/>
            <w:shd w:val="clear" w:color="auto" w:fill="E4E6EF"/>
          </w:tcPr>
          <w:p>
            <w:pPr>
              <w:jc w:val="right"/>
              <w:spacing w:after="0"/>
              <w:rPr>
                <w:sz w:val="20"/>
                <w:szCs w:val="20"/>
                <w:color w:val="auto"/>
              </w:rPr>
            </w:pPr>
            <w:r>
              <w:rPr>
                <w:rFonts w:ascii="Arial" w:cs="Arial" w:eastAsia="Arial" w:hAnsi="Arial"/>
                <w:sz w:val="13"/>
                <w:szCs w:val="13"/>
                <w:color w:val="auto"/>
              </w:rPr>
              <w:t>Value of Initial Fixed</w:t>
            </w:r>
          </w:p>
        </w:tc>
        <w:tc>
          <w:tcPr>
            <w:tcW w:w="1220" w:type="dxa"/>
            <w:vAlign w:val="bottom"/>
            <w:shd w:val="clear" w:color="auto" w:fill="E4E6EF"/>
          </w:tcPr>
          <w:p>
            <w:pPr>
              <w:spacing w:after="0"/>
              <w:rPr>
                <w:sz w:val="16"/>
                <w:szCs w:val="16"/>
                <w:color w:val="auto"/>
              </w:rPr>
            </w:pPr>
          </w:p>
        </w:tc>
        <w:tc>
          <w:tcPr>
            <w:tcW w:w="820" w:type="dxa"/>
            <w:vAlign w:val="bottom"/>
            <w:shd w:val="clear" w:color="auto" w:fill="E4E6E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0" w:type="dxa"/>
            <w:vAlign w:val="bottom"/>
            <w:tcBorders>
              <w:bottom w:val="single" w:sz="8" w:color="E4E6EF"/>
            </w:tcBorders>
            <w:shd w:val="clear" w:color="auto" w:fill="E4E6EF"/>
          </w:tcPr>
          <w:p>
            <w:pPr>
              <w:spacing w:after="0"/>
              <w:rPr>
                <w:sz w:val="16"/>
                <w:szCs w:val="16"/>
                <w:color w:val="auto"/>
              </w:rPr>
            </w:pPr>
          </w:p>
        </w:tc>
        <w:tc>
          <w:tcPr>
            <w:tcW w:w="1120" w:type="dxa"/>
            <w:vAlign w:val="bottom"/>
            <w:tcBorders>
              <w:bottom w:val="single" w:sz="8" w:color="E4E6EF"/>
            </w:tcBorders>
            <w:shd w:val="clear" w:color="auto" w:fill="E4E6EF"/>
          </w:tcPr>
          <w:p>
            <w:pPr>
              <w:spacing w:after="0"/>
              <w:rPr>
                <w:sz w:val="16"/>
                <w:szCs w:val="16"/>
                <w:color w:val="auto"/>
              </w:rPr>
            </w:pPr>
          </w:p>
        </w:tc>
        <w:tc>
          <w:tcPr>
            <w:tcW w:w="1080" w:type="dxa"/>
            <w:vAlign w:val="bottom"/>
            <w:tcBorders>
              <w:bottom w:val="single" w:sz="8" w:color="E4E6EF"/>
            </w:tcBorders>
            <w:shd w:val="clear" w:color="auto" w:fill="E4E6EF"/>
          </w:tcPr>
          <w:p>
            <w:pPr>
              <w:spacing w:after="0"/>
              <w:rPr>
                <w:sz w:val="16"/>
                <w:szCs w:val="16"/>
                <w:color w:val="auto"/>
              </w:rPr>
            </w:pPr>
          </w:p>
        </w:tc>
        <w:tc>
          <w:tcPr>
            <w:tcW w:w="1120" w:type="dxa"/>
            <w:vAlign w:val="bottom"/>
            <w:tcBorders>
              <w:bottom w:val="single" w:sz="8" w:color="E4E6EF"/>
            </w:tcBorders>
            <w:vMerge w:val="restart"/>
            <w:shd w:val="clear" w:color="auto" w:fill="E4E6EF"/>
          </w:tcPr>
          <w:p>
            <w:pPr>
              <w:jc w:val="right"/>
              <w:spacing w:after="0"/>
              <w:rPr>
                <w:sz w:val="20"/>
                <w:szCs w:val="20"/>
                <w:color w:val="auto"/>
              </w:rPr>
            </w:pPr>
            <w:r>
              <w:rPr>
                <w:rFonts w:ascii="Arial" w:cs="Arial" w:eastAsia="Arial" w:hAnsi="Arial"/>
                <w:sz w:val="13"/>
                <w:szCs w:val="13"/>
                <w:color w:val="auto"/>
              </w:rPr>
              <w:t>Summary</w:t>
            </w:r>
          </w:p>
        </w:tc>
        <w:tc>
          <w:tcPr>
            <w:tcW w:w="1060" w:type="dxa"/>
            <w:vAlign w:val="bottom"/>
            <w:tcBorders>
              <w:bottom w:val="single" w:sz="8" w:color="E4E6EF"/>
            </w:tcBorders>
            <w:shd w:val="clear" w:color="auto" w:fill="E4E6EF"/>
          </w:tcPr>
          <w:p>
            <w:pPr>
              <w:spacing w:after="0"/>
              <w:rPr>
                <w:sz w:val="16"/>
                <w:szCs w:val="16"/>
                <w:color w:val="auto"/>
              </w:rPr>
            </w:pPr>
          </w:p>
        </w:tc>
        <w:tc>
          <w:tcPr>
            <w:tcW w:w="1120" w:type="dxa"/>
            <w:vAlign w:val="bottom"/>
            <w:tcBorders>
              <w:bottom w:val="single" w:sz="8" w:color="E4E6EF"/>
            </w:tcBorders>
            <w:shd w:val="clear" w:color="auto" w:fill="E4E6EF"/>
          </w:tcPr>
          <w:p>
            <w:pPr>
              <w:spacing w:after="0"/>
              <w:rPr>
                <w:sz w:val="16"/>
                <w:szCs w:val="16"/>
                <w:color w:val="auto"/>
              </w:rPr>
            </w:pPr>
          </w:p>
        </w:tc>
        <w:tc>
          <w:tcPr>
            <w:tcW w:w="1080" w:type="dxa"/>
            <w:vAlign w:val="bottom"/>
            <w:tcBorders>
              <w:bottom w:val="single" w:sz="8" w:color="E4E6EF"/>
            </w:tcBorders>
            <w:shd w:val="clear" w:color="auto" w:fill="E4E6EF"/>
          </w:tcPr>
          <w:p>
            <w:pPr>
              <w:spacing w:after="0"/>
              <w:rPr>
                <w:sz w:val="16"/>
                <w:szCs w:val="16"/>
                <w:color w:val="auto"/>
              </w:rPr>
            </w:pPr>
          </w:p>
        </w:tc>
        <w:tc>
          <w:tcPr>
            <w:tcW w:w="2080" w:type="dxa"/>
            <w:vAlign w:val="bottom"/>
            <w:tcBorders>
              <w:bottom w:val="single" w:sz="8" w:color="E4E6EF"/>
            </w:tcBorders>
            <w:gridSpan w:val="2"/>
            <w:shd w:val="clear" w:color="auto" w:fill="E4E6EF"/>
          </w:tcPr>
          <w:p>
            <w:pPr>
              <w:jc w:val="right"/>
              <w:spacing w:after="0"/>
              <w:rPr>
                <w:sz w:val="20"/>
                <w:szCs w:val="20"/>
                <w:color w:val="auto"/>
              </w:rPr>
            </w:pPr>
            <w:r>
              <w:rPr>
                <w:rFonts w:ascii="Arial" w:cs="Arial" w:eastAsia="Arial" w:hAnsi="Arial"/>
                <w:sz w:val="13"/>
                <w:szCs w:val="13"/>
                <w:color w:val="auto"/>
              </w:rPr>
              <w:t>$100 Investment Based On:</w:t>
            </w:r>
          </w:p>
        </w:tc>
        <w:tc>
          <w:tcPr>
            <w:tcW w:w="1220" w:type="dxa"/>
            <w:vAlign w:val="bottom"/>
            <w:tcBorders>
              <w:bottom w:val="single" w:sz="8" w:color="E4E6EF"/>
            </w:tcBorders>
            <w:shd w:val="clear" w:color="auto" w:fill="E4E6EF"/>
          </w:tcPr>
          <w:p>
            <w:pPr>
              <w:spacing w:after="0"/>
              <w:rPr>
                <w:sz w:val="16"/>
                <w:szCs w:val="16"/>
                <w:color w:val="auto"/>
              </w:rPr>
            </w:pPr>
          </w:p>
        </w:tc>
        <w:tc>
          <w:tcPr>
            <w:tcW w:w="820" w:type="dxa"/>
            <w:vAlign w:val="bottom"/>
            <w:tcBorders>
              <w:bottom w:val="single" w:sz="8" w:color="E4E6EF"/>
            </w:tcBorders>
            <w:shd w:val="clear" w:color="auto" w:fill="E4E6EF"/>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40" w:type="dxa"/>
            <w:vAlign w:val="bottom"/>
            <w:tcBorders>
              <w:top w:val="single" w:sz="8" w:color="E4E6EF"/>
            </w:tcBorders>
            <w:shd w:val="clear" w:color="auto" w:fill="E4E6EF"/>
          </w:tcPr>
          <w:p>
            <w:pPr>
              <w:spacing w:after="0"/>
              <w:rPr>
                <w:sz w:val="7"/>
                <w:szCs w:val="7"/>
                <w:color w:val="auto"/>
              </w:rPr>
            </w:pPr>
          </w:p>
        </w:tc>
        <w:tc>
          <w:tcPr>
            <w:tcW w:w="1120" w:type="dxa"/>
            <w:vAlign w:val="bottom"/>
            <w:tcBorders>
              <w:top w:val="single" w:sz="8" w:color="E4E6EF"/>
            </w:tcBorders>
            <w:vMerge w:val="restart"/>
            <w:shd w:val="clear" w:color="auto" w:fill="E4E6EF"/>
          </w:tcPr>
          <w:p>
            <w:pPr>
              <w:jc w:val="right"/>
              <w:spacing w:after="0"/>
              <w:rPr>
                <w:sz w:val="20"/>
                <w:szCs w:val="20"/>
                <w:color w:val="auto"/>
              </w:rPr>
            </w:pPr>
            <w:r>
              <w:rPr>
                <w:rFonts w:ascii="Arial" w:cs="Arial" w:eastAsia="Arial" w:hAnsi="Arial"/>
                <w:sz w:val="13"/>
                <w:szCs w:val="13"/>
                <w:color w:val="auto"/>
              </w:rPr>
              <w:t>Summary</w:t>
            </w:r>
          </w:p>
        </w:tc>
        <w:tc>
          <w:tcPr>
            <w:tcW w:w="1080" w:type="dxa"/>
            <w:vAlign w:val="bottom"/>
            <w:tcBorders>
              <w:top w:val="single" w:sz="8" w:color="E4E6EF"/>
            </w:tcBorders>
            <w:shd w:val="clear" w:color="auto" w:fill="E4E6EF"/>
          </w:tcPr>
          <w:p>
            <w:pPr>
              <w:spacing w:after="0"/>
              <w:rPr>
                <w:sz w:val="7"/>
                <w:szCs w:val="7"/>
                <w:color w:val="auto"/>
              </w:rPr>
            </w:pPr>
          </w:p>
        </w:tc>
        <w:tc>
          <w:tcPr>
            <w:tcW w:w="1120" w:type="dxa"/>
            <w:vAlign w:val="bottom"/>
            <w:tcBorders>
              <w:top w:val="single" w:sz="8" w:color="E4E6EF"/>
            </w:tcBorders>
            <w:vMerge w:val="continue"/>
            <w:shd w:val="clear" w:color="auto" w:fill="E4E6EF"/>
          </w:tcPr>
          <w:p>
            <w:pPr>
              <w:spacing w:after="0"/>
              <w:rPr>
                <w:sz w:val="7"/>
                <w:szCs w:val="7"/>
                <w:color w:val="auto"/>
              </w:rPr>
            </w:pPr>
          </w:p>
        </w:tc>
        <w:tc>
          <w:tcPr>
            <w:tcW w:w="1060" w:type="dxa"/>
            <w:vAlign w:val="bottom"/>
            <w:tcBorders>
              <w:top w:val="single" w:sz="8" w:color="E4E6EF"/>
            </w:tcBorders>
            <w:shd w:val="clear" w:color="auto" w:fill="E4E6EF"/>
          </w:tcPr>
          <w:p>
            <w:pPr>
              <w:spacing w:after="0"/>
              <w:rPr>
                <w:sz w:val="7"/>
                <w:szCs w:val="7"/>
                <w:color w:val="auto"/>
              </w:rPr>
            </w:pPr>
          </w:p>
        </w:tc>
        <w:tc>
          <w:tcPr>
            <w:tcW w:w="1120" w:type="dxa"/>
            <w:vAlign w:val="bottom"/>
            <w:tcBorders>
              <w:top w:val="single" w:sz="8" w:color="E4E6EF"/>
            </w:tcBorders>
            <w:vMerge w:val="restart"/>
            <w:shd w:val="clear" w:color="auto" w:fill="E4E6EF"/>
          </w:tcPr>
          <w:p>
            <w:pPr>
              <w:jc w:val="right"/>
              <w:spacing w:after="0"/>
              <w:rPr>
                <w:sz w:val="20"/>
                <w:szCs w:val="20"/>
                <w:color w:val="auto"/>
              </w:rPr>
            </w:pPr>
            <w:r>
              <w:rPr>
                <w:rFonts w:ascii="Arial" w:cs="Arial" w:eastAsia="Arial" w:hAnsi="Arial"/>
                <w:sz w:val="13"/>
                <w:szCs w:val="13"/>
                <w:color w:val="auto"/>
                <w:w w:val="98"/>
              </w:rPr>
              <w:t>Average Summary</w:t>
            </w:r>
          </w:p>
        </w:tc>
        <w:tc>
          <w:tcPr>
            <w:tcW w:w="1080" w:type="dxa"/>
            <w:vAlign w:val="bottom"/>
            <w:tcBorders>
              <w:top w:val="single" w:sz="8" w:color="E4E6EF"/>
            </w:tcBorders>
            <w:vMerge w:val="restart"/>
            <w:shd w:val="clear" w:color="auto" w:fill="E4E6EF"/>
          </w:tcPr>
          <w:p>
            <w:pPr>
              <w:jc w:val="right"/>
              <w:spacing w:after="0"/>
              <w:rPr>
                <w:sz w:val="20"/>
                <w:szCs w:val="20"/>
                <w:color w:val="auto"/>
              </w:rPr>
            </w:pPr>
            <w:r>
              <w:rPr>
                <w:rFonts w:ascii="Arial" w:cs="Arial" w:eastAsia="Arial" w:hAnsi="Arial"/>
                <w:sz w:val="13"/>
                <w:szCs w:val="13"/>
                <w:color w:val="auto"/>
              </w:rPr>
              <w:t>Average</w:t>
            </w:r>
          </w:p>
        </w:tc>
        <w:tc>
          <w:tcPr>
            <w:tcW w:w="1060" w:type="dxa"/>
            <w:vAlign w:val="bottom"/>
            <w:tcBorders>
              <w:top w:val="single" w:sz="8" w:color="003478"/>
            </w:tcBorders>
            <w:shd w:val="clear" w:color="auto" w:fill="E4E6EF"/>
          </w:tcPr>
          <w:p>
            <w:pPr>
              <w:spacing w:after="0"/>
              <w:rPr>
                <w:sz w:val="7"/>
                <w:szCs w:val="7"/>
                <w:color w:val="auto"/>
              </w:rPr>
            </w:pPr>
          </w:p>
        </w:tc>
        <w:tc>
          <w:tcPr>
            <w:tcW w:w="1020" w:type="dxa"/>
            <w:vAlign w:val="bottom"/>
            <w:tcBorders>
              <w:top w:val="single" w:sz="8" w:color="003478"/>
            </w:tcBorders>
            <w:shd w:val="clear" w:color="auto" w:fill="E4E6EF"/>
          </w:tcPr>
          <w:p>
            <w:pPr>
              <w:spacing w:after="0"/>
              <w:rPr>
                <w:sz w:val="7"/>
                <w:szCs w:val="7"/>
                <w:color w:val="auto"/>
              </w:rPr>
            </w:pPr>
          </w:p>
        </w:tc>
        <w:tc>
          <w:tcPr>
            <w:tcW w:w="1220" w:type="dxa"/>
            <w:vAlign w:val="bottom"/>
            <w:tcBorders>
              <w:top w:val="single" w:sz="8" w:color="E4E6EF"/>
            </w:tcBorders>
            <w:shd w:val="clear" w:color="auto" w:fill="E4E6EF"/>
          </w:tcPr>
          <w:p>
            <w:pPr>
              <w:spacing w:after="0"/>
              <w:rPr>
                <w:sz w:val="7"/>
                <w:szCs w:val="7"/>
                <w:color w:val="auto"/>
              </w:rPr>
            </w:pPr>
          </w:p>
        </w:tc>
        <w:tc>
          <w:tcPr>
            <w:tcW w:w="820" w:type="dxa"/>
            <w:vAlign w:val="bottom"/>
            <w:tcBorders>
              <w:top w:val="single" w:sz="8" w:color="E4E6EF"/>
            </w:tcBorders>
            <w:shd w:val="clear" w:color="auto" w:fill="E4E6E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540" w:type="dxa"/>
            <w:vAlign w:val="bottom"/>
            <w:shd w:val="clear" w:color="auto" w:fill="E4E6EF"/>
          </w:tcPr>
          <w:p>
            <w:pPr>
              <w:spacing w:after="0"/>
              <w:rPr>
                <w:sz w:val="10"/>
                <w:szCs w:val="10"/>
                <w:color w:val="auto"/>
              </w:rPr>
            </w:pPr>
          </w:p>
        </w:tc>
        <w:tc>
          <w:tcPr>
            <w:tcW w:w="1120" w:type="dxa"/>
            <w:vAlign w:val="bottom"/>
            <w:vMerge w:val="continue"/>
            <w:shd w:val="clear" w:color="auto" w:fill="E4E6EF"/>
          </w:tcPr>
          <w:p>
            <w:pPr>
              <w:spacing w:after="0"/>
              <w:rPr>
                <w:sz w:val="10"/>
                <w:szCs w:val="10"/>
                <w:color w:val="auto"/>
              </w:rPr>
            </w:pPr>
          </w:p>
        </w:tc>
        <w:tc>
          <w:tcPr>
            <w:tcW w:w="108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Compensation</w:t>
            </w:r>
          </w:p>
        </w:tc>
        <w:tc>
          <w:tcPr>
            <w:tcW w:w="1120" w:type="dxa"/>
            <w:vAlign w:val="bottom"/>
            <w:shd w:val="clear" w:color="auto" w:fill="E4E6EF"/>
          </w:tcPr>
          <w:p>
            <w:pPr>
              <w:jc w:val="right"/>
              <w:spacing w:after="0" w:line="126" w:lineRule="exact"/>
              <w:rPr>
                <w:sz w:val="20"/>
                <w:szCs w:val="20"/>
                <w:color w:val="auto"/>
              </w:rPr>
            </w:pPr>
            <w:r>
              <w:rPr>
                <w:rFonts w:ascii="Arial" w:cs="Arial" w:eastAsia="Arial" w:hAnsi="Arial"/>
                <w:sz w:val="13"/>
                <w:szCs w:val="13"/>
                <w:color w:val="auto"/>
              </w:rPr>
              <w:t>Compensation</w:t>
            </w:r>
          </w:p>
        </w:tc>
        <w:tc>
          <w:tcPr>
            <w:tcW w:w="1060" w:type="dxa"/>
            <w:vAlign w:val="bottom"/>
            <w:shd w:val="clear" w:color="auto" w:fill="E4E6EF"/>
          </w:tcPr>
          <w:p>
            <w:pPr>
              <w:jc w:val="right"/>
              <w:spacing w:after="0" w:line="126" w:lineRule="exact"/>
              <w:rPr>
                <w:sz w:val="20"/>
                <w:szCs w:val="20"/>
                <w:color w:val="auto"/>
              </w:rPr>
            </w:pPr>
            <w:r>
              <w:rPr>
                <w:rFonts w:ascii="Arial" w:cs="Arial" w:eastAsia="Arial" w:hAnsi="Arial"/>
                <w:sz w:val="13"/>
                <w:szCs w:val="13"/>
                <w:color w:val="auto"/>
              </w:rPr>
              <w:t>Compensation</w:t>
            </w:r>
          </w:p>
        </w:tc>
        <w:tc>
          <w:tcPr>
            <w:tcW w:w="1120" w:type="dxa"/>
            <w:vAlign w:val="bottom"/>
            <w:vMerge w:val="continue"/>
            <w:shd w:val="clear" w:color="auto" w:fill="E4E6EF"/>
          </w:tcPr>
          <w:p>
            <w:pPr>
              <w:spacing w:after="0"/>
              <w:rPr>
                <w:sz w:val="10"/>
                <w:szCs w:val="10"/>
                <w:color w:val="auto"/>
              </w:rPr>
            </w:pPr>
          </w:p>
        </w:tc>
        <w:tc>
          <w:tcPr>
            <w:tcW w:w="1080" w:type="dxa"/>
            <w:vAlign w:val="bottom"/>
            <w:vMerge w:val="continue"/>
            <w:shd w:val="clear" w:color="auto" w:fill="E4E6EF"/>
          </w:tcPr>
          <w:p>
            <w:pPr>
              <w:spacing w:after="0"/>
              <w:rPr>
                <w:sz w:val="10"/>
                <w:szCs w:val="10"/>
                <w:color w:val="auto"/>
              </w:rPr>
            </w:pPr>
          </w:p>
        </w:tc>
        <w:tc>
          <w:tcPr>
            <w:tcW w:w="1060" w:type="dxa"/>
            <w:vAlign w:val="bottom"/>
            <w:shd w:val="clear" w:color="auto" w:fill="E4E6EF"/>
          </w:tcPr>
          <w:p>
            <w:pPr>
              <w:spacing w:after="0"/>
              <w:rPr>
                <w:sz w:val="10"/>
                <w:szCs w:val="10"/>
                <w:color w:val="auto"/>
              </w:rPr>
            </w:pPr>
          </w:p>
        </w:tc>
        <w:tc>
          <w:tcPr>
            <w:tcW w:w="102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w w:val="98"/>
              </w:rPr>
              <w:t>Peer Group Total</w:t>
            </w:r>
          </w:p>
        </w:tc>
        <w:tc>
          <w:tcPr>
            <w:tcW w:w="1220" w:type="dxa"/>
            <w:vAlign w:val="bottom"/>
            <w:shd w:val="clear" w:color="auto" w:fill="E4E6EF"/>
          </w:tcPr>
          <w:p>
            <w:pPr>
              <w:spacing w:after="0"/>
              <w:rPr>
                <w:sz w:val="10"/>
                <w:szCs w:val="10"/>
                <w:color w:val="auto"/>
              </w:rPr>
            </w:pPr>
          </w:p>
        </w:tc>
        <w:tc>
          <w:tcPr>
            <w:tcW w:w="820" w:type="dxa"/>
            <w:vAlign w:val="bottom"/>
            <w:shd w:val="clear" w:color="auto" w:fill="E4E6E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40" w:type="dxa"/>
            <w:vAlign w:val="bottom"/>
            <w:shd w:val="clear" w:color="auto" w:fill="E4E6EF"/>
          </w:tcPr>
          <w:p>
            <w:pPr>
              <w:spacing w:after="0"/>
              <w:rPr>
                <w:sz w:val="10"/>
                <w:szCs w:val="10"/>
                <w:color w:val="auto"/>
              </w:rPr>
            </w:pPr>
          </w:p>
        </w:tc>
        <w:tc>
          <w:tcPr>
            <w:tcW w:w="1120" w:type="dxa"/>
            <w:vAlign w:val="bottom"/>
            <w:shd w:val="clear" w:color="auto" w:fill="E4E6EF"/>
          </w:tcPr>
          <w:p>
            <w:pPr>
              <w:jc w:val="right"/>
              <w:spacing w:after="0" w:line="117" w:lineRule="exact"/>
              <w:rPr>
                <w:sz w:val="20"/>
                <w:szCs w:val="20"/>
                <w:color w:val="auto"/>
              </w:rPr>
            </w:pPr>
            <w:r>
              <w:rPr>
                <w:rFonts w:ascii="Arial" w:cs="Arial" w:eastAsia="Arial" w:hAnsi="Arial"/>
                <w:sz w:val="13"/>
                <w:szCs w:val="13"/>
                <w:color w:val="auto"/>
              </w:rPr>
              <w:t>Compensation</w:t>
            </w:r>
          </w:p>
        </w:tc>
        <w:tc>
          <w:tcPr>
            <w:tcW w:w="1080" w:type="dxa"/>
            <w:vAlign w:val="bottom"/>
            <w:vMerge w:val="continue"/>
            <w:shd w:val="clear" w:color="auto" w:fill="E4E6EF"/>
          </w:tcPr>
          <w:p>
            <w:pPr>
              <w:spacing w:after="0"/>
              <w:rPr>
                <w:sz w:val="10"/>
                <w:szCs w:val="10"/>
                <w:color w:val="auto"/>
              </w:rPr>
            </w:pPr>
          </w:p>
        </w:tc>
        <w:tc>
          <w:tcPr>
            <w:tcW w:w="112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Table Total</w:t>
            </w:r>
          </w:p>
        </w:tc>
        <w:tc>
          <w:tcPr>
            <w:tcW w:w="106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Actually Paid</w:t>
            </w:r>
          </w:p>
        </w:tc>
        <w:tc>
          <w:tcPr>
            <w:tcW w:w="1120" w:type="dxa"/>
            <w:vAlign w:val="bottom"/>
            <w:shd w:val="clear" w:color="auto" w:fill="E4E6EF"/>
          </w:tcPr>
          <w:p>
            <w:pPr>
              <w:jc w:val="right"/>
              <w:spacing w:after="0" w:line="117" w:lineRule="exact"/>
              <w:rPr>
                <w:sz w:val="20"/>
                <w:szCs w:val="20"/>
                <w:color w:val="auto"/>
              </w:rPr>
            </w:pPr>
            <w:r>
              <w:rPr>
                <w:rFonts w:ascii="Arial" w:cs="Arial" w:eastAsia="Arial" w:hAnsi="Arial"/>
                <w:sz w:val="13"/>
                <w:szCs w:val="13"/>
                <w:color w:val="auto"/>
              </w:rPr>
              <w:t>Compensation</w:t>
            </w:r>
          </w:p>
        </w:tc>
        <w:tc>
          <w:tcPr>
            <w:tcW w:w="1080" w:type="dxa"/>
            <w:vAlign w:val="bottom"/>
            <w:shd w:val="clear" w:color="auto" w:fill="E4E6EF"/>
          </w:tcPr>
          <w:p>
            <w:pPr>
              <w:jc w:val="right"/>
              <w:spacing w:after="0" w:line="117" w:lineRule="exact"/>
              <w:rPr>
                <w:sz w:val="20"/>
                <w:szCs w:val="20"/>
                <w:color w:val="auto"/>
              </w:rPr>
            </w:pPr>
            <w:r>
              <w:rPr>
                <w:rFonts w:ascii="Arial" w:cs="Arial" w:eastAsia="Arial" w:hAnsi="Arial"/>
                <w:sz w:val="13"/>
                <w:szCs w:val="13"/>
                <w:color w:val="auto"/>
              </w:rPr>
              <w:t>Compensation</w:t>
            </w:r>
          </w:p>
        </w:tc>
        <w:tc>
          <w:tcPr>
            <w:tcW w:w="1060" w:type="dxa"/>
            <w:vAlign w:val="bottom"/>
            <w:shd w:val="clear" w:color="auto" w:fill="E4E6EF"/>
          </w:tcPr>
          <w:p>
            <w:pPr>
              <w:spacing w:after="0"/>
              <w:rPr>
                <w:sz w:val="10"/>
                <w:szCs w:val="10"/>
                <w:color w:val="auto"/>
              </w:rPr>
            </w:pPr>
          </w:p>
        </w:tc>
        <w:tc>
          <w:tcPr>
            <w:tcW w:w="1020" w:type="dxa"/>
            <w:vAlign w:val="bottom"/>
            <w:vMerge w:val="continue"/>
            <w:shd w:val="clear" w:color="auto" w:fill="E4E6EF"/>
          </w:tcPr>
          <w:p>
            <w:pPr>
              <w:spacing w:after="0"/>
              <w:rPr>
                <w:sz w:val="10"/>
                <w:szCs w:val="10"/>
                <w:color w:val="auto"/>
              </w:rPr>
            </w:pPr>
          </w:p>
        </w:tc>
        <w:tc>
          <w:tcPr>
            <w:tcW w:w="1220" w:type="dxa"/>
            <w:vAlign w:val="bottom"/>
            <w:shd w:val="clear" w:color="auto" w:fill="E4E6EF"/>
          </w:tcPr>
          <w:p>
            <w:pPr>
              <w:spacing w:after="0"/>
              <w:rPr>
                <w:sz w:val="10"/>
                <w:szCs w:val="10"/>
                <w:color w:val="auto"/>
              </w:rPr>
            </w:pPr>
          </w:p>
        </w:tc>
        <w:tc>
          <w:tcPr>
            <w:tcW w:w="820" w:type="dxa"/>
            <w:vAlign w:val="bottom"/>
            <w:shd w:val="clear" w:color="auto" w:fill="E4E6E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540" w:type="dxa"/>
            <w:vAlign w:val="bottom"/>
            <w:shd w:val="clear" w:color="auto" w:fill="E4E6EF"/>
          </w:tcPr>
          <w:p>
            <w:pPr>
              <w:spacing w:after="0"/>
              <w:rPr>
                <w:sz w:val="5"/>
                <w:szCs w:val="5"/>
                <w:color w:val="auto"/>
              </w:rPr>
            </w:pPr>
          </w:p>
        </w:tc>
        <w:tc>
          <w:tcPr>
            <w:tcW w:w="112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Table Total</w:t>
            </w:r>
          </w:p>
        </w:tc>
        <w:tc>
          <w:tcPr>
            <w:tcW w:w="108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Actually Paid</w:t>
            </w:r>
          </w:p>
        </w:tc>
        <w:tc>
          <w:tcPr>
            <w:tcW w:w="1120" w:type="dxa"/>
            <w:vAlign w:val="bottom"/>
            <w:vMerge w:val="continue"/>
            <w:shd w:val="clear" w:color="auto" w:fill="E4E6EF"/>
          </w:tcPr>
          <w:p>
            <w:pPr>
              <w:spacing w:after="0"/>
              <w:rPr>
                <w:sz w:val="5"/>
                <w:szCs w:val="5"/>
                <w:color w:val="auto"/>
              </w:rPr>
            </w:pPr>
          </w:p>
        </w:tc>
        <w:tc>
          <w:tcPr>
            <w:tcW w:w="1060" w:type="dxa"/>
            <w:vAlign w:val="bottom"/>
            <w:vMerge w:val="continue"/>
            <w:shd w:val="clear" w:color="auto" w:fill="E4E6EF"/>
          </w:tcPr>
          <w:p>
            <w:pPr>
              <w:spacing w:after="0"/>
              <w:rPr>
                <w:sz w:val="5"/>
                <w:szCs w:val="5"/>
                <w:color w:val="auto"/>
              </w:rPr>
            </w:pPr>
          </w:p>
        </w:tc>
        <w:tc>
          <w:tcPr>
            <w:tcW w:w="112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Table Total for</w:t>
            </w:r>
          </w:p>
        </w:tc>
        <w:tc>
          <w:tcPr>
            <w:tcW w:w="2140" w:type="dxa"/>
            <w:vAlign w:val="bottom"/>
            <w:gridSpan w:val="2"/>
            <w:vMerge w:val="restart"/>
            <w:shd w:val="clear" w:color="auto" w:fill="E4E6EF"/>
          </w:tcPr>
          <w:p>
            <w:pPr>
              <w:jc w:val="right"/>
              <w:spacing w:after="0"/>
              <w:rPr>
                <w:sz w:val="20"/>
                <w:szCs w:val="20"/>
                <w:color w:val="auto"/>
              </w:rPr>
            </w:pPr>
            <w:r>
              <w:rPr>
                <w:rFonts w:ascii="Arial" w:cs="Arial" w:eastAsia="Arial" w:hAnsi="Arial"/>
                <w:sz w:val="13"/>
                <w:szCs w:val="13"/>
                <w:color w:val="auto"/>
              </w:rPr>
              <w:t>Actually Paid to Total Shareholder</w:t>
            </w:r>
          </w:p>
        </w:tc>
        <w:tc>
          <w:tcPr>
            <w:tcW w:w="102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Shareholder</w:t>
            </w:r>
          </w:p>
        </w:tc>
        <w:tc>
          <w:tcPr>
            <w:tcW w:w="1220" w:type="dxa"/>
            <w:vAlign w:val="bottom"/>
            <w:shd w:val="clear" w:color="auto" w:fill="E4E6EF"/>
          </w:tcPr>
          <w:p>
            <w:pPr>
              <w:spacing w:after="0"/>
              <w:rPr>
                <w:sz w:val="5"/>
                <w:szCs w:val="5"/>
                <w:color w:val="auto"/>
              </w:rPr>
            </w:pPr>
          </w:p>
        </w:tc>
        <w:tc>
          <w:tcPr>
            <w:tcW w:w="82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Free Cash</w:t>
            </w:r>
          </w:p>
        </w:tc>
        <w:tc>
          <w:tcPr>
            <w:tcW w:w="0" w:type="dxa"/>
            <w:vAlign w:val="bottom"/>
          </w:tcPr>
          <w:p>
            <w:pPr>
              <w:spacing w:after="0"/>
              <w:rPr>
                <w:sz w:val="1"/>
                <w:szCs w:val="1"/>
                <w:color w:val="auto"/>
              </w:rPr>
            </w:pPr>
          </w:p>
        </w:tc>
      </w:tr>
      <w:tr>
        <w:trPr>
          <w:trHeight w:val="126"/>
        </w:trPr>
        <w:tc>
          <w:tcPr>
            <w:tcW w:w="540" w:type="dxa"/>
            <w:vAlign w:val="bottom"/>
            <w:shd w:val="clear" w:color="auto" w:fill="E4E6EF"/>
          </w:tcPr>
          <w:p>
            <w:pPr>
              <w:spacing w:after="0"/>
              <w:rPr>
                <w:sz w:val="10"/>
                <w:szCs w:val="10"/>
                <w:color w:val="auto"/>
              </w:rPr>
            </w:pPr>
          </w:p>
        </w:tc>
        <w:tc>
          <w:tcPr>
            <w:tcW w:w="1120" w:type="dxa"/>
            <w:vAlign w:val="bottom"/>
            <w:vMerge w:val="continue"/>
            <w:shd w:val="clear" w:color="auto" w:fill="E4E6EF"/>
          </w:tcPr>
          <w:p>
            <w:pPr>
              <w:spacing w:after="0"/>
              <w:rPr>
                <w:sz w:val="10"/>
                <w:szCs w:val="10"/>
                <w:color w:val="auto"/>
              </w:rPr>
            </w:pPr>
          </w:p>
        </w:tc>
        <w:tc>
          <w:tcPr>
            <w:tcW w:w="1080" w:type="dxa"/>
            <w:vAlign w:val="bottom"/>
            <w:vMerge w:val="continue"/>
            <w:shd w:val="clear" w:color="auto" w:fill="E4E6EF"/>
          </w:tcPr>
          <w:p>
            <w:pPr>
              <w:spacing w:after="0"/>
              <w:rPr>
                <w:sz w:val="10"/>
                <w:szCs w:val="10"/>
                <w:color w:val="auto"/>
              </w:rPr>
            </w:pPr>
          </w:p>
        </w:tc>
        <w:tc>
          <w:tcPr>
            <w:tcW w:w="1120" w:type="dxa"/>
            <w:vAlign w:val="bottom"/>
            <w:shd w:val="clear" w:color="auto" w:fill="E4E6EF"/>
          </w:tcPr>
          <w:p>
            <w:pPr>
              <w:jc w:val="right"/>
              <w:spacing w:after="0" w:line="126" w:lineRule="exact"/>
              <w:rPr>
                <w:sz w:val="20"/>
                <w:szCs w:val="20"/>
                <w:color w:val="auto"/>
              </w:rPr>
            </w:pPr>
            <w:r>
              <w:rPr>
                <w:rFonts w:ascii="Arial" w:cs="Arial" w:eastAsia="Arial" w:hAnsi="Arial"/>
                <w:sz w:val="13"/>
                <w:szCs w:val="13"/>
                <w:color w:val="auto"/>
                <w:w w:val="98"/>
              </w:rPr>
              <w:t>for PEO (Hewson)</w:t>
            </w:r>
          </w:p>
        </w:tc>
        <w:tc>
          <w:tcPr>
            <w:tcW w:w="1060" w:type="dxa"/>
            <w:vAlign w:val="bottom"/>
            <w:shd w:val="clear" w:color="auto" w:fill="E4E6EF"/>
          </w:tcPr>
          <w:p>
            <w:pPr>
              <w:jc w:val="right"/>
              <w:spacing w:after="0" w:line="126" w:lineRule="exact"/>
              <w:rPr>
                <w:sz w:val="20"/>
                <w:szCs w:val="20"/>
                <w:color w:val="auto"/>
              </w:rPr>
            </w:pPr>
            <w:r>
              <w:rPr>
                <w:rFonts w:ascii="Arial" w:cs="Arial" w:eastAsia="Arial" w:hAnsi="Arial"/>
                <w:sz w:val="13"/>
                <w:szCs w:val="13"/>
                <w:color w:val="auto"/>
              </w:rPr>
              <w:t>to PEO (Hewson)</w:t>
            </w:r>
          </w:p>
        </w:tc>
        <w:tc>
          <w:tcPr>
            <w:tcW w:w="1120" w:type="dxa"/>
            <w:vAlign w:val="bottom"/>
            <w:vMerge w:val="continue"/>
            <w:shd w:val="clear" w:color="auto" w:fill="E4E6EF"/>
          </w:tcPr>
          <w:p>
            <w:pPr>
              <w:spacing w:after="0"/>
              <w:rPr>
                <w:sz w:val="10"/>
                <w:szCs w:val="10"/>
                <w:color w:val="auto"/>
              </w:rPr>
            </w:pPr>
          </w:p>
        </w:tc>
        <w:tc>
          <w:tcPr>
            <w:tcW w:w="2140" w:type="dxa"/>
            <w:vAlign w:val="bottom"/>
            <w:gridSpan w:val="2"/>
            <w:vMerge w:val="continue"/>
            <w:shd w:val="clear" w:color="auto" w:fill="E4E6EF"/>
          </w:tcPr>
          <w:p>
            <w:pPr>
              <w:spacing w:after="0"/>
              <w:rPr>
                <w:sz w:val="10"/>
                <w:szCs w:val="10"/>
                <w:color w:val="auto"/>
              </w:rPr>
            </w:pPr>
          </w:p>
        </w:tc>
        <w:tc>
          <w:tcPr>
            <w:tcW w:w="1020" w:type="dxa"/>
            <w:vAlign w:val="bottom"/>
            <w:vMerge w:val="continue"/>
            <w:shd w:val="clear" w:color="auto" w:fill="E4E6EF"/>
          </w:tcPr>
          <w:p>
            <w:pPr>
              <w:spacing w:after="0"/>
              <w:rPr>
                <w:sz w:val="10"/>
                <w:szCs w:val="10"/>
                <w:color w:val="auto"/>
              </w:rPr>
            </w:pPr>
          </w:p>
        </w:tc>
        <w:tc>
          <w:tcPr>
            <w:tcW w:w="1220" w:type="dxa"/>
            <w:vAlign w:val="bottom"/>
            <w:vMerge w:val="restart"/>
            <w:shd w:val="clear" w:color="auto" w:fill="E4E6EF"/>
          </w:tcPr>
          <w:p>
            <w:pPr>
              <w:jc w:val="right"/>
              <w:ind w:right="153"/>
              <w:spacing w:after="0"/>
              <w:rPr>
                <w:sz w:val="20"/>
                <w:szCs w:val="20"/>
                <w:color w:val="auto"/>
              </w:rPr>
            </w:pPr>
            <w:r>
              <w:rPr>
                <w:rFonts w:ascii="Arial" w:cs="Arial" w:eastAsia="Arial" w:hAnsi="Arial"/>
                <w:sz w:val="13"/>
                <w:szCs w:val="13"/>
                <w:color w:val="auto"/>
              </w:rPr>
              <w:t>Net Income</w:t>
            </w:r>
            <w:r>
              <w:rPr>
                <w:rFonts w:ascii="Arial" w:cs="Arial" w:eastAsia="Arial" w:hAnsi="Arial"/>
                <w:sz w:val="16"/>
                <w:szCs w:val="16"/>
                <w:color w:val="auto"/>
                <w:vertAlign w:val="superscript"/>
              </w:rPr>
              <w:t>(4)</w:t>
            </w:r>
          </w:p>
        </w:tc>
        <w:tc>
          <w:tcPr>
            <w:tcW w:w="820" w:type="dxa"/>
            <w:vAlign w:val="bottom"/>
            <w:vMerge w:val="continue"/>
            <w:shd w:val="clear" w:color="auto" w:fill="E4E6E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E4E6EF"/>
          </w:tcPr>
          <w:p>
            <w:pPr>
              <w:jc w:val="right"/>
              <w:spacing w:after="0" w:line="162" w:lineRule="exact"/>
              <w:rPr>
                <w:sz w:val="20"/>
                <w:szCs w:val="20"/>
                <w:color w:val="auto"/>
              </w:rPr>
            </w:pPr>
            <w:r>
              <w:rPr>
                <w:rFonts w:ascii="Arial" w:cs="Arial" w:eastAsia="Arial" w:hAnsi="Arial"/>
                <w:sz w:val="13"/>
                <w:szCs w:val="13"/>
                <w:color w:val="auto"/>
              </w:rPr>
              <w:t>Year for PEO (Taiclet)</w:t>
            </w:r>
            <w:r>
              <w:rPr>
                <w:rFonts w:ascii="Arial" w:cs="Arial" w:eastAsia="Arial" w:hAnsi="Arial"/>
                <w:sz w:val="16"/>
                <w:szCs w:val="16"/>
                <w:color w:val="auto"/>
                <w:vertAlign w:val="superscript"/>
              </w:rPr>
              <w:t>(1)</w:t>
            </w:r>
          </w:p>
        </w:tc>
        <w:tc>
          <w:tcPr>
            <w:tcW w:w="1080" w:type="dxa"/>
            <w:vAlign w:val="bottom"/>
            <w:shd w:val="clear" w:color="auto" w:fill="E4E6EF"/>
          </w:tcPr>
          <w:p>
            <w:pPr>
              <w:jc w:val="right"/>
              <w:spacing w:after="0" w:line="162" w:lineRule="exact"/>
              <w:rPr>
                <w:sz w:val="20"/>
                <w:szCs w:val="20"/>
                <w:color w:val="auto"/>
              </w:rPr>
            </w:pPr>
            <w:r>
              <w:rPr>
                <w:rFonts w:ascii="Arial" w:cs="Arial" w:eastAsia="Arial" w:hAnsi="Arial"/>
                <w:sz w:val="13"/>
                <w:szCs w:val="13"/>
                <w:color w:val="auto"/>
                <w:w w:val="96"/>
              </w:rPr>
              <w:t>to PEO (Taiclet)</w:t>
            </w:r>
            <w:r>
              <w:rPr>
                <w:rFonts w:ascii="Arial" w:cs="Arial" w:eastAsia="Arial" w:hAnsi="Arial"/>
                <w:sz w:val="16"/>
                <w:szCs w:val="16"/>
                <w:color w:val="auto"/>
                <w:w w:val="96"/>
                <w:vertAlign w:val="superscript"/>
              </w:rPr>
              <w:t>(2)</w:t>
            </w:r>
          </w:p>
        </w:tc>
        <w:tc>
          <w:tcPr>
            <w:tcW w:w="1120" w:type="dxa"/>
            <w:vAlign w:val="bottom"/>
            <w:shd w:val="clear" w:color="auto" w:fill="E4E6EF"/>
          </w:tcPr>
          <w:p>
            <w:pPr>
              <w:jc w:val="right"/>
              <w:spacing w:after="0"/>
              <w:rPr>
                <w:sz w:val="20"/>
                <w:szCs w:val="20"/>
                <w:color w:val="auto"/>
              </w:rPr>
            </w:pPr>
            <w:r>
              <w:rPr>
                <w:rFonts w:ascii="Arial" w:cs="Arial" w:eastAsia="Arial" w:hAnsi="Arial"/>
                <w:sz w:val="8"/>
                <w:szCs w:val="8"/>
                <w:color w:val="auto"/>
              </w:rPr>
              <w:t>(1)</w:t>
            </w:r>
          </w:p>
        </w:tc>
        <w:tc>
          <w:tcPr>
            <w:tcW w:w="1060" w:type="dxa"/>
            <w:vAlign w:val="bottom"/>
            <w:shd w:val="clear" w:color="auto" w:fill="E4E6EF"/>
          </w:tcPr>
          <w:p>
            <w:pPr>
              <w:jc w:val="right"/>
              <w:spacing w:after="0"/>
              <w:rPr>
                <w:sz w:val="20"/>
                <w:szCs w:val="20"/>
                <w:color w:val="auto"/>
              </w:rPr>
            </w:pPr>
            <w:r>
              <w:rPr>
                <w:rFonts w:ascii="Arial" w:cs="Arial" w:eastAsia="Arial" w:hAnsi="Arial"/>
                <w:sz w:val="8"/>
                <w:szCs w:val="8"/>
                <w:color w:val="auto"/>
              </w:rPr>
              <w:t>(2)</w:t>
            </w:r>
          </w:p>
        </w:tc>
        <w:tc>
          <w:tcPr>
            <w:tcW w:w="1120" w:type="dxa"/>
            <w:vAlign w:val="bottom"/>
            <w:shd w:val="clear" w:color="auto" w:fill="E4E6EF"/>
          </w:tcPr>
          <w:p>
            <w:pPr>
              <w:jc w:val="right"/>
              <w:spacing w:after="0" w:line="162" w:lineRule="exact"/>
              <w:rPr>
                <w:sz w:val="20"/>
                <w:szCs w:val="20"/>
                <w:color w:val="auto"/>
              </w:rPr>
            </w:pPr>
            <w:r>
              <w:rPr>
                <w:rFonts w:ascii="Arial" w:cs="Arial" w:eastAsia="Arial" w:hAnsi="Arial"/>
                <w:sz w:val="13"/>
                <w:szCs w:val="13"/>
                <w:color w:val="auto"/>
                <w:w w:val="99"/>
              </w:rPr>
              <w:t>Non-PEO NEOs</w:t>
            </w:r>
            <w:r>
              <w:rPr>
                <w:rFonts w:ascii="Arial" w:cs="Arial" w:eastAsia="Arial" w:hAnsi="Arial"/>
                <w:sz w:val="16"/>
                <w:szCs w:val="16"/>
                <w:color w:val="auto"/>
                <w:w w:val="99"/>
                <w:vertAlign w:val="superscript"/>
              </w:rPr>
              <w:t>(2)</w:t>
            </w:r>
          </w:p>
        </w:tc>
        <w:tc>
          <w:tcPr>
            <w:tcW w:w="1080" w:type="dxa"/>
            <w:vAlign w:val="bottom"/>
            <w:shd w:val="clear" w:color="auto" w:fill="E4E6EF"/>
          </w:tcPr>
          <w:p>
            <w:pPr>
              <w:jc w:val="right"/>
              <w:spacing w:after="0" w:line="162" w:lineRule="exact"/>
              <w:rPr>
                <w:sz w:val="20"/>
                <w:szCs w:val="20"/>
                <w:color w:val="auto"/>
              </w:rPr>
            </w:pPr>
            <w:r>
              <w:rPr>
                <w:rFonts w:ascii="Arial" w:cs="Arial" w:eastAsia="Arial" w:hAnsi="Arial"/>
                <w:sz w:val="13"/>
                <w:szCs w:val="13"/>
                <w:color w:val="auto"/>
                <w:w w:val="97"/>
              </w:rPr>
              <w:t>Non-PEO NEOs</w:t>
            </w:r>
            <w:r>
              <w:rPr>
                <w:rFonts w:ascii="Arial" w:cs="Arial" w:eastAsia="Arial" w:hAnsi="Arial"/>
                <w:sz w:val="16"/>
                <w:szCs w:val="16"/>
                <w:color w:val="auto"/>
                <w:w w:val="97"/>
                <w:vertAlign w:val="superscript"/>
              </w:rPr>
              <w:t>(2)</w:t>
            </w:r>
          </w:p>
        </w:tc>
        <w:tc>
          <w:tcPr>
            <w:tcW w:w="1060" w:type="dxa"/>
            <w:vAlign w:val="bottom"/>
            <w:shd w:val="clear" w:color="auto" w:fill="E4E6EF"/>
          </w:tcPr>
          <w:p>
            <w:pPr>
              <w:jc w:val="right"/>
              <w:spacing w:after="0"/>
              <w:rPr>
                <w:sz w:val="20"/>
                <w:szCs w:val="20"/>
                <w:color w:val="auto"/>
              </w:rPr>
            </w:pPr>
            <w:r>
              <w:rPr>
                <w:rFonts w:ascii="Arial" w:cs="Arial" w:eastAsia="Arial" w:hAnsi="Arial"/>
                <w:sz w:val="13"/>
                <w:szCs w:val="13"/>
                <w:color w:val="auto"/>
              </w:rPr>
              <w:t>Return</w:t>
            </w:r>
          </w:p>
        </w:tc>
        <w:tc>
          <w:tcPr>
            <w:tcW w:w="1020" w:type="dxa"/>
            <w:vAlign w:val="bottom"/>
            <w:shd w:val="clear" w:color="auto" w:fill="E4E6EF"/>
          </w:tcPr>
          <w:p>
            <w:pPr>
              <w:jc w:val="right"/>
              <w:spacing w:after="0" w:line="162" w:lineRule="exact"/>
              <w:rPr>
                <w:sz w:val="20"/>
                <w:szCs w:val="20"/>
                <w:color w:val="auto"/>
              </w:rPr>
            </w:pPr>
            <w:r>
              <w:rPr>
                <w:rFonts w:ascii="Arial" w:cs="Arial" w:eastAsia="Arial" w:hAnsi="Arial"/>
                <w:sz w:val="13"/>
                <w:szCs w:val="13"/>
                <w:color w:val="auto"/>
              </w:rPr>
              <w:t>Return</w:t>
            </w:r>
            <w:r>
              <w:rPr>
                <w:rFonts w:ascii="Arial" w:cs="Arial" w:eastAsia="Arial" w:hAnsi="Arial"/>
                <w:sz w:val="16"/>
                <w:szCs w:val="16"/>
                <w:color w:val="auto"/>
                <w:vertAlign w:val="superscript"/>
              </w:rPr>
              <w:t>(3)</w:t>
            </w:r>
          </w:p>
        </w:tc>
        <w:tc>
          <w:tcPr>
            <w:tcW w:w="1220" w:type="dxa"/>
            <w:vAlign w:val="bottom"/>
            <w:vMerge w:val="continue"/>
            <w:shd w:val="clear" w:color="auto" w:fill="E4E6EF"/>
          </w:tcPr>
          <w:p>
            <w:pPr>
              <w:spacing w:after="0"/>
              <w:rPr>
                <w:sz w:val="14"/>
                <w:szCs w:val="14"/>
                <w:color w:val="auto"/>
              </w:rPr>
            </w:pPr>
          </w:p>
        </w:tc>
        <w:tc>
          <w:tcPr>
            <w:tcW w:w="820" w:type="dxa"/>
            <w:vAlign w:val="bottom"/>
            <w:shd w:val="clear" w:color="auto" w:fill="E4E6EF"/>
          </w:tcPr>
          <w:p>
            <w:pPr>
              <w:jc w:val="right"/>
              <w:spacing w:after="0" w:line="162" w:lineRule="exact"/>
              <w:rPr>
                <w:sz w:val="20"/>
                <w:szCs w:val="20"/>
                <w:color w:val="auto"/>
              </w:rPr>
            </w:pPr>
            <w:r>
              <w:rPr>
                <w:rFonts w:ascii="Arial" w:cs="Arial" w:eastAsia="Arial" w:hAnsi="Arial"/>
                <w:sz w:val="13"/>
                <w:szCs w:val="13"/>
                <w:color w:val="auto"/>
              </w:rPr>
              <w:t>Flow</w:t>
            </w:r>
            <w:r>
              <w:rPr>
                <w:rFonts w:ascii="Arial" w:cs="Arial" w:eastAsia="Arial" w:hAnsi="Arial"/>
                <w:sz w:val="16"/>
                <w:szCs w:val="16"/>
                <w:color w:val="auto"/>
                <w:vertAlign w:val="superscript"/>
              </w:rPr>
              <w:t>(5)</w:t>
            </w:r>
          </w:p>
        </w:tc>
        <w:tc>
          <w:tcPr>
            <w:tcW w:w="0" w:type="dxa"/>
            <w:vAlign w:val="bottom"/>
          </w:tcPr>
          <w:p>
            <w:pPr>
              <w:spacing w:after="0"/>
              <w:rPr>
                <w:sz w:val="1"/>
                <w:szCs w:val="1"/>
                <w:color w:val="auto"/>
              </w:rPr>
            </w:pPr>
          </w:p>
        </w:tc>
      </w:tr>
      <w:tr>
        <w:trPr>
          <w:trHeight w:val="208"/>
        </w:trPr>
        <w:tc>
          <w:tcPr>
            <w:tcW w:w="540" w:type="dxa"/>
            <w:vAlign w:val="bottom"/>
            <w:tcBorders>
              <w:bottom w:val="single" w:sz="8" w:color="E5E7EF"/>
            </w:tcBorders>
            <w:shd w:val="clear" w:color="auto" w:fill="E5E7EF"/>
          </w:tcPr>
          <w:p>
            <w:pPr>
              <w:spacing w:after="0"/>
              <w:rPr>
                <w:sz w:val="17"/>
                <w:szCs w:val="17"/>
                <w:color w:val="auto"/>
              </w:rPr>
            </w:pPr>
          </w:p>
        </w:tc>
        <w:tc>
          <w:tcPr>
            <w:tcW w:w="11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E5E7EF"/>
            </w:tcBorders>
            <w:shd w:val="clear" w:color="auto" w:fill="E5E7EF"/>
          </w:tcPr>
          <w:p>
            <w:pPr>
              <w:jc w:val="right"/>
              <w:ind w:right="15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54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(a)</w:t>
            </w:r>
          </w:p>
        </w:tc>
        <w:tc>
          <w:tcPr>
            <w:tcW w:w="112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108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(c)</w:t>
            </w:r>
          </w:p>
        </w:tc>
        <w:tc>
          <w:tcPr>
            <w:tcW w:w="112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106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(c)</w:t>
            </w:r>
          </w:p>
        </w:tc>
        <w:tc>
          <w:tcPr>
            <w:tcW w:w="112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(d)</w:t>
            </w:r>
          </w:p>
        </w:tc>
        <w:tc>
          <w:tcPr>
            <w:tcW w:w="108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(e)</w:t>
            </w:r>
          </w:p>
        </w:tc>
        <w:tc>
          <w:tcPr>
            <w:tcW w:w="106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(f)</w:t>
            </w:r>
          </w:p>
        </w:tc>
        <w:tc>
          <w:tcPr>
            <w:tcW w:w="102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(g)</w:t>
            </w:r>
          </w:p>
        </w:tc>
        <w:tc>
          <w:tcPr>
            <w:tcW w:w="1220" w:type="dxa"/>
            <w:vAlign w:val="bottom"/>
            <w:tcBorders>
              <w:top w:val="single" w:sz="8" w:color="003478"/>
              <w:bottom w:val="single" w:sz="8" w:color="E5E7EF"/>
            </w:tcBorders>
            <w:shd w:val="clear" w:color="auto" w:fill="E5E7EF"/>
          </w:tcPr>
          <w:p>
            <w:pPr>
              <w:jc w:val="right"/>
              <w:ind w:right="153"/>
              <w:spacing w:after="0"/>
              <w:rPr>
                <w:sz w:val="20"/>
                <w:szCs w:val="20"/>
                <w:color w:val="auto"/>
              </w:rPr>
            </w:pPr>
            <w:r>
              <w:rPr>
                <w:rFonts w:ascii="Arial" w:cs="Arial" w:eastAsia="Arial" w:hAnsi="Arial"/>
                <w:sz w:val="13"/>
                <w:szCs w:val="13"/>
                <w:color w:val="auto"/>
              </w:rPr>
              <w:t>(h)</w:t>
            </w:r>
          </w:p>
        </w:tc>
        <w:tc>
          <w:tcPr>
            <w:tcW w:w="82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(i)</w:t>
            </w:r>
          </w:p>
        </w:tc>
        <w:tc>
          <w:tcPr>
            <w:tcW w:w="0" w:type="dxa"/>
            <w:vAlign w:val="bottom"/>
          </w:tcPr>
          <w:p>
            <w:pPr>
              <w:spacing w:after="0"/>
              <w:rPr>
                <w:sz w:val="1"/>
                <w:szCs w:val="1"/>
                <w:color w:val="auto"/>
              </w:rPr>
            </w:pPr>
          </w:p>
        </w:tc>
      </w:tr>
      <w:tr>
        <w:trPr>
          <w:trHeight w:val="163"/>
        </w:trPr>
        <w:tc>
          <w:tcPr>
            <w:tcW w:w="540" w:type="dxa"/>
            <w:vAlign w:val="bottom"/>
            <w:tcBorders>
              <w:top w:val="single" w:sz="8" w:color="003478"/>
            </w:tcBorders>
          </w:tcPr>
          <w:p>
            <w:pPr>
              <w:jc w:val="right"/>
              <w:ind w:right="152"/>
              <w:spacing w:after="0" w:line="164" w:lineRule="exact"/>
              <w:rPr>
                <w:sz w:val="20"/>
                <w:szCs w:val="20"/>
                <w:color w:val="auto"/>
              </w:rPr>
            </w:pPr>
            <w:r>
              <w:rPr>
                <w:rFonts w:ascii="Calibri" w:cs="Calibri" w:eastAsia="Calibri" w:hAnsi="Calibri"/>
                <w:sz w:val="14"/>
                <w:szCs w:val="14"/>
                <w:b w:val="1"/>
                <w:bCs w:val="1"/>
                <w:color w:val="003478"/>
              </w:rPr>
              <w:t>2022</w:t>
            </w:r>
          </w:p>
        </w:tc>
        <w:tc>
          <w:tcPr>
            <w:tcW w:w="112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24,810,545</w:t>
            </w:r>
          </w:p>
        </w:tc>
        <w:tc>
          <w:tcPr>
            <w:tcW w:w="1080" w:type="dxa"/>
            <w:vAlign w:val="bottom"/>
            <w:tcBorders>
              <w:top w:val="single" w:sz="8" w:color="003478"/>
            </w:tcBorders>
          </w:tcPr>
          <w:p>
            <w:pPr>
              <w:jc w:val="right"/>
              <w:ind w:right="14"/>
              <w:spacing w:after="0" w:line="164" w:lineRule="exact"/>
              <w:rPr>
                <w:sz w:val="20"/>
                <w:szCs w:val="20"/>
                <w:color w:val="auto"/>
              </w:rPr>
            </w:pPr>
            <w:r>
              <w:rPr>
                <w:rFonts w:ascii="Calibri" w:cs="Calibri" w:eastAsia="Calibri" w:hAnsi="Calibri"/>
                <w:sz w:val="14"/>
                <w:szCs w:val="14"/>
                <w:color w:val="auto"/>
              </w:rPr>
              <w:t>45,201,355</w:t>
            </w:r>
          </w:p>
        </w:tc>
        <w:tc>
          <w:tcPr>
            <w:tcW w:w="1120" w:type="dxa"/>
            <w:vAlign w:val="bottom"/>
            <w:tcBorders>
              <w:top w:val="single" w:sz="8" w:color="003478"/>
            </w:tcBorders>
          </w:tcPr>
          <w:p>
            <w:pPr>
              <w:jc w:val="right"/>
              <w:ind w:right="37"/>
              <w:spacing w:after="0" w:line="164" w:lineRule="exact"/>
              <w:rPr>
                <w:sz w:val="20"/>
                <w:szCs w:val="20"/>
                <w:color w:val="auto"/>
              </w:rPr>
            </w:pPr>
            <w:r>
              <w:rPr>
                <w:rFonts w:ascii="Calibri" w:cs="Calibri" w:eastAsia="Calibri" w:hAnsi="Calibri"/>
                <w:sz w:val="14"/>
                <w:szCs w:val="14"/>
                <w:color w:val="auto"/>
              </w:rPr>
              <w:t>—</w:t>
            </w:r>
          </w:p>
        </w:tc>
        <w:tc>
          <w:tcPr>
            <w:tcW w:w="1060" w:type="dxa"/>
            <w:vAlign w:val="bottom"/>
            <w:tcBorders>
              <w:top w:val="single" w:sz="8" w:color="003478"/>
            </w:tcBorders>
          </w:tcPr>
          <w:p>
            <w:pPr>
              <w:jc w:val="right"/>
              <w:ind w:right="16"/>
              <w:spacing w:after="0" w:line="164" w:lineRule="exact"/>
              <w:rPr>
                <w:sz w:val="20"/>
                <w:szCs w:val="20"/>
                <w:color w:val="auto"/>
              </w:rPr>
            </w:pPr>
            <w:r>
              <w:rPr>
                <w:rFonts w:ascii="Calibri" w:cs="Calibri" w:eastAsia="Calibri" w:hAnsi="Calibri"/>
                <w:sz w:val="14"/>
                <w:szCs w:val="14"/>
                <w:color w:val="auto"/>
              </w:rPr>
              <w:t>—</w:t>
            </w:r>
          </w:p>
        </w:tc>
        <w:tc>
          <w:tcPr>
            <w:tcW w:w="1120" w:type="dxa"/>
            <w:vAlign w:val="bottom"/>
            <w:tcBorders>
              <w:top w:val="single" w:sz="8" w:color="003478"/>
            </w:tcBorders>
          </w:tcPr>
          <w:p>
            <w:pPr>
              <w:jc w:val="right"/>
              <w:ind w:right="14"/>
              <w:spacing w:after="0" w:line="164" w:lineRule="exact"/>
              <w:rPr>
                <w:sz w:val="20"/>
                <w:szCs w:val="20"/>
                <w:color w:val="auto"/>
              </w:rPr>
            </w:pPr>
            <w:r>
              <w:rPr>
                <w:rFonts w:ascii="Calibri" w:cs="Calibri" w:eastAsia="Calibri" w:hAnsi="Calibri"/>
                <w:sz w:val="14"/>
                <w:szCs w:val="14"/>
                <w:color w:val="auto"/>
              </w:rPr>
              <w:t>7,892,151</w:t>
            </w:r>
          </w:p>
        </w:tc>
        <w:tc>
          <w:tcPr>
            <w:tcW w:w="108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12,280,312</w:t>
            </w:r>
          </w:p>
        </w:tc>
        <w:tc>
          <w:tcPr>
            <w:tcW w:w="1060" w:type="dxa"/>
            <w:vAlign w:val="bottom"/>
            <w:tcBorders>
              <w:top w:val="single" w:sz="8" w:color="003478"/>
            </w:tcBorders>
          </w:tcPr>
          <w:p>
            <w:pPr>
              <w:jc w:val="right"/>
              <w:ind w:right="14"/>
              <w:spacing w:after="0" w:line="164" w:lineRule="exact"/>
              <w:rPr>
                <w:sz w:val="20"/>
                <w:szCs w:val="20"/>
                <w:color w:val="auto"/>
              </w:rPr>
            </w:pPr>
            <w:r>
              <w:rPr>
                <w:rFonts w:ascii="Calibri" w:cs="Calibri" w:eastAsia="Calibri" w:hAnsi="Calibri"/>
                <w:sz w:val="14"/>
                <w:szCs w:val="14"/>
                <w:color w:val="auto"/>
              </w:rPr>
              <w:t>135.57</w:t>
            </w:r>
          </w:p>
        </w:tc>
        <w:tc>
          <w:tcPr>
            <w:tcW w:w="102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111.54</w:t>
            </w:r>
          </w:p>
        </w:tc>
        <w:tc>
          <w:tcPr>
            <w:tcW w:w="1220" w:type="dxa"/>
            <w:vAlign w:val="bottom"/>
            <w:tcBorders>
              <w:top w:val="single" w:sz="8" w:color="003478"/>
            </w:tcBorders>
          </w:tcPr>
          <w:p>
            <w:pPr>
              <w:jc w:val="right"/>
              <w:ind w:right="193"/>
              <w:spacing w:after="0" w:line="164" w:lineRule="exact"/>
              <w:rPr>
                <w:sz w:val="20"/>
                <w:szCs w:val="20"/>
                <w:color w:val="auto"/>
              </w:rPr>
            </w:pPr>
            <w:r>
              <w:rPr>
                <w:rFonts w:ascii="Calibri" w:cs="Calibri" w:eastAsia="Calibri" w:hAnsi="Calibri"/>
                <w:sz w:val="14"/>
                <w:szCs w:val="14"/>
                <w:color w:val="auto"/>
              </w:rPr>
              <w:t>5,732</w:t>
            </w:r>
          </w:p>
        </w:tc>
        <w:tc>
          <w:tcPr>
            <w:tcW w:w="82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6,132</w:t>
            </w:r>
          </w:p>
        </w:tc>
        <w:tc>
          <w:tcPr>
            <w:tcW w:w="0" w:type="dxa"/>
            <w:vAlign w:val="bottom"/>
          </w:tcPr>
          <w:p>
            <w:pPr>
              <w:spacing w:after="0"/>
              <w:rPr>
                <w:sz w:val="1"/>
                <w:szCs w:val="1"/>
                <w:color w:val="auto"/>
              </w:rPr>
            </w:pPr>
          </w:p>
        </w:tc>
      </w:tr>
      <w:tr>
        <w:trPr>
          <w:trHeight w:val="33"/>
        </w:trPr>
        <w:tc>
          <w:tcPr>
            <w:tcW w:w="54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40" w:type="dxa"/>
            <w:vAlign w:val="bottom"/>
            <w:tcBorders>
              <w:bottom w:val="single" w:sz="8" w:color="E4E6EF"/>
            </w:tcBorders>
            <w:shd w:val="clear" w:color="auto" w:fill="E4E6EF"/>
          </w:tcPr>
          <w:p>
            <w:pPr>
              <w:jc w:val="right"/>
              <w:ind w:right="152"/>
              <w:spacing w:after="0" w:line="164" w:lineRule="exact"/>
              <w:rPr>
                <w:sz w:val="20"/>
                <w:szCs w:val="20"/>
                <w:color w:val="auto"/>
              </w:rPr>
            </w:pPr>
            <w:r>
              <w:rPr>
                <w:rFonts w:ascii="Calibri" w:cs="Calibri" w:eastAsia="Calibri" w:hAnsi="Calibri"/>
                <w:sz w:val="14"/>
                <w:szCs w:val="14"/>
                <w:b w:val="1"/>
                <w:bCs w:val="1"/>
                <w:color w:val="003478"/>
              </w:rPr>
              <w:t>2021</w:t>
            </w:r>
          </w:p>
        </w:tc>
        <w:tc>
          <w:tcPr>
            <w:tcW w:w="1120" w:type="dxa"/>
            <w:vAlign w:val="bottom"/>
            <w:tcBorders>
              <w:bottom w:val="single" w:sz="8" w:color="E4E6EF"/>
            </w:tcBorders>
            <w:shd w:val="clear" w:color="auto" w:fill="E4E6EF"/>
          </w:tcPr>
          <w:p>
            <w:pPr>
              <w:jc w:val="right"/>
              <w:ind w:right="34"/>
              <w:spacing w:after="0" w:line="164" w:lineRule="exact"/>
              <w:rPr>
                <w:sz w:val="20"/>
                <w:szCs w:val="20"/>
                <w:color w:val="auto"/>
              </w:rPr>
            </w:pPr>
            <w:r>
              <w:rPr>
                <w:rFonts w:ascii="Calibri" w:cs="Calibri" w:eastAsia="Calibri" w:hAnsi="Calibri"/>
                <w:sz w:val="14"/>
                <w:szCs w:val="14"/>
                <w:color w:val="auto"/>
              </w:rPr>
              <w:t>18,111,211</w:t>
            </w:r>
          </w:p>
        </w:tc>
        <w:tc>
          <w:tcPr>
            <w:tcW w:w="1080" w:type="dxa"/>
            <w:vAlign w:val="bottom"/>
            <w:tcBorders>
              <w:bottom w:val="single" w:sz="8" w:color="E4E6EF"/>
            </w:tcBorders>
            <w:shd w:val="clear" w:color="auto" w:fill="E4E6EF"/>
          </w:tcPr>
          <w:p>
            <w:pPr>
              <w:jc w:val="right"/>
              <w:ind w:right="14"/>
              <w:spacing w:after="0" w:line="164" w:lineRule="exact"/>
              <w:rPr>
                <w:sz w:val="20"/>
                <w:szCs w:val="20"/>
                <w:color w:val="auto"/>
              </w:rPr>
            </w:pPr>
            <w:r>
              <w:rPr>
                <w:rFonts w:ascii="Calibri" w:cs="Calibri" w:eastAsia="Calibri" w:hAnsi="Calibri"/>
                <w:sz w:val="14"/>
                <w:szCs w:val="14"/>
                <w:color w:val="auto"/>
              </w:rPr>
              <w:t>18,685,666</w:t>
            </w:r>
          </w:p>
        </w:tc>
        <w:tc>
          <w:tcPr>
            <w:tcW w:w="1120" w:type="dxa"/>
            <w:vAlign w:val="bottom"/>
            <w:tcBorders>
              <w:bottom w:val="single" w:sz="8" w:color="E4E6EF"/>
            </w:tcBorders>
            <w:shd w:val="clear" w:color="auto" w:fill="E4E6EF"/>
          </w:tcPr>
          <w:p>
            <w:pPr>
              <w:jc w:val="right"/>
              <w:ind w:right="37"/>
              <w:spacing w:after="0" w:line="164" w:lineRule="exact"/>
              <w:rPr>
                <w:sz w:val="20"/>
                <w:szCs w:val="20"/>
                <w:color w:val="auto"/>
              </w:rPr>
            </w:pPr>
            <w:r>
              <w:rPr>
                <w:rFonts w:ascii="Calibri" w:cs="Calibri" w:eastAsia="Calibri" w:hAnsi="Calibri"/>
                <w:sz w:val="14"/>
                <w:szCs w:val="14"/>
                <w:color w:val="auto"/>
              </w:rPr>
              <w:t>—</w:t>
            </w:r>
          </w:p>
        </w:tc>
        <w:tc>
          <w:tcPr>
            <w:tcW w:w="1060" w:type="dxa"/>
            <w:vAlign w:val="bottom"/>
            <w:tcBorders>
              <w:bottom w:val="single" w:sz="8" w:color="E4E6EF"/>
            </w:tcBorders>
            <w:shd w:val="clear" w:color="auto" w:fill="E4E6EF"/>
          </w:tcPr>
          <w:p>
            <w:pPr>
              <w:jc w:val="right"/>
              <w:ind w:right="16"/>
              <w:spacing w:after="0" w:line="164" w:lineRule="exact"/>
              <w:rPr>
                <w:sz w:val="20"/>
                <w:szCs w:val="20"/>
                <w:color w:val="auto"/>
              </w:rPr>
            </w:pPr>
            <w:r>
              <w:rPr>
                <w:rFonts w:ascii="Calibri" w:cs="Calibri" w:eastAsia="Calibri" w:hAnsi="Calibri"/>
                <w:sz w:val="14"/>
                <w:szCs w:val="14"/>
                <w:color w:val="auto"/>
              </w:rPr>
              <w:t>—</w:t>
            </w:r>
          </w:p>
        </w:tc>
        <w:tc>
          <w:tcPr>
            <w:tcW w:w="1120" w:type="dxa"/>
            <w:vAlign w:val="bottom"/>
            <w:tcBorders>
              <w:bottom w:val="single" w:sz="8" w:color="E4E6EF"/>
            </w:tcBorders>
            <w:shd w:val="clear" w:color="auto" w:fill="E4E6EF"/>
          </w:tcPr>
          <w:p>
            <w:pPr>
              <w:jc w:val="right"/>
              <w:ind w:right="14"/>
              <w:spacing w:after="0" w:line="164" w:lineRule="exact"/>
              <w:rPr>
                <w:sz w:val="20"/>
                <w:szCs w:val="20"/>
                <w:color w:val="auto"/>
              </w:rPr>
            </w:pPr>
            <w:r>
              <w:rPr>
                <w:rFonts w:ascii="Calibri" w:cs="Calibri" w:eastAsia="Calibri" w:hAnsi="Calibri"/>
                <w:sz w:val="14"/>
                <w:szCs w:val="14"/>
                <w:color w:val="auto"/>
              </w:rPr>
              <w:t>6,318,045</w:t>
            </w:r>
          </w:p>
        </w:tc>
        <w:tc>
          <w:tcPr>
            <w:tcW w:w="10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5,193,364</w:t>
            </w:r>
          </w:p>
        </w:tc>
        <w:tc>
          <w:tcPr>
            <w:tcW w:w="1060" w:type="dxa"/>
            <w:vAlign w:val="bottom"/>
            <w:tcBorders>
              <w:bottom w:val="single" w:sz="8" w:color="E4E6EF"/>
            </w:tcBorders>
            <w:shd w:val="clear" w:color="auto" w:fill="E4E6EF"/>
          </w:tcPr>
          <w:p>
            <w:pPr>
              <w:jc w:val="right"/>
              <w:ind w:right="14"/>
              <w:spacing w:after="0" w:line="164" w:lineRule="exact"/>
              <w:rPr>
                <w:sz w:val="20"/>
                <w:szCs w:val="20"/>
                <w:color w:val="auto"/>
              </w:rPr>
            </w:pPr>
            <w:r>
              <w:rPr>
                <w:rFonts w:ascii="Calibri" w:cs="Calibri" w:eastAsia="Calibri" w:hAnsi="Calibri"/>
                <w:sz w:val="14"/>
                <w:szCs w:val="14"/>
                <w:color w:val="auto"/>
              </w:rPr>
              <w:t>96.54</w:t>
            </w:r>
          </w:p>
        </w:tc>
        <w:tc>
          <w:tcPr>
            <w:tcW w:w="10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95.03</w:t>
            </w:r>
          </w:p>
        </w:tc>
        <w:tc>
          <w:tcPr>
            <w:tcW w:w="1220" w:type="dxa"/>
            <w:vAlign w:val="bottom"/>
            <w:tcBorders>
              <w:bottom w:val="single" w:sz="8" w:color="E4E6EF"/>
            </w:tcBorders>
            <w:shd w:val="clear" w:color="auto" w:fill="E4E6EF"/>
          </w:tcPr>
          <w:p>
            <w:pPr>
              <w:jc w:val="right"/>
              <w:ind w:right="193"/>
              <w:spacing w:after="0" w:line="164" w:lineRule="exact"/>
              <w:rPr>
                <w:sz w:val="20"/>
                <w:szCs w:val="20"/>
                <w:color w:val="auto"/>
              </w:rPr>
            </w:pPr>
            <w:r>
              <w:rPr>
                <w:rFonts w:ascii="Calibri" w:cs="Calibri" w:eastAsia="Calibri" w:hAnsi="Calibri"/>
                <w:sz w:val="14"/>
                <w:szCs w:val="14"/>
                <w:color w:val="auto"/>
              </w:rPr>
              <w:t>6,315</w:t>
            </w:r>
          </w:p>
        </w:tc>
        <w:tc>
          <w:tcPr>
            <w:tcW w:w="8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7,699</w:t>
            </w:r>
          </w:p>
        </w:tc>
        <w:tc>
          <w:tcPr>
            <w:tcW w:w="0" w:type="dxa"/>
            <w:vAlign w:val="bottom"/>
          </w:tcPr>
          <w:p>
            <w:pPr>
              <w:spacing w:after="0"/>
              <w:rPr>
                <w:sz w:val="1"/>
                <w:szCs w:val="1"/>
                <w:color w:val="auto"/>
              </w:rPr>
            </w:pPr>
          </w:p>
        </w:tc>
      </w:tr>
      <w:tr>
        <w:trPr>
          <w:trHeight w:val="163"/>
        </w:trPr>
        <w:tc>
          <w:tcPr>
            <w:tcW w:w="540" w:type="dxa"/>
            <w:vAlign w:val="bottom"/>
            <w:tcBorders>
              <w:top w:val="single" w:sz="8" w:color="959595"/>
            </w:tcBorders>
          </w:tcPr>
          <w:p>
            <w:pPr>
              <w:jc w:val="right"/>
              <w:ind w:right="152"/>
              <w:spacing w:after="0" w:line="164" w:lineRule="exact"/>
              <w:rPr>
                <w:sz w:val="20"/>
                <w:szCs w:val="20"/>
                <w:color w:val="auto"/>
              </w:rPr>
            </w:pPr>
            <w:r>
              <w:rPr>
                <w:rFonts w:ascii="Calibri" w:cs="Calibri" w:eastAsia="Calibri" w:hAnsi="Calibri"/>
                <w:sz w:val="14"/>
                <w:szCs w:val="14"/>
                <w:b w:val="1"/>
                <w:bCs w:val="1"/>
                <w:color w:val="003478"/>
              </w:rPr>
              <w:t>2020</w:t>
            </w:r>
          </w:p>
        </w:tc>
        <w:tc>
          <w:tcPr>
            <w:tcW w:w="1120" w:type="dxa"/>
            <w:vAlign w:val="bottom"/>
            <w:tcBorders>
              <w:top w:val="single" w:sz="8" w:color="959595"/>
            </w:tcBorders>
          </w:tcPr>
          <w:p>
            <w:pPr>
              <w:jc w:val="right"/>
              <w:ind w:right="34"/>
              <w:spacing w:after="0" w:line="164" w:lineRule="exact"/>
              <w:rPr>
                <w:sz w:val="20"/>
                <w:szCs w:val="20"/>
                <w:color w:val="auto"/>
              </w:rPr>
            </w:pPr>
            <w:r>
              <w:rPr>
                <w:rFonts w:ascii="Calibri" w:cs="Calibri" w:eastAsia="Calibri" w:hAnsi="Calibri"/>
                <w:sz w:val="14"/>
                <w:szCs w:val="14"/>
                <w:color w:val="auto"/>
              </w:rPr>
              <w:t>23,360,369</w:t>
            </w:r>
          </w:p>
        </w:tc>
        <w:tc>
          <w:tcPr>
            <w:tcW w:w="1080" w:type="dxa"/>
            <w:vAlign w:val="bottom"/>
            <w:tcBorders>
              <w:top w:val="single" w:sz="8" w:color="959595"/>
            </w:tcBorders>
          </w:tcPr>
          <w:p>
            <w:pPr>
              <w:jc w:val="right"/>
              <w:ind w:right="14"/>
              <w:spacing w:after="0" w:line="164" w:lineRule="exact"/>
              <w:rPr>
                <w:sz w:val="20"/>
                <w:szCs w:val="20"/>
                <w:color w:val="auto"/>
              </w:rPr>
            </w:pPr>
            <w:r>
              <w:rPr>
                <w:rFonts w:ascii="Calibri" w:cs="Calibri" w:eastAsia="Calibri" w:hAnsi="Calibri"/>
                <w:sz w:val="14"/>
                <w:szCs w:val="14"/>
                <w:color w:val="auto"/>
              </w:rPr>
              <w:t>22,409,142</w:t>
            </w:r>
          </w:p>
        </w:tc>
        <w:tc>
          <w:tcPr>
            <w:tcW w:w="1120" w:type="dxa"/>
            <w:vAlign w:val="bottom"/>
            <w:tcBorders>
              <w:top w:val="single" w:sz="8" w:color="959595"/>
            </w:tcBorders>
          </w:tcPr>
          <w:p>
            <w:pPr>
              <w:jc w:val="right"/>
              <w:ind w:right="37"/>
              <w:spacing w:after="0" w:line="164" w:lineRule="exact"/>
              <w:rPr>
                <w:sz w:val="20"/>
                <w:szCs w:val="20"/>
                <w:color w:val="auto"/>
              </w:rPr>
            </w:pPr>
            <w:r>
              <w:rPr>
                <w:rFonts w:ascii="Calibri" w:cs="Calibri" w:eastAsia="Calibri" w:hAnsi="Calibri"/>
                <w:sz w:val="14"/>
                <w:szCs w:val="14"/>
                <w:color w:val="auto"/>
              </w:rPr>
              <w:t>28,499,825</w:t>
            </w:r>
          </w:p>
        </w:tc>
        <w:tc>
          <w:tcPr>
            <w:tcW w:w="1060" w:type="dxa"/>
            <w:vAlign w:val="bottom"/>
            <w:tcBorders>
              <w:top w:val="single" w:sz="8" w:color="959595"/>
            </w:tcBorders>
          </w:tcPr>
          <w:p>
            <w:pPr>
              <w:jc w:val="right"/>
              <w:ind w:right="16"/>
              <w:spacing w:after="0" w:line="164" w:lineRule="exact"/>
              <w:rPr>
                <w:sz w:val="20"/>
                <w:szCs w:val="20"/>
                <w:color w:val="auto"/>
              </w:rPr>
            </w:pPr>
            <w:r>
              <w:rPr>
                <w:rFonts w:ascii="Calibri" w:cs="Calibri" w:eastAsia="Calibri" w:hAnsi="Calibri"/>
                <w:sz w:val="14"/>
                <w:szCs w:val="14"/>
                <w:color w:val="auto"/>
              </w:rPr>
              <w:t>28,639,659</w:t>
            </w:r>
          </w:p>
        </w:tc>
        <w:tc>
          <w:tcPr>
            <w:tcW w:w="1120" w:type="dxa"/>
            <w:vAlign w:val="bottom"/>
            <w:tcBorders>
              <w:top w:val="single" w:sz="8" w:color="959595"/>
            </w:tcBorders>
          </w:tcPr>
          <w:p>
            <w:pPr>
              <w:jc w:val="right"/>
              <w:ind w:right="14"/>
              <w:spacing w:after="0" w:line="164" w:lineRule="exact"/>
              <w:rPr>
                <w:sz w:val="20"/>
                <w:szCs w:val="20"/>
                <w:color w:val="auto"/>
              </w:rPr>
            </w:pPr>
            <w:r>
              <w:rPr>
                <w:rFonts w:ascii="Calibri" w:cs="Calibri" w:eastAsia="Calibri" w:hAnsi="Calibri"/>
                <w:sz w:val="14"/>
                <w:szCs w:val="14"/>
                <w:color w:val="auto"/>
              </w:rPr>
              <w:t>8,536,811</w:t>
            </w:r>
          </w:p>
        </w:tc>
        <w:tc>
          <w:tcPr>
            <w:tcW w:w="108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8,118,636</w:t>
            </w:r>
          </w:p>
        </w:tc>
        <w:tc>
          <w:tcPr>
            <w:tcW w:w="1060" w:type="dxa"/>
            <w:vAlign w:val="bottom"/>
            <w:tcBorders>
              <w:top w:val="single" w:sz="8" w:color="959595"/>
            </w:tcBorders>
          </w:tcPr>
          <w:p>
            <w:pPr>
              <w:jc w:val="right"/>
              <w:ind w:right="14"/>
              <w:spacing w:after="0" w:line="164" w:lineRule="exact"/>
              <w:rPr>
                <w:sz w:val="20"/>
                <w:szCs w:val="20"/>
                <w:color w:val="auto"/>
              </w:rPr>
            </w:pPr>
            <w:r>
              <w:rPr>
                <w:rFonts w:ascii="Calibri" w:cs="Calibri" w:eastAsia="Calibri" w:hAnsi="Calibri"/>
                <w:sz w:val="14"/>
                <w:szCs w:val="14"/>
                <w:color w:val="auto"/>
              </w:rPr>
              <w:t>93.55</w:t>
            </w:r>
          </w:p>
        </w:tc>
        <w:tc>
          <w:tcPr>
            <w:tcW w:w="102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83.94</w:t>
            </w:r>
          </w:p>
        </w:tc>
        <w:tc>
          <w:tcPr>
            <w:tcW w:w="1220" w:type="dxa"/>
            <w:vAlign w:val="bottom"/>
            <w:tcBorders>
              <w:top w:val="single" w:sz="8" w:color="959595"/>
            </w:tcBorders>
          </w:tcPr>
          <w:p>
            <w:pPr>
              <w:jc w:val="right"/>
              <w:ind w:right="193"/>
              <w:spacing w:after="0" w:line="164" w:lineRule="exact"/>
              <w:rPr>
                <w:sz w:val="20"/>
                <w:szCs w:val="20"/>
                <w:color w:val="auto"/>
              </w:rPr>
            </w:pPr>
            <w:r>
              <w:rPr>
                <w:rFonts w:ascii="Calibri" w:cs="Calibri" w:eastAsia="Calibri" w:hAnsi="Calibri"/>
                <w:sz w:val="14"/>
                <w:szCs w:val="14"/>
                <w:color w:val="auto"/>
              </w:rPr>
              <w:t>6,833</w:t>
            </w:r>
          </w:p>
        </w:tc>
        <w:tc>
          <w:tcPr>
            <w:tcW w:w="82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6,417</w:t>
            </w:r>
          </w:p>
        </w:tc>
        <w:tc>
          <w:tcPr>
            <w:tcW w:w="0" w:type="dxa"/>
            <w:vAlign w:val="bottom"/>
          </w:tcPr>
          <w:p>
            <w:pPr>
              <w:spacing w:after="0"/>
              <w:rPr>
                <w:sz w:val="1"/>
                <w:szCs w:val="1"/>
                <w:color w:val="auto"/>
              </w:rPr>
            </w:pPr>
          </w:p>
        </w:tc>
      </w:tr>
      <w:tr>
        <w:trPr>
          <w:trHeight w:val="33"/>
        </w:trPr>
        <w:tc>
          <w:tcPr>
            <w:tcW w:w="54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1080" w:type="dxa"/>
            <w:vAlign w:val="bottom"/>
            <w:tcBorders>
              <w:bottom w:val="single" w:sz="8" w:color="959595"/>
            </w:tcBorders>
          </w:tcPr>
          <w:p>
            <w:pPr>
              <w:spacing w:after="0"/>
              <w:rPr>
                <w:sz w:val="2"/>
                <w:szCs w:val="2"/>
                <w:color w:val="auto"/>
              </w:rPr>
            </w:pPr>
          </w:p>
        </w:tc>
        <w:tc>
          <w:tcPr>
            <w:tcW w:w="106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122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40" w:hanging="232"/>
        <w:spacing w:after="0"/>
        <w:tabs>
          <w:tab w:leader="none" w:pos="240" w:val="left"/>
        </w:tabs>
        <w:numPr>
          <w:ilvl w:val="0"/>
          <w:numId w:val="98"/>
        </w:numPr>
        <w:rPr>
          <w:rFonts w:ascii="Calibri" w:cs="Calibri" w:eastAsia="Calibri" w:hAnsi="Calibri"/>
          <w:sz w:val="19"/>
          <w:szCs w:val="19"/>
          <w:color w:val="auto"/>
          <w:vertAlign w:val="superscript"/>
        </w:rPr>
      </w:pPr>
      <w:r>
        <w:rPr>
          <w:rFonts w:ascii="Calibri" w:cs="Calibri" w:eastAsia="Calibri" w:hAnsi="Calibri"/>
          <w:sz w:val="14"/>
          <w:szCs w:val="14"/>
          <w:color w:val="auto"/>
        </w:rPr>
        <w:t>Mr. Taiclet was elected CEO efectve June 15, 2020, succeeding Ms. Marillyn A. Hewson. The individuals comprising the Non-PEO NEOs are for 2022: Mr. Malave, Mr. Mollard, Mr. St. John,</w:t>
      </w:r>
    </w:p>
    <w:p>
      <w:pPr>
        <w:spacing w:after="0" w:line="39" w:lineRule="exact"/>
        <w:rPr>
          <w:rFonts w:ascii="Calibri" w:cs="Calibri" w:eastAsia="Calibri" w:hAnsi="Calibri"/>
          <w:sz w:val="19"/>
          <w:szCs w:val="19"/>
          <w:color w:val="auto"/>
          <w:vertAlign w:val="superscript"/>
        </w:rPr>
      </w:pPr>
    </w:p>
    <w:p>
      <w:pPr>
        <w:ind w:left="260" w:right="320"/>
        <w:spacing w:after="0" w:line="237"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Mr. Greene, Ms. Lavan and Mr. Ulmer; for 2021: Mr. Mollard, Mr. Kenneth P. Possenriede, Mr. St. John, Mr. Richard F. Ambrose, Ms. Stephanie C. Hill and Ms. Hewson; and for 2020: Mr. Possenriede, Mr. St. John, Mr. Ambrose and Ms. Michele A. Evans.</w:t>
      </w:r>
    </w:p>
    <w:p>
      <w:pPr>
        <w:spacing w:after="0" w:line="60" w:lineRule="exact"/>
        <w:rPr>
          <w:rFonts w:ascii="Calibri" w:cs="Calibri" w:eastAsia="Calibri" w:hAnsi="Calibri"/>
          <w:sz w:val="19"/>
          <w:szCs w:val="19"/>
          <w:color w:val="auto"/>
          <w:vertAlign w:val="superscript"/>
        </w:rPr>
      </w:pPr>
    </w:p>
    <w:p>
      <w:pPr>
        <w:ind w:left="260" w:hanging="252"/>
        <w:spacing w:after="0" w:line="247" w:lineRule="auto"/>
        <w:tabs>
          <w:tab w:leader="none" w:pos="256" w:val="left"/>
        </w:tabs>
        <w:numPr>
          <w:ilvl w:val="0"/>
          <w:numId w:val="98"/>
        </w:numPr>
        <w:rPr>
          <w:rFonts w:ascii="Calibri" w:cs="Calibri" w:eastAsia="Calibri" w:hAnsi="Calibri"/>
          <w:sz w:val="19"/>
          <w:szCs w:val="19"/>
          <w:color w:val="auto"/>
          <w:vertAlign w:val="superscript"/>
        </w:rPr>
      </w:pPr>
      <w:r>
        <w:rPr>
          <w:rFonts w:ascii="Calibri" w:cs="Calibri" w:eastAsia="Calibri" w:hAnsi="Calibri"/>
          <w:sz w:val="14"/>
          <w:szCs w:val="14"/>
          <w:color w:val="auto"/>
        </w:rPr>
        <w:t>CAP refects the total compensaton reported in the Summary Compensaton Table for the applicable year adjusted to include or exclude the amounts shown in the tables below for the NEOs. Amounts in the Exclusion of Change in Pension Value column refect the amounts atributable to the Change in Pension Value reported in the Summary Compensaton Table. Amounts in the Exclusion of Stock Awards column are the totals from the Stock Awards column set forth in the Summary Compensaton Table. The Inclusion of Pension Service Cost column would report amounts based on the pension service cost for services rendered during the listed year and any prior service cost or credit atributable to a plan amendment for services rendered prior to the amendment. For the Company, there are no amounts listed in this column because the Company’s pension plan was frozen efectve January 1, 2020 and there have not been any plan amendments triggering additonal costs or credits in the years covered. Equity values are calculated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302260</wp:posOffset>
            </wp:positionV>
            <wp:extent cx="1071880" cy="1803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78" w:name="page79"/>
    <w:bookmarkEnd w:id="78"/>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4260" w:type="dxa"/>
            <w:vAlign w:val="bottom"/>
            <w:shd w:val="clear" w:color="auto" w:fill="E4E6EF"/>
          </w:tcPr>
          <w:p>
            <w:pPr>
              <w:spacing w:after="0"/>
              <w:rPr>
                <w:sz w:val="13"/>
                <w:szCs w:val="13"/>
                <w:color w:val="auto"/>
              </w:rPr>
            </w:pPr>
          </w:p>
        </w:tc>
        <w:tc>
          <w:tcPr>
            <w:tcW w:w="1060" w:type="dxa"/>
            <w:vAlign w:val="bottom"/>
            <w:shd w:val="clear" w:color="auto" w:fill="E4E6EF"/>
          </w:tcPr>
          <w:p>
            <w:pPr>
              <w:jc w:val="right"/>
              <w:spacing w:after="0"/>
              <w:rPr>
                <w:sz w:val="20"/>
                <w:szCs w:val="20"/>
                <w:color w:val="auto"/>
              </w:rPr>
            </w:pPr>
            <w:r>
              <w:rPr>
                <w:rFonts w:ascii="Arial" w:cs="Arial" w:eastAsia="Arial" w:hAnsi="Arial"/>
                <w:sz w:val="13"/>
                <w:szCs w:val="13"/>
                <w:color w:val="auto"/>
              </w:rPr>
              <w:t>Summary</w:t>
            </w:r>
          </w:p>
        </w:tc>
        <w:tc>
          <w:tcPr>
            <w:tcW w:w="1200" w:type="dxa"/>
            <w:vAlign w:val="bottom"/>
            <w:shd w:val="clear" w:color="auto" w:fill="E4E6EF"/>
          </w:tcPr>
          <w:p>
            <w:pPr>
              <w:jc w:val="right"/>
              <w:ind w:right="71"/>
              <w:spacing w:after="0"/>
              <w:rPr>
                <w:sz w:val="20"/>
                <w:szCs w:val="20"/>
                <w:color w:val="auto"/>
              </w:rPr>
            </w:pPr>
            <w:r>
              <w:rPr>
                <w:rFonts w:ascii="Arial" w:cs="Arial" w:eastAsia="Arial" w:hAnsi="Arial"/>
                <w:sz w:val="13"/>
                <w:szCs w:val="13"/>
                <w:color w:val="auto"/>
              </w:rPr>
              <w:t>Exclusion of</w:t>
            </w:r>
          </w:p>
        </w:tc>
        <w:tc>
          <w:tcPr>
            <w:tcW w:w="1000" w:type="dxa"/>
            <w:vAlign w:val="bottom"/>
            <w:shd w:val="clear" w:color="auto" w:fill="E4E6EF"/>
          </w:tcPr>
          <w:p>
            <w:pPr>
              <w:spacing w:after="0"/>
              <w:rPr>
                <w:sz w:val="13"/>
                <w:szCs w:val="13"/>
                <w:color w:val="auto"/>
              </w:rPr>
            </w:pPr>
          </w:p>
        </w:tc>
        <w:tc>
          <w:tcPr>
            <w:tcW w:w="1180" w:type="dxa"/>
            <w:vAlign w:val="bottom"/>
            <w:shd w:val="clear" w:color="auto" w:fill="E4E6EF"/>
          </w:tcPr>
          <w:p>
            <w:pPr>
              <w:jc w:val="right"/>
              <w:ind w:right="131"/>
              <w:spacing w:after="0"/>
              <w:rPr>
                <w:sz w:val="20"/>
                <w:szCs w:val="20"/>
                <w:color w:val="auto"/>
              </w:rPr>
            </w:pPr>
            <w:r>
              <w:rPr>
                <w:rFonts w:ascii="Arial" w:cs="Arial" w:eastAsia="Arial" w:hAnsi="Arial"/>
                <w:sz w:val="13"/>
                <w:szCs w:val="13"/>
                <w:color w:val="auto"/>
              </w:rPr>
              <w:t>Inclusion of</w:t>
            </w:r>
          </w:p>
        </w:tc>
        <w:tc>
          <w:tcPr>
            <w:tcW w:w="1020" w:type="dxa"/>
            <w:vAlign w:val="bottom"/>
            <w:shd w:val="clear" w:color="auto" w:fill="E4E6EF"/>
          </w:tcPr>
          <w:p>
            <w:pPr>
              <w:spacing w:after="0"/>
              <w:rPr>
                <w:sz w:val="13"/>
                <w:szCs w:val="13"/>
                <w:color w:val="auto"/>
              </w:rPr>
            </w:pPr>
          </w:p>
        </w:tc>
        <w:tc>
          <w:tcPr>
            <w:tcW w:w="960" w:type="dxa"/>
            <w:vAlign w:val="bottom"/>
            <w:shd w:val="clear" w:color="auto" w:fill="E4E6EF"/>
          </w:tcPr>
          <w:p>
            <w:pPr>
              <w:spacing w:after="0"/>
              <w:rPr>
                <w:sz w:val="13"/>
                <w:szCs w:val="13"/>
                <w:color w:val="auto"/>
              </w:rPr>
            </w:pPr>
          </w:p>
        </w:tc>
      </w:tr>
      <w:tr>
        <w:trPr>
          <w:trHeight w:val="148"/>
        </w:trPr>
        <w:tc>
          <w:tcPr>
            <w:tcW w:w="4260" w:type="dxa"/>
            <w:vAlign w:val="bottom"/>
            <w:shd w:val="clear" w:color="auto" w:fill="E4E6EF"/>
          </w:tcPr>
          <w:p>
            <w:pPr>
              <w:spacing w:after="0"/>
              <w:rPr>
                <w:sz w:val="12"/>
                <w:szCs w:val="12"/>
                <w:color w:val="auto"/>
              </w:rPr>
            </w:pPr>
          </w:p>
        </w:tc>
        <w:tc>
          <w:tcPr>
            <w:tcW w:w="1060" w:type="dxa"/>
            <w:vAlign w:val="bottom"/>
            <w:shd w:val="clear" w:color="auto" w:fill="E4E6EF"/>
          </w:tcPr>
          <w:p>
            <w:pPr>
              <w:jc w:val="right"/>
              <w:spacing w:after="0"/>
              <w:rPr>
                <w:sz w:val="20"/>
                <w:szCs w:val="20"/>
                <w:color w:val="auto"/>
              </w:rPr>
            </w:pPr>
            <w:r>
              <w:rPr>
                <w:rFonts w:ascii="Arial" w:cs="Arial" w:eastAsia="Arial" w:hAnsi="Arial"/>
                <w:sz w:val="13"/>
                <w:szCs w:val="13"/>
                <w:color w:val="auto"/>
              </w:rPr>
              <w:t>Compensation</w:t>
            </w:r>
          </w:p>
        </w:tc>
        <w:tc>
          <w:tcPr>
            <w:tcW w:w="2200" w:type="dxa"/>
            <w:vAlign w:val="bottom"/>
            <w:gridSpan w:val="2"/>
            <w:shd w:val="clear" w:color="auto" w:fill="E4E6EF"/>
          </w:tcPr>
          <w:p>
            <w:pPr>
              <w:jc w:val="right"/>
              <w:ind w:right="10"/>
              <w:spacing w:after="0"/>
              <w:rPr>
                <w:sz w:val="20"/>
                <w:szCs w:val="20"/>
                <w:color w:val="auto"/>
              </w:rPr>
            </w:pPr>
            <w:r>
              <w:rPr>
                <w:rFonts w:ascii="Arial" w:cs="Arial" w:eastAsia="Arial" w:hAnsi="Arial"/>
                <w:sz w:val="13"/>
                <w:szCs w:val="13"/>
                <w:color w:val="auto"/>
              </w:rPr>
              <w:t>Change in Exclusion of Stock</w:t>
            </w:r>
          </w:p>
        </w:tc>
        <w:tc>
          <w:tcPr>
            <w:tcW w:w="2200" w:type="dxa"/>
            <w:vAlign w:val="bottom"/>
            <w:gridSpan w:val="2"/>
            <w:shd w:val="clear" w:color="auto" w:fill="E4E6EF"/>
          </w:tcPr>
          <w:p>
            <w:pPr>
              <w:jc w:val="right"/>
              <w:ind w:right="70"/>
              <w:spacing w:after="0"/>
              <w:rPr>
                <w:sz w:val="20"/>
                <w:szCs w:val="20"/>
                <w:color w:val="auto"/>
              </w:rPr>
            </w:pPr>
            <w:r>
              <w:rPr>
                <w:rFonts w:ascii="Arial" w:cs="Arial" w:eastAsia="Arial" w:hAnsi="Arial"/>
                <w:sz w:val="13"/>
                <w:szCs w:val="13"/>
                <w:color w:val="auto"/>
              </w:rPr>
              <w:t>Pension Service Inclusion of Equity</w:t>
            </w:r>
          </w:p>
        </w:tc>
        <w:tc>
          <w:tcPr>
            <w:tcW w:w="960" w:type="dxa"/>
            <w:vAlign w:val="bottom"/>
            <w:shd w:val="clear" w:color="auto" w:fill="E4E6EF"/>
          </w:tcPr>
          <w:p>
            <w:pPr>
              <w:jc w:val="right"/>
              <w:spacing w:after="0"/>
              <w:rPr>
                <w:sz w:val="20"/>
                <w:szCs w:val="20"/>
                <w:color w:val="auto"/>
              </w:rPr>
            </w:pPr>
            <w:r>
              <w:rPr>
                <w:rFonts w:ascii="Arial" w:cs="Arial" w:eastAsia="Arial" w:hAnsi="Arial"/>
                <w:sz w:val="13"/>
                <w:szCs w:val="13"/>
                <w:color w:val="auto"/>
              </w:rPr>
              <w:t>Compensation</w:t>
            </w:r>
          </w:p>
        </w:tc>
      </w:tr>
      <w:tr>
        <w:trPr>
          <w:trHeight w:val="187"/>
        </w:trPr>
        <w:tc>
          <w:tcPr>
            <w:tcW w:w="4260" w:type="dxa"/>
            <w:vAlign w:val="bottom"/>
            <w:tcBorders>
              <w:bottom w:val="single" w:sz="8" w:color="E4E6EF"/>
            </w:tcBorders>
            <w:shd w:val="clear" w:color="auto" w:fill="E4E6EF"/>
          </w:tcPr>
          <w:p>
            <w:pPr>
              <w:spacing w:after="0"/>
              <w:rPr>
                <w:sz w:val="16"/>
                <w:szCs w:val="16"/>
                <w:color w:val="auto"/>
              </w:rPr>
            </w:pPr>
          </w:p>
        </w:tc>
        <w:tc>
          <w:tcPr>
            <w:tcW w:w="106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Table Total</w:t>
            </w:r>
          </w:p>
        </w:tc>
        <w:tc>
          <w:tcPr>
            <w:tcW w:w="1200" w:type="dxa"/>
            <w:vAlign w:val="bottom"/>
            <w:tcBorders>
              <w:bottom w:val="single" w:sz="8" w:color="E4E6EF"/>
            </w:tcBorders>
            <w:shd w:val="clear" w:color="auto" w:fill="E4E6EF"/>
          </w:tcPr>
          <w:p>
            <w:pPr>
              <w:jc w:val="right"/>
              <w:ind w:right="71"/>
              <w:spacing w:after="0"/>
              <w:rPr>
                <w:sz w:val="20"/>
                <w:szCs w:val="20"/>
                <w:color w:val="auto"/>
              </w:rPr>
            </w:pPr>
            <w:r>
              <w:rPr>
                <w:rFonts w:ascii="Arial" w:cs="Arial" w:eastAsia="Arial" w:hAnsi="Arial"/>
                <w:sz w:val="13"/>
                <w:szCs w:val="13"/>
                <w:color w:val="auto"/>
              </w:rPr>
              <w:t>Pension Value</w:t>
            </w:r>
          </w:p>
        </w:tc>
        <w:tc>
          <w:tcPr>
            <w:tcW w:w="1000" w:type="dxa"/>
            <w:vAlign w:val="bottom"/>
            <w:tcBorders>
              <w:bottom w:val="single" w:sz="8" w:color="E4E6EF"/>
            </w:tcBorders>
            <w:shd w:val="clear" w:color="auto" w:fill="E4E6EF"/>
          </w:tcPr>
          <w:p>
            <w:pPr>
              <w:jc w:val="right"/>
              <w:ind w:right="10"/>
              <w:spacing w:after="0"/>
              <w:rPr>
                <w:sz w:val="20"/>
                <w:szCs w:val="20"/>
                <w:color w:val="auto"/>
              </w:rPr>
            </w:pPr>
            <w:r>
              <w:rPr>
                <w:rFonts w:ascii="Arial" w:cs="Arial" w:eastAsia="Arial" w:hAnsi="Arial"/>
                <w:sz w:val="13"/>
                <w:szCs w:val="13"/>
                <w:color w:val="auto"/>
              </w:rPr>
              <w:t>Awards</w:t>
            </w:r>
          </w:p>
        </w:tc>
        <w:tc>
          <w:tcPr>
            <w:tcW w:w="1180" w:type="dxa"/>
            <w:vAlign w:val="bottom"/>
            <w:tcBorders>
              <w:bottom w:val="single" w:sz="8" w:color="E4E6EF"/>
            </w:tcBorders>
            <w:shd w:val="clear" w:color="auto" w:fill="E4E6EF"/>
          </w:tcPr>
          <w:p>
            <w:pPr>
              <w:jc w:val="right"/>
              <w:ind w:right="131"/>
              <w:spacing w:after="0"/>
              <w:rPr>
                <w:sz w:val="20"/>
                <w:szCs w:val="20"/>
                <w:color w:val="auto"/>
              </w:rPr>
            </w:pPr>
            <w:r>
              <w:rPr>
                <w:rFonts w:ascii="Arial" w:cs="Arial" w:eastAsia="Arial" w:hAnsi="Arial"/>
                <w:sz w:val="13"/>
                <w:szCs w:val="13"/>
                <w:color w:val="auto"/>
              </w:rPr>
              <w:t>Cost</w:t>
            </w:r>
          </w:p>
        </w:tc>
        <w:tc>
          <w:tcPr>
            <w:tcW w:w="1020" w:type="dxa"/>
            <w:vAlign w:val="bottom"/>
            <w:tcBorders>
              <w:bottom w:val="single" w:sz="8" w:color="E4E6EF"/>
            </w:tcBorders>
            <w:shd w:val="clear" w:color="auto" w:fill="E4E6EF"/>
          </w:tcPr>
          <w:p>
            <w:pPr>
              <w:jc w:val="right"/>
              <w:ind w:right="70"/>
              <w:spacing w:after="0"/>
              <w:rPr>
                <w:sz w:val="20"/>
                <w:szCs w:val="20"/>
                <w:color w:val="auto"/>
              </w:rPr>
            </w:pPr>
            <w:r>
              <w:rPr>
                <w:rFonts w:ascii="Arial" w:cs="Arial" w:eastAsia="Arial" w:hAnsi="Arial"/>
                <w:sz w:val="13"/>
                <w:szCs w:val="13"/>
                <w:color w:val="auto"/>
              </w:rPr>
              <w:t>Values*</w:t>
            </w:r>
          </w:p>
        </w:tc>
        <w:tc>
          <w:tcPr>
            <w:tcW w:w="96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Actually Paid</w:t>
            </w:r>
          </w:p>
        </w:tc>
      </w:tr>
      <w:tr>
        <w:trPr>
          <w:trHeight w:val="208"/>
        </w:trPr>
        <w:tc>
          <w:tcPr>
            <w:tcW w:w="4260" w:type="dxa"/>
            <w:vAlign w:val="bottom"/>
            <w:tcBorders>
              <w:bottom w:val="single" w:sz="8" w:color="E4E6EF"/>
            </w:tcBorders>
            <w:shd w:val="clear" w:color="auto" w:fill="E4E6EF"/>
          </w:tcPr>
          <w:p>
            <w:pPr>
              <w:spacing w:after="0"/>
              <w:rPr>
                <w:sz w:val="17"/>
                <w:szCs w:val="17"/>
                <w:color w:val="auto"/>
              </w:rPr>
            </w:pPr>
          </w:p>
        </w:tc>
        <w:tc>
          <w:tcPr>
            <w:tcW w:w="10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E5E7EF"/>
            </w:tcBorders>
            <w:shd w:val="clear" w:color="auto" w:fill="E5E7EF"/>
          </w:tcPr>
          <w:p>
            <w:pPr>
              <w:jc w:val="right"/>
              <w:ind w:right="71"/>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E5E7EF"/>
            </w:tcBorders>
            <w:shd w:val="clear" w:color="auto" w:fill="E5E7EF"/>
          </w:tcPr>
          <w:p>
            <w:pPr>
              <w:jc w:val="right"/>
              <w:ind w:right="1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E5E7EF"/>
            </w:tcBorders>
            <w:shd w:val="clear" w:color="auto" w:fill="E5E7EF"/>
          </w:tcPr>
          <w:p>
            <w:pPr>
              <w:ind w:left="84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E5E7EF"/>
            </w:tcBorders>
            <w:shd w:val="clear" w:color="auto" w:fill="E5E7EF"/>
          </w:tcPr>
          <w:p>
            <w:pPr>
              <w:jc w:val="right"/>
              <w:ind w:right="7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4260" w:type="dxa"/>
            <w:vAlign w:val="bottom"/>
            <w:tcBorders>
              <w:top w:val="single" w:sz="8" w:color="003478"/>
              <w:bottom w:val="single" w:sz="8" w:color="E4E6EF"/>
            </w:tcBorders>
            <w:shd w:val="clear" w:color="auto" w:fill="E4E6EF"/>
          </w:tcPr>
          <w:p>
            <w:pPr>
              <w:spacing w:after="0" w:line="164" w:lineRule="exact"/>
              <w:rPr>
                <w:sz w:val="20"/>
                <w:szCs w:val="20"/>
                <w:color w:val="auto"/>
              </w:rPr>
            </w:pPr>
            <w:r>
              <w:rPr>
                <w:rFonts w:ascii="Calibri" w:cs="Calibri" w:eastAsia="Calibri" w:hAnsi="Calibri"/>
                <w:sz w:val="14"/>
                <w:szCs w:val="14"/>
                <w:b w:val="1"/>
                <w:bCs w:val="1"/>
                <w:color w:val="003478"/>
              </w:rPr>
              <w:t>James D. Taiclet</w:t>
            </w:r>
          </w:p>
        </w:tc>
        <w:tc>
          <w:tcPr>
            <w:tcW w:w="1060" w:type="dxa"/>
            <w:vAlign w:val="bottom"/>
            <w:tcBorders>
              <w:top w:val="single" w:sz="8" w:color="003478"/>
              <w:bottom w:val="single" w:sz="8" w:color="E5E7EF"/>
            </w:tcBorders>
            <w:shd w:val="clear" w:color="auto" w:fill="E5E7EF"/>
          </w:tcPr>
          <w:p>
            <w:pPr>
              <w:spacing w:after="0"/>
              <w:rPr>
                <w:sz w:val="17"/>
                <w:szCs w:val="17"/>
                <w:color w:val="auto"/>
              </w:rPr>
            </w:pPr>
          </w:p>
        </w:tc>
        <w:tc>
          <w:tcPr>
            <w:tcW w:w="1200" w:type="dxa"/>
            <w:vAlign w:val="bottom"/>
            <w:tcBorders>
              <w:top w:val="single" w:sz="8" w:color="003478"/>
              <w:bottom w:val="single" w:sz="8" w:color="E5E7EF"/>
            </w:tcBorders>
            <w:shd w:val="clear" w:color="auto" w:fill="E5E7EF"/>
          </w:tcPr>
          <w:p>
            <w:pPr>
              <w:spacing w:after="0"/>
              <w:rPr>
                <w:sz w:val="17"/>
                <w:szCs w:val="17"/>
                <w:color w:val="auto"/>
              </w:rPr>
            </w:pPr>
          </w:p>
        </w:tc>
        <w:tc>
          <w:tcPr>
            <w:tcW w:w="1000" w:type="dxa"/>
            <w:vAlign w:val="bottom"/>
            <w:tcBorders>
              <w:top w:val="single" w:sz="8" w:color="003478"/>
              <w:bottom w:val="single" w:sz="8" w:color="E5E7EF"/>
            </w:tcBorders>
            <w:shd w:val="clear" w:color="auto" w:fill="E5E7EF"/>
          </w:tcPr>
          <w:p>
            <w:pPr>
              <w:spacing w:after="0"/>
              <w:rPr>
                <w:sz w:val="17"/>
                <w:szCs w:val="17"/>
                <w:color w:val="auto"/>
              </w:rPr>
            </w:pPr>
          </w:p>
        </w:tc>
        <w:tc>
          <w:tcPr>
            <w:tcW w:w="1180" w:type="dxa"/>
            <w:vAlign w:val="bottom"/>
            <w:tcBorders>
              <w:top w:val="single" w:sz="8" w:color="003478"/>
              <w:bottom w:val="single" w:sz="8" w:color="E5E7EF"/>
            </w:tcBorders>
            <w:shd w:val="clear" w:color="auto" w:fill="E5E7EF"/>
          </w:tcPr>
          <w:p>
            <w:pPr>
              <w:spacing w:after="0"/>
              <w:rPr>
                <w:sz w:val="17"/>
                <w:szCs w:val="17"/>
                <w:color w:val="auto"/>
              </w:rPr>
            </w:pPr>
          </w:p>
        </w:tc>
        <w:tc>
          <w:tcPr>
            <w:tcW w:w="1020" w:type="dxa"/>
            <w:vAlign w:val="bottom"/>
            <w:tcBorders>
              <w:top w:val="single" w:sz="8" w:color="003478"/>
              <w:bottom w:val="single" w:sz="8" w:color="E5E7EF"/>
            </w:tcBorders>
            <w:shd w:val="clear" w:color="auto" w:fill="E5E7EF"/>
          </w:tcPr>
          <w:p>
            <w:pPr>
              <w:spacing w:after="0"/>
              <w:rPr>
                <w:sz w:val="17"/>
                <w:szCs w:val="17"/>
                <w:color w:val="auto"/>
              </w:rPr>
            </w:pPr>
          </w:p>
        </w:tc>
        <w:tc>
          <w:tcPr>
            <w:tcW w:w="960" w:type="dxa"/>
            <w:vAlign w:val="bottom"/>
            <w:tcBorders>
              <w:top w:val="single" w:sz="8" w:color="003478"/>
              <w:bottom w:val="single" w:sz="8" w:color="E5E7EF"/>
            </w:tcBorders>
            <w:shd w:val="clear" w:color="auto" w:fill="E5E7EF"/>
          </w:tcPr>
          <w:p>
            <w:pPr>
              <w:spacing w:after="0"/>
              <w:rPr>
                <w:sz w:val="17"/>
                <w:szCs w:val="17"/>
                <w:color w:val="auto"/>
              </w:rPr>
            </w:pPr>
          </w:p>
        </w:tc>
      </w:tr>
      <w:tr>
        <w:trPr>
          <w:trHeight w:val="163"/>
        </w:trPr>
        <w:tc>
          <w:tcPr>
            <w:tcW w:w="4260" w:type="dxa"/>
            <w:vAlign w:val="bottom"/>
            <w:tcBorders>
              <w:top w:val="single" w:sz="8" w:color="9D9D9C"/>
            </w:tcBorders>
          </w:tcPr>
          <w:p>
            <w:pPr>
              <w:spacing w:after="0" w:line="164" w:lineRule="exact"/>
              <w:rPr>
                <w:sz w:val="20"/>
                <w:szCs w:val="20"/>
                <w:color w:val="auto"/>
              </w:rPr>
            </w:pPr>
            <w:r>
              <w:rPr>
                <w:rFonts w:ascii="Calibri" w:cs="Calibri" w:eastAsia="Calibri" w:hAnsi="Calibri"/>
                <w:sz w:val="14"/>
                <w:szCs w:val="14"/>
                <w:b w:val="1"/>
                <w:bCs w:val="1"/>
                <w:color w:val="003478"/>
              </w:rPr>
              <w:t>2022</w:t>
            </w:r>
          </w:p>
        </w:tc>
        <w:tc>
          <w:tcPr>
            <w:tcW w:w="106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24,810,545</w:t>
            </w:r>
          </w:p>
        </w:tc>
        <w:tc>
          <w:tcPr>
            <w:tcW w:w="1200" w:type="dxa"/>
            <w:vAlign w:val="bottom"/>
            <w:tcBorders>
              <w:top w:val="single" w:sz="8" w:color="9D9D9C"/>
            </w:tcBorders>
          </w:tcPr>
          <w:p>
            <w:pPr>
              <w:jc w:val="right"/>
              <w:ind w:right="111"/>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Borders>
              <w:top w:val="single" w:sz="8" w:color="9D9D9C"/>
            </w:tcBorders>
          </w:tcPr>
          <w:p>
            <w:pPr>
              <w:jc w:val="right"/>
              <w:ind w:right="10"/>
              <w:spacing w:after="0" w:line="164" w:lineRule="exact"/>
              <w:rPr>
                <w:sz w:val="20"/>
                <w:szCs w:val="20"/>
                <w:color w:val="auto"/>
              </w:rPr>
            </w:pPr>
            <w:r>
              <w:rPr>
                <w:rFonts w:ascii="Calibri" w:cs="Calibri" w:eastAsia="Calibri" w:hAnsi="Calibri"/>
                <w:sz w:val="14"/>
                <w:szCs w:val="14"/>
                <w:color w:val="auto"/>
              </w:rPr>
              <w:t>(13,413,894)</w:t>
            </w:r>
          </w:p>
        </w:tc>
        <w:tc>
          <w:tcPr>
            <w:tcW w:w="1180" w:type="dxa"/>
            <w:vAlign w:val="bottom"/>
            <w:tcBorders>
              <w:top w:val="single" w:sz="8" w:color="9D9D9C"/>
            </w:tcBorders>
          </w:tcPr>
          <w:p>
            <w:pPr>
              <w:ind w:left="820"/>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Borders>
              <w:top w:val="single" w:sz="8" w:color="9D9D9C"/>
            </w:tcBorders>
          </w:tcPr>
          <w:p>
            <w:pPr>
              <w:jc w:val="right"/>
              <w:ind w:right="110"/>
              <w:spacing w:after="0" w:line="164" w:lineRule="exact"/>
              <w:rPr>
                <w:sz w:val="20"/>
                <w:szCs w:val="20"/>
                <w:color w:val="auto"/>
              </w:rPr>
            </w:pPr>
            <w:r>
              <w:rPr>
                <w:rFonts w:ascii="Calibri" w:cs="Calibri" w:eastAsia="Calibri" w:hAnsi="Calibri"/>
                <w:sz w:val="14"/>
                <w:szCs w:val="14"/>
                <w:color w:val="auto"/>
              </w:rPr>
              <w:t>33,804,704</w:t>
            </w:r>
          </w:p>
        </w:tc>
        <w:tc>
          <w:tcPr>
            <w:tcW w:w="96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45,201,355</w:t>
            </w:r>
          </w:p>
        </w:tc>
      </w:tr>
      <w:tr>
        <w:trPr>
          <w:trHeight w:val="33"/>
        </w:trPr>
        <w:tc>
          <w:tcPr>
            <w:tcW w:w="4260" w:type="dxa"/>
            <w:vAlign w:val="bottom"/>
            <w:tcBorders>
              <w:bottom w:val="single" w:sz="8" w:color="9D9D9C"/>
            </w:tcBorders>
          </w:tcPr>
          <w:p>
            <w:pPr>
              <w:spacing w:after="0"/>
              <w:rPr>
                <w:sz w:val="2"/>
                <w:szCs w:val="2"/>
                <w:color w:val="auto"/>
              </w:rPr>
            </w:pPr>
          </w:p>
        </w:tc>
        <w:tc>
          <w:tcPr>
            <w:tcW w:w="1060" w:type="dxa"/>
            <w:vAlign w:val="bottom"/>
            <w:tcBorders>
              <w:bottom w:val="single" w:sz="8" w:color="9D9D9C"/>
            </w:tcBorders>
          </w:tcPr>
          <w:p>
            <w:pPr>
              <w:spacing w:after="0"/>
              <w:rPr>
                <w:sz w:val="2"/>
                <w:szCs w:val="2"/>
                <w:color w:val="auto"/>
              </w:rPr>
            </w:pPr>
          </w:p>
        </w:tc>
        <w:tc>
          <w:tcPr>
            <w:tcW w:w="1200" w:type="dxa"/>
            <w:vAlign w:val="bottom"/>
            <w:tcBorders>
              <w:bottom w:val="single" w:sz="8" w:color="9D9D9C"/>
            </w:tcBorders>
          </w:tcPr>
          <w:p>
            <w:pPr>
              <w:spacing w:after="0"/>
              <w:rPr>
                <w:sz w:val="2"/>
                <w:szCs w:val="2"/>
                <w:color w:val="auto"/>
              </w:rPr>
            </w:pPr>
          </w:p>
        </w:tc>
        <w:tc>
          <w:tcPr>
            <w:tcW w:w="1000" w:type="dxa"/>
            <w:vAlign w:val="bottom"/>
            <w:tcBorders>
              <w:bottom w:val="single" w:sz="8" w:color="9D9D9C"/>
            </w:tcBorders>
          </w:tcPr>
          <w:p>
            <w:pPr>
              <w:spacing w:after="0"/>
              <w:rPr>
                <w:sz w:val="2"/>
                <w:szCs w:val="2"/>
                <w:color w:val="auto"/>
              </w:rPr>
            </w:pPr>
          </w:p>
        </w:tc>
        <w:tc>
          <w:tcPr>
            <w:tcW w:w="1180" w:type="dxa"/>
            <w:vAlign w:val="bottom"/>
            <w:tcBorders>
              <w:bottom w:val="single" w:sz="8" w:color="9D9D9C"/>
            </w:tcBorders>
          </w:tcPr>
          <w:p>
            <w:pPr>
              <w:spacing w:after="0"/>
              <w:rPr>
                <w:sz w:val="2"/>
                <w:szCs w:val="2"/>
                <w:color w:val="auto"/>
              </w:rPr>
            </w:pPr>
          </w:p>
        </w:tc>
        <w:tc>
          <w:tcPr>
            <w:tcW w:w="102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r>
      <w:tr>
        <w:trPr>
          <w:trHeight w:val="163"/>
        </w:trPr>
        <w:tc>
          <w:tcPr>
            <w:tcW w:w="4260" w:type="dxa"/>
            <w:vAlign w:val="bottom"/>
          </w:tcPr>
          <w:p>
            <w:pPr>
              <w:spacing w:after="0" w:line="164" w:lineRule="exact"/>
              <w:rPr>
                <w:sz w:val="20"/>
                <w:szCs w:val="20"/>
                <w:color w:val="auto"/>
              </w:rPr>
            </w:pPr>
            <w:r>
              <w:rPr>
                <w:rFonts w:ascii="Calibri" w:cs="Calibri" w:eastAsia="Calibri" w:hAnsi="Calibri"/>
                <w:sz w:val="14"/>
                <w:szCs w:val="14"/>
                <w:b w:val="1"/>
                <w:bCs w:val="1"/>
                <w:color w:val="003478"/>
              </w:rPr>
              <w:t>2021</w:t>
            </w:r>
          </w:p>
        </w:tc>
        <w:tc>
          <w:tcPr>
            <w:tcW w:w="1060" w:type="dxa"/>
            <w:vAlign w:val="bottom"/>
          </w:tcPr>
          <w:p>
            <w:pPr>
              <w:jc w:val="right"/>
              <w:spacing w:after="0" w:line="164" w:lineRule="exact"/>
              <w:rPr>
                <w:sz w:val="20"/>
                <w:szCs w:val="20"/>
                <w:color w:val="auto"/>
              </w:rPr>
            </w:pPr>
            <w:r>
              <w:rPr>
                <w:rFonts w:ascii="Calibri" w:cs="Calibri" w:eastAsia="Calibri" w:hAnsi="Calibri"/>
                <w:sz w:val="14"/>
                <w:szCs w:val="14"/>
                <w:color w:val="auto"/>
              </w:rPr>
              <w:t>18,111,211</w:t>
            </w:r>
          </w:p>
        </w:tc>
        <w:tc>
          <w:tcPr>
            <w:tcW w:w="1200" w:type="dxa"/>
            <w:vAlign w:val="bottom"/>
          </w:tcPr>
          <w:p>
            <w:pPr>
              <w:jc w:val="right"/>
              <w:ind w:right="111"/>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10"/>
              <w:spacing w:after="0" w:line="164" w:lineRule="exact"/>
              <w:rPr>
                <w:sz w:val="20"/>
                <w:szCs w:val="20"/>
                <w:color w:val="auto"/>
              </w:rPr>
            </w:pPr>
            <w:r>
              <w:rPr>
                <w:rFonts w:ascii="Calibri" w:cs="Calibri" w:eastAsia="Calibri" w:hAnsi="Calibri"/>
                <w:sz w:val="14"/>
                <w:szCs w:val="14"/>
                <w:color w:val="auto"/>
              </w:rPr>
              <w:t>(10,783,715)</w:t>
            </w:r>
          </w:p>
        </w:tc>
        <w:tc>
          <w:tcPr>
            <w:tcW w:w="1180" w:type="dxa"/>
            <w:vAlign w:val="bottom"/>
          </w:tcPr>
          <w:p>
            <w:pPr>
              <w:ind w:left="820"/>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ind w:right="110"/>
              <w:spacing w:after="0" w:line="164" w:lineRule="exact"/>
              <w:rPr>
                <w:sz w:val="20"/>
                <w:szCs w:val="20"/>
                <w:color w:val="auto"/>
              </w:rPr>
            </w:pPr>
            <w:r>
              <w:rPr>
                <w:rFonts w:ascii="Calibri" w:cs="Calibri" w:eastAsia="Calibri" w:hAnsi="Calibri"/>
                <w:sz w:val="14"/>
                <w:szCs w:val="14"/>
                <w:color w:val="auto"/>
              </w:rPr>
              <w:t>11,358,170</w:t>
            </w:r>
          </w:p>
        </w:tc>
        <w:tc>
          <w:tcPr>
            <w:tcW w:w="960" w:type="dxa"/>
            <w:vAlign w:val="bottom"/>
          </w:tcPr>
          <w:p>
            <w:pPr>
              <w:jc w:val="right"/>
              <w:spacing w:after="0" w:line="164" w:lineRule="exact"/>
              <w:rPr>
                <w:sz w:val="20"/>
                <w:szCs w:val="20"/>
                <w:color w:val="auto"/>
              </w:rPr>
            </w:pPr>
            <w:r>
              <w:rPr>
                <w:rFonts w:ascii="Calibri" w:cs="Calibri" w:eastAsia="Calibri" w:hAnsi="Calibri"/>
                <w:sz w:val="14"/>
                <w:szCs w:val="14"/>
                <w:color w:val="auto"/>
              </w:rPr>
              <w:t>18,685,666</w:t>
            </w:r>
          </w:p>
        </w:tc>
      </w:tr>
      <w:tr>
        <w:trPr>
          <w:trHeight w:val="33"/>
        </w:trPr>
        <w:tc>
          <w:tcPr>
            <w:tcW w:w="4260" w:type="dxa"/>
            <w:vAlign w:val="bottom"/>
            <w:tcBorders>
              <w:bottom w:val="single" w:sz="8" w:color="9D9D9C"/>
            </w:tcBorders>
          </w:tcPr>
          <w:p>
            <w:pPr>
              <w:spacing w:after="0"/>
              <w:rPr>
                <w:sz w:val="2"/>
                <w:szCs w:val="2"/>
                <w:color w:val="auto"/>
              </w:rPr>
            </w:pPr>
          </w:p>
        </w:tc>
        <w:tc>
          <w:tcPr>
            <w:tcW w:w="1060" w:type="dxa"/>
            <w:vAlign w:val="bottom"/>
            <w:tcBorders>
              <w:bottom w:val="single" w:sz="8" w:color="9D9D9C"/>
            </w:tcBorders>
          </w:tcPr>
          <w:p>
            <w:pPr>
              <w:spacing w:after="0"/>
              <w:rPr>
                <w:sz w:val="2"/>
                <w:szCs w:val="2"/>
                <w:color w:val="auto"/>
              </w:rPr>
            </w:pPr>
          </w:p>
        </w:tc>
        <w:tc>
          <w:tcPr>
            <w:tcW w:w="1200" w:type="dxa"/>
            <w:vAlign w:val="bottom"/>
            <w:tcBorders>
              <w:bottom w:val="single" w:sz="8" w:color="9D9D9C"/>
            </w:tcBorders>
          </w:tcPr>
          <w:p>
            <w:pPr>
              <w:spacing w:after="0"/>
              <w:rPr>
                <w:sz w:val="2"/>
                <w:szCs w:val="2"/>
                <w:color w:val="auto"/>
              </w:rPr>
            </w:pPr>
          </w:p>
        </w:tc>
        <w:tc>
          <w:tcPr>
            <w:tcW w:w="1000" w:type="dxa"/>
            <w:vAlign w:val="bottom"/>
            <w:tcBorders>
              <w:bottom w:val="single" w:sz="8" w:color="9D9D9C"/>
            </w:tcBorders>
          </w:tcPr>
          <w:p>
            <w:pPr>
              <w:spacing w:after="0"/>
              <w:rPr>
                <w:sz w:val="2"/>
                <w:szCs w:val="2"/>
                <w:color w:val="auto"/>
              </w:rPr>
            </w:pPr>
          </w:p>
        </w:tc>
        <w:tc>
          <w:tcPr>
            <w:tcW w:w="1180" w:type="dxa"/>
            <w:vAlign w:val="bottom"/>
            <w:tcBorders>
              <w:bottom w:val="single" w:sz="8" w:color="9D9D9C"/>
            </w:tcBorders>
          </w:tcPr>
          <w:p>
            <w:pPr>
              <w:spacing w:after="0"/>
              <w:rPr>
                <w:sz w:val="2"/>
                <w:szCs w:val="2"/>
                <w:color w:val="auto"/>
              </w:rPr>
            </w:pPr>
          </w:p>
        </w:tc>
        <w:tc>
          <w:tcPr>
            <w:tcW w:w="102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r>
      <w:tr>
        <w:trPr>
          <w:trHeight w:val="163"/>
        </w:trPr>
        <w:tc>
          <w:tcPr>
            <w:tcW w:w="4260" w:type="dxa"/>
            <w:vAlign w:val="bottom"/>
          </w:tcPr>
          <w:p>
            <w:pPr>
              <w:spacing w:after="0" w:line="164" w:lineRule="exact"/>
              <w:rPr>
                <w:sz w:val="20"/>
                <w:szCs w:val="20"/>
                <w:color w:val="auto"/>
              </w:rPr>
            </w:pPr>
            <w:r>
              <w:rPr>
                <w:rFonts w:ascii="Calibri" w:cs="Calibri" w:eastAsia="Calibri" w:hAnsi="Calibri"/>
                <w:sz w:val="14"/>
                <w:szCs w:val="14"/>
                <w:b w:val="1"/>
                <w:bCs w:val="1"/>
                <w:color w:val="003478"/>
              </w:rPr>
              <w:t>2020</w:t>
            </w:r>
          </w:p>
        </w:tc>
        <w:tc>
          <w:tcPr>
            <w:tcW w:w="1060" w:type="dxa"/>
            <w:vAlign w:val="bottom"/>
          </w:tcPr>
          <w:p>
            <w:pPr>
              <w:jc w:val="right"/>
              <w:spacing w:after="0" w:line="164" w:lineRule="exact"/>
              <w:rPr>
                <w:sz w:val="20"/>
                <w:szCs w:val="20"/>
                <w:color w:val="auto"/>
              </w:rPr>
            </w:pPr>
            <w:r>
              <w:rPr>
                <w:rFonts w:ascii="Calibri" w:cs="Calibri" w:eastAsia="Calibri" w:hAnsi="Calibri"/>
                <w:sz w:val="14"/>
                <w:szCs w:val="14"/>
                <w:color w:val="auto"/>
              </w:rPr>
              <w:t>23,360,369</w:t>
            </w:r>
          </w:p>
        </w:tc>
        <w:tc>
          <w:tcPr>
            <w:tcW w:w="1200" w:type="dxa"/>
            <w:vAlign w:val="bottom"/>
          </w:tcPr>
          <w:p>
            <w:pPr>
              <w:jc w:val="right"/>
              <w:ind w:right="111"/>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10"/>
              <w:spacing w:after="0" w:line="164" w:lineRule="exact"/>
              <w:rPr>
                <w:sz w:val="20"/>
                <w:szCs w:val="20"/>
                <w:color w:val="auto"/>
              </w:rPr>
            </w:pPr>
            <w:r>
              <w:rPr>
                <w:rFonts w:ascii="Calibri" w:cs="Calibri" w:eastAsia="Calibri" w:hAnsi="Calibri"/>
                <w:sz w:val="14"/>
                <w:szCs w:val="14"/>
                <w:color w:val="auto"/>
              </w:rPr>
              <w:t>(18,611,850)</w:t>
            </w:r>
          </w:p>
        </w:tc>
        <w:tc>
          <w:tcPr>
            <w:tcW w:w="1180" w:type="dxa"/>
            <w:vAlign w:val="bottom"/>
          </w:tcPr>
          <w:p>
            <w:pPr>
              <w:ind w:left="820"/>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ind w:right="110"/>
              <w:spacing w:after="0" w:line="164" w:lineRule="exact"/>
              <w:rPr>
                <w:sz w:val="20"/>
                <w:szCs w:val="20"/>
                <w:color w:val="auto"/>
              </w:rPr>
            </w:pPr>
            <w:r>
              <w:rPr>
                <w:rFonts w:ascii="Calibri" w:cs="Calibri" w:eastAsia="Calibri" w:hAnsi="Calibri"/>
                <w:sz w:val="14"/>
                <w:szCs w:val="14"/>
                <w:color w:val="auto"/>
              </w:rPr>
              <w:t>17,660,623</w:t>
            </w:r>
          </w:p>
        </w:tc>
        <w:tc>
          <w:tcPr>
            <w:tcW w:w="960" w:type="dxa"/>
            <w:vAlign w:val="bottom"/>
          </w:tcPr>
          <w:p>
            <w:pPr>
              <w:jc w:val="right"/>
              <w:spacing w:after="0" w:line="164" w:lineRule="exact"/>
              <w:rPr>
                <w:sz w:val="20"/>
                <w:szCs w:val="20"/>
                <w:color w:val="auto"/>
              </w:rPr>
            </w:pPr>
            <w:r>
              <w:rPr>
                <w:rFonts w:ascii="Calibri" w:cs="Calibri" w:eastAsia="Calibri" w:hAnsi="Calibri"/>
                <w:sz w:val="14"/>
                <w:szCs w:val="14"/>
                <w:color w:val="auto"/>
              </w:rPr>
              <w:t>22,409,142</w:t>
            </w:r>
          </w:p>
        </w:tc>
      </w:tr>
      <w:tr>
        <w:trPr>
          <w:trHeight w:val="33"/>
        </w:trPr>
        <w:tc>
          <w:tcPr>
            <w:tcW w:w="4260" w:type="dxa"/>
            <w:vAlign w:val="bottom"/>
            <w:tcBorders>
              <w:bottom w:val="single" w:sz="8" w:color="9D9D9C"/>
            </w:tcBorders>
          </w:tcPr>
          <w:p>
            <w:pPr>
              <w:spacing w:after="0"/>
              <w:rPr>
                <w:sz w:val="2"/>
                <w:szCs w:val="2"/>
                <w:color w:val="auto"/>
              </w:rPr>
            </w:pPr>
          </w:p>
        </w:tc>
        <w:tc>
          <w:tcPr>
            <w:tcW w:w="1060" w:type="dxa"/>
            <w:vAlign w:val="bottom"/>
            <w:tcBorders>
              <w:bottom w:val="single" w:sz="8" w:color="9D9D9C"/>
            </w:tcBorders>
          </w:tcPr>
          <w:p>
            <w:pPr>
              <w:spacing w:after="0"/>
              <w:rPr>
                <w:sz w:val="2"/>
                <w:szCs w:val="2"/>
                <w:color w:val="auto"/>
              </w:rPr>
            </w:pPr>
          </w:p>
        </w:tc>
        <w:tc>
          <w:tcPr>
            <w:tcW w:w="1200" w:type="dxa"/>
            <w:vAlign w:val="bottom"/>
            <w:tcBorders>
              <w:bottom w:val="single" w:sz="8" w:color="9D9D9C"/>
            </w:tcBorders>
          </w:tcPr>
          <w:p>
            <w:pPr>
              <w:spacing w:after="0"/>
              <w:rPr>
                <w:sz w:val="2"/>
                <w:szCs w:val="2"/>
                <w:color w:val="auto"/>
              </w:rPr>
            </w:pPr>
          </w:p>
        </w:tc>
        <w:tc>
          <w:tcPr>
            <w:tcW w:w="1000" w:type="dxa"/>
            <w:vAlign w:val="bottom"/>
            <w:tcBorders>
              <w:bottom w:val="single" w:sz="8" w:color="9D9D9C"/>
            </w:tcBorders>
          </w:tcPr>
          <w:p>
            <w:pPr>
              <w:spacing w:after="0"/>
              <w:rPr>
                <w:sz w:val="2"/>
                <w:szCs w:val="2"/>
                <w:color w:val="auto"/>
              </w:rPr>
            </w:pPr>
          </w:p>
        </w:tc>
        <w:tc>
          <w:tcPr>
            <w:tcW w:w="1180" w:type="dxa"/>
            <w:vAlign w:val="bottom"/>
            <w:tcBorders>
              <w:bottom w:val="single" w:sz="8" w:color="9D9D9C"/>
            </w:tcBorders>
          </w:tcPr>
          <w:p>
            <w:pPr>
              <w:spacing w:after="0"/>
              <w:rPr>
                <w:sz w:val="2"/>
                <w:szCs w:val="2"/>
                <w:color w:val="auto"/>
              </w:rPr>
            </w:pPr>
          </w:p>
        </w:tc>
        <w:tc>
          <w:tcPr>
            <w:tcW w:w="102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r>
      <w:tr>
        <w:trPr>
          <w:trHeight w:val="201"/>
        </w:trPr>
        <w:tc>
          <w:tcPr>
            <w:tcW w:w="4260" w:type="dxa"/>
            <w:vAlign w:val="bottom"/>
            <w:tcBorders>
              <w:bottom w:val="single" w:sz="8" w:color="E4E6EF"/>
            </w:tcBorders>
            <w:shd w:val="clear" w:color="auto" w:fill="E4E6EF"/>
          </w:tcPr>
          <w:p>
            <w:pPr>
              <w:spacing w:after="0" w:line="164" w:lineRule="exact"/>
              <w:rPr>
                <w:sz w:val="20"/>
                <w:szCs w:val="20"/>
                <w:color w:val="auto"/>
              </w:rPr>
            </w:pPr>
            <w:r>
              <w:rPr>
                <w:rFonts w:ascii="Calibri" w:cs="Calibri" w:eastAsia="Calibri" w:hAnsi="Calibri"/>
                <w:sz w:val="14"/>
                <w:szCs w:val="14"/>
                <w:b w:val="1"/>
                <w:bCs w:val="1"/>
                <w:color w:val="003478"/>
              </w:rPr>
              <w:t>Marillyn A. Hewson</w:t>
            </w:r>
          </w:p>
        </w:tc>
        <w:tc>
          <w:tcPr>
            <w:tcW w:w="1060" w:type="dxa"/>
            <w:vAlign w:val="bottom"/>
            <w:tcBorders>
              <w:bottom w:val="single" w:sz="8" w:color="E5E7EF"/>
            </w:tcBorders>
            <w:shd w:val="clear" w:color="auto" w:fill="E5E7EF"/>
          </w:tcPr>
          <w:p>
            <w:pPr>
              <w:spacing w:after="0"/>
              <w:rPr>
                <w:sz w:val="17"/>
                <w:szCs w:val="17"/>
                <w:color w:val="auto"/>
              </w:rPr>
            </w:pPr>
          </w:p>
        </w:tc>
        <w:tc>
          <w:tcPr>
            <w:tcW w:w="1200" w:type="dxa"/>
            <w:vAlign w:val="bottom"/>
            <w:tcBorders>
              <w:bottom w:val="single" w:sz="8" w:color="E5E7EF"/>
            </w:tcBorders>
            <w:shd w:val="clear" w:color="auto" w:fill="E5E7EF"/>
          </w:tcPr>
          <w:p>
            <w:pPr>
              <w:spacing w:after="0"/>
              <w:rPr>
                <w:sz w:val="17"/>
                <w:szCs w:val="17"/>
                <w:color w:val="auto"/>
              </w:rPr>
            </w:pPr>
          </w:p>
        </w:tc>
        <w:tc>
          <w:tcPr>
            <w:tcW w:w="1000" w:type="dxa"/>
            <w:vAlign w:val="bottom"/>
            <w:tcBorders>
              <w:bottom w:val="single" w:sz="8" w:color="E5E7EF"/>
            </w:tcBorders>
            <w:shd w:val="clear" w:color="auto" w:fill="E5E7EF"/>
          </w:tcPr>
          <w:p>
            <w:pPr>
              <w:spacing w:after="0"/>
              <w:rPr>
                <w:sz w:val="17"/>
                <w:szCs w:val="17"/>
                <w:color w:val="auto"/>
              </w:rPr>
            </w:pPr>
          </w:p>
        </w:tc>
        <w:tc>
          <w:tcPr>
            <w:tcW w:w="1180" w:type="dxa"/>
            <w:vAlign w:val="bottom"/>
            <w:tcBorders>
              <w:bottom w:val="single" w:sz="8" w:color="E5E7EF"/>
            </w:tcBorders>
            <w:shd w:val="clear" w:color="auto" w:fill="E5E7EF"/>
          </w:tcPr>
          <w:p>
            <w:pPr>
              <w:spacing w:after="0"/>
              <w:rPr>
                <w:sz w:val="17"/>
                <w:szCs w:val="17"/>
                <w:color w:val="auto"/>
              </w:rPr>
            </w:pPr>
          </w:p>
        </w:tc>
        <w:tc>
          <w:tcPr>
            <w:tcW w:w="1020" w:type="dxa"/>
            <w:vAlign w:val="bottom"/>
            <w:tcBorders>
              <w:bottom w:val="single" w:sz="8" w:color="E5E7EF"/>
            </w:tcBorders>
            <w:shd w:val="clear" w:color="auto" w:fill="E5E7EF"/>
          </w:tcPr>
          <w:p>
            <w:pPr>
              <w:spacing w:after="0"/>
              <w:rPr>
                <w:sz w:val="17"/>
                <w:szCs w:val="17"/>
                <w:color w:val="auto"/>
              </w:rPr>
            </w:pPr>
          </w:p>
        </w:tc>
        <w:tc>
          <w:tcPr>
            <w:tcW w:w="960" w:type="dxa"/>
            <w:vAlign w:val="bottom"/>
            <w:tcBorders>
              <w:bottom w:val="single" w:sz="8" w:color="E5E7EF"/>
            </w:tcBorders>
            <w:shd w:val="clear" w:color="auto" w:fill="E5E7EF"/>
          </w:tcPr>
          <w:p>
            <w:pPr>
              <w:spacing w:after="0"/>
              <w:rPr>
                <w:sz w:val="17"/>
                <w:szCs w:val="17"/>
                <w:color w:val="auto"/>
              </w:rPr>
            </w:pPr>
          </w:p>
        </w:tc>
      </w:tr>
      <w:tr>
        <w:trPr>
          <w:trHeight w:val="163"/>
        </w:trPr>
        <w:tc>
          <w:tcPr>
            <w:tcW w:w="4260" w:type="dxa"/>
            <w:vAlign w:val="bottom"/>
            <w:tcBorders>
              <w:top w:val="single" w:sz="8" w:color="9D9D9C"/>
            </w:tcBorders>
          </w:tcPr>
          <w:p>
            <w:pPr>
              <w:spacing w:after="0" w:line="164" w:lineRule="exact"/>
              <w:rPr>
                <w:sz w:val="20"/>
                <w:szCs w:val="20"/>
                <w:color w:val="auto"/>
              </w:rPr>
            </w:pPr>
            <w:r>
              <w:rPr>
                <w:rFonts w:ascii="Calibri" w:cs="Calibri" w:eastAsia="Calibri" w:hAnsi="Calibri"/>
                <w:sz w:val="14"/>
                <w:szCs w:val="14"/>
                <w:b w:val="1"/>
                <w:bCs w:val="1"/>
                <w:color w:val="003478"/>
              </w:rPr>
              <w:t>2020</w:t>
            </w:r>
          </w:p>
        </w:tc>
        <w:tc>
          <w:tcPr>
            <w:tcW w:w="106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28,499,825</w:t>
            </w:r>
          </w:p>
        </w:tc>
        <w:tc>
          <w:tcPr>
            <w:tcW w:w="1200" w:type="dxa"/>
            <w:vAlign w:val="bottom"/>
            <w:tcBorders>
              <w:top w:val="single" w:sz="8" w:color="9D9D9C"/>
            </w:tcBorders>
          </w:tcPr>
          <w:p>
            <w:pPr>
              <w:jc w:val="right"/>
              <w:ind w:right="91"/>
              <w:spacing w:after="0" w:line="164" w:lineRule="exact"/>
              <w:rPr>
                <w:sz w:val="20"/>
                <w:szCs w:val="20"/>
                <w:color w:val="auto"/>
              </w:rPr>
            </w:pPr>
            <w:r>
              <w:rPr>
                <w:rFonts w:ascii="Calibri" w:cs="Calibri" w:eastAsia="Calibri" w:hAnsi="Calibri"/>
                <w:sz w:val="14"/>
                <w:szCs w:val="14"/>
                <w:color w:val="auto"/>
              </w:rPr>
              <w:t>(2,445,000)</w:t>
            </w:r>
          </w:p>
        </w:tc>
        <w:tc>
          <w:tcPr>
            <w:tcW w:w="1000" w:type="dxa"/>
            <w:vAlign w:val="bottom"/>
            <w:tcBorders>
              <w:top w:val="single" w:sz="8" w:color="9D9D9C"/>
            </w:tcBorders>
          </w:tcPr>
          <w:p>
            <w:pPr>
              <w:jc w:val="right"/>
              <w:ind w:right="30"/>
              <w:spacing w:after="0" w:line="164" w:lineRule="exact"/>
              <w:rPr>
                <w:sz w:val="20"/>
                <w:szCs w:val="20"/>
                <w:color w:val="auto"/>
              </w:rPr>
            </w:pPr>
            <w:r>
              <w:rPr>
                <w:rFonts w:ascii="Calibri" w:cs="Calibri" w:eastAsia="Calibri" w:hAnsi="Calibri"/>
                <w:sz w:val="14"/>
                <w:szCs w:val="14"/>
                <w:color w:val="auto"/>
              </w:rPr>
              <w:t>(12,818,340)</w:t>
            </w:r>
          </w:p>
        </w:tc>
        <w:tc>
          <w:tcPr>
            <w:tcW w:w="1180" w:type="dxa"/>
            <w:vAlign w:val="bottom"/>
            <w:tcBorders>
              <w:top w:val="single" w:sz="8" w:color="9D9D9C"/>
            </w:tcBorders>
          </w:tcPr>
          <w:p>
            <w:pPr>
              <w:ind w:left="820"/>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Borders>
              <w:top w:val="single" w:sz="8" w:color="9D9D9C"/>
            </w:tcBorders>
          </w:tcPr>
          <w:p>
            <w:pPr>
              <w:jc w:val="right"/>
              <w:ind w:right="110"/>
              <w:spacing w:after="0" w:line="164" w:lineRule="exact"/>
              <w:rPr>
                <w:sz w:val="20"/>
                <w:szCs w:val="20"/>
                <w:color w:val="auto"/>
              </w:rPr>
            </w:pPr>
            <w:r>
              <w:rPr>
                <w:rFonts w:ascii="Calibri" w:cs="Calibri" w:eastAsia="Calibri" w:hAnsi="Calibri"/>
                <w:sz w:val="14"/>
                <w:szCs w:val="14"/>
                <w:color w:val="auto"/>
              </w:rPr>
              <w:t>15,403,174</w:t>
            </w:r>
          </w:p>
        </w:tc>
        <w:tc>
          <w:tcPr>
            <w:tcW w:w="96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28,639,659</w:t>
            </w:r>
          </w:p>
        </w:tc>
      </w:tr>
      <w:tr>
        <w:trPr>
          <w:trHeight w:val="33"/>
        </w:trPr>
        <w:tc>
          <w:tcPr>
            <w:tcW w:w="4260" w:type="dxa"/>
            <w:vAlign w:val="bottom"/>
            <w:tcBorders>
              <w:bottom w:val="single" w:sz="8" w:color="9D9D9C"/>
            </w:tcBorders>
          </w:tcPr>
          <w:p>
            <w:pPr>
              <w:spacing w:after="0"/>
              <w:rPr>
                <w:sz w:val="2"/>
                <w:szCs w:val="2"/>
                <w:color w:val="auto"/>
              </w:rPr>
            </w:pPr>
          </w:p>
        </w:tc>
        <w:tc>
          <w:tcPr>
            <w:tcW w:w="1060" w:type="dxa"/>
            <w:vAlign w:val="bottom"/>
            <w:tcBorders>
              <w:bottom w:val="single" w:sz="8" w:color="9D9D9C"/>
            </w:tcBorders>
          </w:tcPr>
          <w:p>
            <w:pPr>
              <w:spacing w:after="0"/>
              <w:rPr>
                <w:sz w:val="2"/>
                <w:szCs w:val="2"/>
                <w:color w:val="auto"/>
              </w:rPr>
            </w:pPr>
          </w:p>
        </w:tc>
        <w:tc>
          <w:tcPr>
            <w:tcW w:w="1200" w:type="dxa"/>
            <w:vAlign w:val="bottom"/>
            <w:tcBorders>
              <w:bottom w:val="single" w:sz="8" w:color="9D9D9C"/>
            </w:tcBorders>
          </w:tcPr>
          <w:p>
            <w:pPr>
              <w:spacing w:after="0"/>
              <w:rPr>
                <w:sz w:val="2"/>
                <w:szCs w:val="2"/>
                <w:color w:val="auto"/>
              </w:rPr>
            </w:pPr>
          </w:p>
        </w:tc>
        <w:tc>
          <w:tcPr>
            <w:tcW w:w="1000" w:type="dxa"/>
            <w:vAlign w:val="bottom"/>
            <w:tcBorders>
              <w:bottom w:val="single" w:sz="8" w:color="9D9D9C"/>
            </w:tcBorders>
          </w:tcPr>
          <w:p>
            <w:pPr>
              <w:spacing w:after="0"/>
              <w:rPr>
                <w:sz w:val="2"/>
                <w:szCs w:val="2"/>
                <w:color w:val="auto"/>
              </w:rPr>
            </w:pPr>
          </w:p>
        </w:tc>
        <w:tc>
          <w:tcPr>
            <w:tcW w:w="1180" w:type="dxa"/>
            <w:vAlign w:val="bottom"/>
            <w:tcBorders>
              <w:bottom w:val="single" w:sz="8" w:color="9D9D9C"/>
            </w:tcBorders>
          </w:tcPr>
          <w:p>
            <w:pPr>
              <w:spacing w:after="0"/>
              <w:rPr>
                <w:sz w:val="2"/>
                <w:szCs w:val="2"/>
                <w:color w:val="auto"/>
              </w:rPr>
            </w:pPr>
          </w:p>
        </w:tc>
        <w:tc>
          <w:tcPr>
            <w:tcW w:w="102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r>
      <w:tr>
        <w:trPr>
          <w:trHeight w:val="201"/>
        </w:trPr>
        <w:tc>
          <w:tcPr>
            <w:tcW w:w="4260" w:type="dxa"/>
            <w:vAlign w:val="bottom"/>
            <w:tcBorders>
              <w:bottom w:val="single" w:sz="8" w:color="E4E6EF"/>
            </w:tcBorders>
            <w:shd w:val="clear" w:color="auto" w:fill="E4E6EF"/>
          </w:tcPr>
          <w:p>
            <w:pPr>
              <w:spacing w:after="0" w:line="164" w:lineRule="exact"/>
              <w:rPr>
                <w:sz w:val="20"/>
                <w:szCs w:val="20"/>
                <w:color w:val="auto"/>
              </w:rPr>
            </w:pPr>
            <w:r>
              <w:rPr>
                <w:rFonts w:ascii="Calibri" w:cs="Calibri" w:eastAsia="Calibri" w:hAnsi="Calibri"/>
                <w:sz w:val="14"/>
                <w:szCs w:val="14"/>
                <w:b w:val="1"/>
                <w:bCs w:val="1"/>
                <w:color w:val="003478"/>
              </w:rPr>
              <w:t>Average of Non-PEO NEOs</w:t>
            </w:r>
          </w:p>
        </w:tc>
        <w:tc>
          <w:tcPr>
            <w:tcW w:w="1060" w:type="dxa"/>
            <w:vAlign w:val="bottom"/>
            <w:tcBorders>
              <w:bottom w:val="single" w:sz="8" w:color="E5E7EF"/>
            </w:tcBorders>
            <w:shd w:val="clear" w:color="auto" w:fill="E5E7EF"/>
          </w:tcPr>
          <w:p>
            <w:pPr>
              <w:spacing w:after="0"/>
              <w:rPr>
                <w:sz w:val="17"/>
                <w:szCs w:val="17"/>
                <w:color w:val="auto"/>
              </w:rPr>
            </w:pPr>
          </w:p>
        </w:tc>
        <w:tc>
          <w:tcPr>
            <w:tcW w:w="1200" w:type="dxa"/>
            <w:vAlign w:val="bottom"/>
            <w:tcBorders>
              <w:bottom w:val="single" w:sz="8" w:color="E5E7EF"/>
            </w:tcBorders>
            <w:shd w:val="clear" w:color="auto" w:fill="E5E7EF"/>
          </w:tcPr>
          <w:p>
            <w:pPr>
              <w:spacing w:after="0"/>
              <w:rPr>
                <w:sz w:val="17"/>
                <w:szCs w:val="17"/>
                <w:color w:val="auto"/>
              </w:rPr>
            </w:pPr>
          </w:p>
        </w:tc>
        <w:tc>
          <w:tcPr>
            <w:tcW w:w="1000" w:type="dxa"/>
            <w:vAlign w:val="bottom"/>
            <w:tcBorders>
              <w:bottom w:val="single" w:sz="8" w:color="E5E7EF"/>
            </w:tcBorders>
            <w:shd w:val="clear" w:color="auto" w:fill="E5E7EF"/>
          </w:tcPr>
          <w:p>
            <w:pPr>
              <w:spacing w:after="0"/>
              <w:rPr>
                <w:sz w:val="17"/>
                <w:szCs w:val="17"/>
                <w:color w:val="auto"/>
              </w:rPr>
            </w:pPr>
          </w:p>
        </w:tc>
        <w:tc>
          <w:tcPr>
            <w:tcW w:w="1180" w:type="dxa"/>
            <w:vAlign w:val="bottom"/>
            <w:tcBorders>
              <w:bottom w:val="single" w:sz="8" w:color="E5E7EF"/>
            </w:tcBorders>
            <w:shd w:val="clear" w:color="auto" w:fill="E5E7EF"/>
          </w:tcPr>
          <w:p>
            <w:pPr>
              <w:spacing w:after="0"/>
              <w:rPr>
                <w:sz w:val="17"/>
                <w:szCs w:val="17"/>
                <w:color w:val="auto"/>
              </w:rPr>
            </w:pPr>
          </w:p>
        </w:tc>
        <w:tc>
          <w:tcPr>
            <w:tcW w:w="1020" w:type="dxa"/>
            <w:vAlign w:val="bottom"/>
            <w:tcBorders>
              <w:bottom w:val="single" w:sz="8" w:color="E5E7EF"/>
            </w:tcBorders>
            <w:shd w:val="clear" w:color="auto" w:fill="E5E7EF"/>
          </w:tcPr>
          <w:p>
            <w:pPr>
              <w:spacing w:after="0"/>
              <w:rPr>
                <w:sz w:val="17"/>
                <w:szCs w:val="17"/>
                <w:color w:val="auto"/>
              </w:rPr>
            </w:pPr>
          </w:p>
        </w:tc>
        <w:tc>
          <w:tcPr>
            <w:tcW w:w="960" w:type="dxa"/>
            <w:vAlign w:val="bottom"/>
            <w:tcBorders>
              <w:bottom w:val="single" w:sz="8" w:color="E5E7EF"/>
            </w:tcBorders>
            <w:shd w:val="clear" w:color="auto" w:fill="E5E7EF"/>
          </w:tcPr>
          <w:p>
            <w:pPr>
              <w:spacing w:after="0"/>
              <w:rPr>
                <w:sz w:val="17"/>
                <w:szCs w:val="17"/>
                <w:color w:val="auto"/>
              </w:rPr>
            </w:pPr>
          </w:p>
        </w:tc>
      </w:tr>
      <w:tr>
        <w:trPr>
          <w:trHeight w:val="163"/>
        </w:trPr>
        <w:tc>
          <w:tcPr>
            <w:tcW w:w="4260" w:type="dxa"/>
            <w:vAlign w:val="bottom"/>
            <w:tcBorders>
              <w:top w:val="single" w:sz="8" w:color="9D9D9C"/>
            </w:tcBorders>
          </w:tcPr>
          <w:p>
            <w:pPr>
              <w:spacing w:after="0" w:line="164" w:lineRule="exact"/>
              <w:rPr>
                <w:sz w:val="20"/>
                <w:szCs w:val="20"/>
                <w:color w:val="auto"/>
              </w:rPr>
            </w:pPr>
            <w:r>
              <w:rPr>
                <w:rFonts w:ascii="Calibri" w:cs="Calibri" w:eastAsia="Calibri" w:hAnsi="Calibri"/>
                <w:sz w:val="14"/>
                <w:szCs w:val="14"/>
                <w:b w:val="1"/>
                <w:bCs w:val="1"/>
                <w:color w:val="003478"/>
              </w:rPr>
              <w:t>2022</w:t>
            </w:r>
          </w:p>
        </w:tc>
        <w:tc>
          <w:tcPr>
            <w:tcW w:w="106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7,892,151</w:t>
            </w:r>
          </w:p>
        </w:tc>
        <w:tc>
          <w:tcPr>
            <w:tcW w:w="1200" w:type="dxa"/>
            <w:vAlign w:val="bottom"/>
            <w:tcBorders>
              <w:top w:val="single" w:sz="8" w:color="9D9D9C"/>
            </w:tcBorders>
          </w:tcPr>
          <w:p>
            <w:pPr>
              <w:jc w:val="right"/>
              <w:ind w:right="111"/>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Borders>
              <w:top w:val="single" w:sz="8" w:color="9D9D9C"/>
            </w:tcBorders>
          </w:tcPr>
          <w:p>
            <w:pPr>
              <w:jc w:val="right"/>
              <w:ind w:right="10"/>
              <w:spacing w:after="0" w:line="164" w:lineRule="exact"/>
              <w:rPr>
                <w:sz w:val="20"/>
                <w:szCs w:val="20"/>
                <w:color w:val="auto"/>
              </w:rPr>
            </w:pPr>
            <w:r>
              <w:rPr>
                <w:rFonts w:ascii="Calibri" w:cs="Calibri" w:eastAsia="Calibri" w:hAnsi="Calibri"/>
                <w:sz w:val="14"/>
                <w:szCs w:val="14"/>
                <w:color w:val="auto"/>
              </w:rPr>
              <w:t>(4,648,089)</w:t>
            </w:r>
          </w:p>
        </w:tc>
        <w:tc>
          <w:tcPr>
            <w:tcW w:w="1180" w:type="dxa"/>
            <w:vAlign w:val="bottom"/>
            <w:tcBorders>
              <w:top w:val="single" w:sz="8" w:color="9D9D9C"/>
            </w:tcBorders>
          </w:tcPr>
          <w:p>
            <w:pPr>
              <w:ind w:left="820"/>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Borders>
              <w:top w:val="single" w:sz="8" w:color="9D9D9C"/>
            </w:tcBorders>
          </w:tcPr>
          <w:p>
            <w:pPr>
              <w:jc w:val="right"/>
              <w:ind w:right="110"/>
              <w:spacing w:after="0" w:line="164" w:lineRule="exact"/>
              <w:rPr>
                <w:sz w:val="20"/>
                <w:szCs w:val="20"/>
                <w:color w:val="auto"/>
              </w:rPr>
            </w:pPr>
            <w:r>
              <w:rPr>
                <w:rFonts w:ascii="Calibri" w:cs="Calibri" w:eastAsia="Calibri" w:hAnsi="Calibri"/>
                <w:sz w:val="14"/>
                <w:szCs w:val="14"/>
                <w:color w:val="auto"/>
              </w:rPr>
              <w:t>9,036,250</w:t>
            </w:r>
          </w:p>
        </w:tc>
        <w:tc>
          <w:tcPr>
            <w:tcW w:w="96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12,280,312</w:t>
            </w:r>
          </w:p>
        </w:tc>
      </w:tr>
      <w:tr>
        <w:trPr>
          <w:trHeight w:val="33"/>
        </w:trPr>
        <w:tc>
          <w:tcPr>
            <w:tcW w:w="4260" w:type="dxa"/>
            <w:vAlign w:val="bottom"/>
            <w:tcBorders>
              <w:bottom w:val="single" w:sz="8" w:color="9D9D9C"/>
            </w:tcBorders>
          </w:tcPr>
          <w:p>
            <w:pPr>
              <w:spacing w:after="0"/>
              <w:rPr>
                <w:sz w:val="2"/>
                <w:szCs w:val="2"/>
                <w:color w:val="auto"/>
              </w:rPr>
            </w:pPr>
          </w:p>
        </w:tc>
        <w:tc>
          <w:tcPr>
            <w:tcW w:w="1060" w:type="dxa"/>
            <w:vAlign w:val="bottom"/>
            <w:tcBorders>
              <w:bottom w:val="single" w:sz="8" w:color="9D9D9C"/>
            </w:tcBorders>
          </w:tcPr>
          <w:p>
            <w:pPr>
              <w:spacing w:after="0"/>
              <w:rPr>
                <w:sz w:val="2"/>
                <w:szCs w:val="2"/>
                <w:color w:val="auto"/>
              </w:rPr>
            </w:pPr>
          </w:p>
        </w:tc>
        <w:tc>
          <w:tcPr>
            <w:tcW w:w="1200" w:type="dxa"/>
            <w:vAlign w:val="bottom"/>
            <w:tcBorders>
              <w:bottom w:val="single" w:sz="8" w:color="9D9D9C"/>
            </w:tcBorders>
          </w:tcPr>
          <w:p>
            <w:pPr>
              <w:spacing w:after="0"/>
              <w:rPr>
                <w:sz w:val="2"/>
                <w:szCs w:val="2"/>
                <w:color w:val="auto"/>
              </w:rPr>
            </w:pPr>
          </w:p>
        </w:tc>
        <w:tc>
          <w:tcPr>
            <w:tcW w:w="1000" w:type="dxa"/>
            <w:vAlign w:val="bottom"/>
            <w:tcBorders>
              <w:bottom w:val="single" w:sz="8" w:color="9D9D9C"/>
            </w:tcBorders>
          </w:tcPr>
          <w:p>
            <w:pPr>
              <w:spacing w:after="0"/>
              <w:rPr>
                <w:sz w:val="2"/>
                <w:szCs w:val="2"/>
                <w:color w:val="auto"/>
              </w:rPr>
            </w:pPr>
          </w:p>
        </w:tc>
        <w:tc>
          <w:tcPr>
            <w:tcW w:w="1180" w:type="dxa"/>
            <w:vAlign w:val="bottom"/>
            <w:tcBorders>
              <w:bottom w:val="single" w:sz="8" w:color="9D9D9C"/>
            </w:tcBorders>
          </w:tcPr>
          <w:p>
            <w:pPr>
              <w:spacing w:after="0"/>
              <w:rPr>
                <w:sz w:val="2"/>
                <w:szCs w:val="2"/>
                <w:color w:val="auto"/>
              </w:rPr>
            </w:pPr>
          </w:p>
        </w:tc>
        <w:tc>
          <w:tcPr>
            <w:tcW w:w="102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r>
      <w:tr>
        <w:trPr>
          <w:trHeight w:val="163"/>
        </w:trPr>
        <w:tc>
          <w:tcPr>
            <w:tcW w:w="4260" w:type="dxa"/>
            <w:vAlign w:val="bottom"/>
          </w:tcPr>
          <w:p>
            <w:pPr>
              <w:spacing w:after="0" w:line="164" w:lineRule="exact"/>
              <w:rPr>
                <w:sz w:val="20"/>
                <w:szCs w:val="20"/>
                <w:color w:val="auto"/>
              </w:rPr>
            </w:pPr>
            <w:r>
              <w:rPr>
                <w:rFonts w:ascii="Calibri" w:cs="Calibri" w:eastAsia="Calibri" w:hAnsi="Calibri"/>
                <w:sz w:val="14"/>
                <w:szCs w:val="14"/>
                <w:b w:val="1"/>
                <w:bCs w:val="1"/>
                <w:color w:val="003478"/>
              </w:rPr>
              <w:t>2021</w:t>
            </w:r>
          </w:p>
        </w:tc>
        <w:tc>
          <w:tcPr>
            <w:tcW w:w="1060" w:type="dxa"/>
            <w:vAlign w:val="bottom"/>
          </w:tcPr>
          <w:p>
            <w:pPr>
              <w:jc w:val="right"/>
              <w:spacing w:after="0" w:line="164" w:lineRule="exact"/>
              <w:rPr>
                <w:sz w:val="20"/>
                <w:szCs w:val="20"/>
                <w:color w:val="auto"/>
              </w:rPr>
            </w:pPr>
            <w:r>
              <w:rPr>
                <w:rFonts w:ascii="Calibri" w:cs="Calibri" w:eastAsia="Calibri" w:hAnsi="Calibri"/>
                <w:sz w:val="14"/>
                <w:szCs w:val="14"/>
                <w:color w:val="auto"/>
              </w:rPr>
              <w:t>6,318,045</w:t>
            </w:r>
          </w:p>
        </w:tc>
        <w:tc>
          <w:tcPr>
            <w:tcW w:w="1200" w:type="dxa"/>
            <w:vAlign w:val="bottom"/>
          </w:tcPr>
          <w:p>
            <w:pPr>
              <w:jc w:val="right"/>
              <w:ind w:right="111"/>
              <w:spacing w:after="0" w:line="164"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10"/>
              <w:spacing w:after="0" w:line="164" w:lineRule="exact"/>
              <w:rPr>
                <w:sz w:val="20"/>
                <w:szCs w:val="20"/>
                <w:color w:val="auto"/>
              </w:rPr>
            </w:pPr>
            <w:r>
              <w:rPr>
                <w:rFonts w:ascii="Calibri" w:cs="Calibri" w:eastAsia="Calibri" w:hAnsi="Calibri"/>
                <w:sz w:val="14"/>
                <w:szCs w:val="14"/>
                <w:color w:val="auto"/>
              </w:rPr>
              <w:t>(2,518,462)</w:t>
            </w:r>
          </w:p>
        </w:tc>
        <w:tc>
          <w:tcPr>
            <w:tcW w:w="1180" w:type="dxa"/>
            <w:vAlign w:val="bottom"/>
          </w:tcPr>
          <w:p>
            <w:pPr>
              <w:ind w:left="820"/>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ind w:right="110"/>
              <w:spacing w:after="0" w:line="164" w:lineRule="exact"/>
              <w:rPr>
                <w:sz w:val="20"/>
                <w:szCs w:val="20"/>
                <w:color w:val="auto"/>
              </w:rPr>
            </w:pPr>
            <w:r>
              <w:rPr>
                <w:rFonts w:ascii="Calibri" w:cs="Calibri" w:eastAsia="Calibri" w:hAnsi="Calibri"/>
                <w:sz w:val="14"/>
                <w:szCs w:val="14"/>
                <w:color w:val="auto"/>
              </w:rPr>
              <w:t>1,393,781</w:t>
            </w:r>
          </w:p>
        </w:tc>
        <w:tc>
          <w:tcPr>
            <w:tcW w:w="960" w:type="dxa"/>
            <w:vAlign w:val="bottom"/>
          </w:tcPr>
          <w:p>
            <w:pPr>
              <w:jc w:val="right"/>
              <w:spacing w:after="0" w:line="164" w:lineRule="exact"/>
              <w:rPr>
                <w:sz w:val="20"/>
                <w:szCs w:val="20"/>
                <w:color w:val="auto"/>
              </w:rPr>
            </w:pPr>
            <w:r>
              <w:rPr>
                <w:rFonts w:ascii="Calibri" w:cs="Calibri" w:eastAsia="Calibri" w:hAnsi="Calibri"/>
                <w:sz w:val="14"/>
                <w:szCs w:val="14"/>
                <w:color w:val="auto"/>
              </w:rPr>
              <w:t>5,193,364</w:t>
            </w:r>
          </w:p>
        </w:tc>
      </w:tr>
      <w:tr>
        <w:trPr>
          <w:trHeight w:val="33"/>
        </w:trPr>
        <w:tc>
          <w:tcPr>
            <w:tcW w:w="4260" w:type="dxa"/>
            <w:vAlign w:val="bottom"/>
            <w:tcBorders>
              <w:bottom w:val="single" w:sz="8" w:color="9D9D9C"/>
            </w:tcBorders>
          </w:tcPr>
          <w:p>
            <w:pPr>
              <w:spacing w:after="0"/>
              <w:rPr>
                <w:sz w:val="2"/>
                <w:szCs w:val="2"/>
                <w:color w:val="auto"/>
              </w:rPr>
            </w:pPr>
          </w:p>
        </w:tc>
        <w:tc>
          <w:tcPr>
            <w:tcW w:w="1060" w:type="dxa"/>
            <w:vAlign w:val="bottom"/>
            <w:tcBorders>
              <w:bottom w:val="single" w:sz="8" w:color="9D9D9C"/>
            </w:tcBorders>
          </w:tcPr>
          <w:p>
            <w:pPr>
              <w:spacing w:after="0"/>
              <w:rPr>
                <w:sz w:val="2"/>
                <w:szCs w:val="2"/>
                <w:color w:val="auto"/>
              </w:rPr>
            </w:pPr>
          </w:p>
        </w:tc>
        <w:tc>
          <w:tcPr>
            <w:tcW w:w="1200" w:type="dxa"/>
            <w:vAlign w:val="bottom"/>
            <w:tcBorders>
              <w:bottom w:val="single" w:sz="8" w:color="9D9D9C"/>
            </w:tcBorders>
          </w:tcPr>
          <w:p>
            <w:pPr>
              <w:spacing w:after="0"/>
              <w:rPr>
                <w:sz w:val="2"/>
                <w:szCs w:val="2"/>
                <w:color w:val="auto"/>
              </w:rPr>
            </w:pPr>
          </w:p>
        </w:tc>
        <w:tc>
          <w:tcPr>
            <w:tcW w:w="1000" w:type="dxa"/>
            <w:vAlign w:val="bottom"/>
            <w:tcBorders>
              <w:bottom w:val="single" w:sz="8" w:color="9D9D9C"/>
            </w:tcBorders>
          </w:tcPr>
          <w:p>
            <w:pPr>
              <w:spacing w:after="0"/>
              <w:rPr>
                <w:sz w:val="2"/>
                <w:szCs w:val="2"/>
                <w:color w:val="auto"/>
              </w:rPr>
            </w:pPr>
          </w:p>
        </w:tc>
        <w:tc>
          <w:tcPr>
            <w:tcW w:w="1180" w:type="dxa"/>
            <w:vAlign w:val="bottom"/>
            <w:tcBorders>
              <w:bottom w:val="single" w:sz="8" w:color="9D9D9C"/>
            </w:tcBorders>
          </w:tcPr>
          <w:p>
            <w:pPr>
              <w:spacing w:after="0"/>
              <w:rPr>
                <w:sz w:val="2"/>
                <w:szCs w:val="2"/>
                <w:color w:val="auto"/>
              </w:rPr>
            </w:pPr>
          </w:p>
        </w:tc>
        <w:tc>
          <w:tcPr>
            <w:tcW w:w="102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r>
      <w:tr>
        <w:trPr>
          <w:trHeight w:val="163"/>
        </w:trPr>
        <w:tc>
          <w:tcPr>
            <w:tcW w:w="4260" w:type="dxa"/>
            <w:vAlign w:val="bottom"/>
          </w:tcPr>
          <w:p>
            <w:pPr>
              <w:spacing w:after="0" w:line="164" w:lineRule="exact"/>
              <w:rPr>
                <w:sz w:val="20"/>
                <w:szCs w:val="20"/>
                <w:color w:val="auto"/>
              </w:rPr>
            </w:pPr>
            <w:r>
              <w:rPr>
                <w:rFonts w:ascii="Calibri" w:cs="Calibri" w:eastAsia="Calibri" w:hAnsi="Calibri"/>
                <w:sz w:val="14"/>
                <w:szCs w:val="14"/>
                <w:b w:val="1"/>
                <w:bCs w:val="1"/>
                <w:color w:val="003478"/>
              </w:rPr>
              <w:t>2020</w:t>
            </w:r>
          </w:p>
        </w:tc>
        <w:tc>
          <w:tcPr>
            <w:tcW w:w="1060" w:type="dxa"/>
            <w:vAlign w:val="bottom"/>
          </w:tcPr>
          <w:p>
            <w:pPr>
              <w:jc w:val="right"/>
              <w:spacing w:after="0" w:line="164" w:lineRule="exact"/>
              <w:rPr>
                <w:sz w:val="20"/>
                <w:szCs w:val="20"/>
                <w:color w:val="auto"/>
              </w:rPr>
            </w:pPr>
            <w:r>
              <w:rPr>
                <w:rFonts w:ascii="Calibri" w:cs="Calibri" w:eastAsia="Calibri" w:hAnsi="Calibri"/>
                <w:sz w:val="14"/>
                <w:szCs w:val="14"/>
                <w:color w:val="auto"/>
              </w:rPr>
              <w:t>8,536,811</w:t>
            </w:r>
          </w:p>
        </w:tc>
        <w:tc>
          <w:tcPr>
            <w:tcW w:w="1200" w:type="dxa"/>
            <w:vAlign w:val="bottom"/>
          </w:tcPr>
          <w:p>
            <w:pPr>
              <w:jc w:val="right"/>
              <w:ind w:right="71"/>
              <w:spacing w:after="0" w:line="164" w:lineRule="exact"/>
              <w:rPr>
                <w:sz w:val="20"/>
                <w:szCs w:val="20"/>
                <w:color w:val="auto"/>
              </w:rPr>
            </w:pPr>
            <w:r>
              <w:rPr>
                <w:rFonts w:ascii="Calibri" w:cs="Calibri" w:eastAsia="Calibri" w:hAnsi="Calibri"/>
                <w:sz w:val="14"/>
                <w:szCs w:val="14"/>
                <w:color w:val="auto"/>
              </w:rPr>
              <w:t>(720,038)</w:t>
            </w:r>
          </w:p>
        </w:tc>
        <w:tc>
          <w:tcPr>
            <w:tcW w:w="1000" w:type="dxa"/>
            <w:vAlign w:val="bottom"/>
          </w:tcPr>
          <w:p>
            <w:pPr>
              <w:jc w:val="right"/>
              <w:ind w:right="10"/>
              <w:spacing w:after="0" w:line="164" w:lineRule="exact"/>
              <w:rPr>
                <w:sz w:val="20"/>
                <w:szCs w:val="20"/>
                <w:color w:val="auto"/>
              </w:rPr>
            </w:pPr>
            <w:r>
              <w:rPr>
                <w:rFonts w:ascii="Calibri" w:cs="Calibri" w:eastAsia="Calibri" w:hAnsi="Calibri"/>
                <w:sz w:val="14"/>
                <w:szCs w:val="14"/>
                <w:color w:val="auto"/>
              </w:rPr>
              <w:t>(3,805,702)</w:t>
            </w:r>
          </w:p>
        </w:tc>
        <w:tc>
          <w:tcPr>
            <w:tcW w:w="1180" w:type="dxa"/>
            <w:vAlign w:val="bottom"/>
          </w:tcPr>
          <w:p>
            <w:pPr>
              <w:ind w:left="820"/>
              <w:spacing w:after="0" w:line="164"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ind w:right="110"/>
              <w:spacing w:after="0" w:line="164" w:lineRule="exact"/>
              <w:rPr>
                <w:sz w:val="20"/>
                <w:szCs w:val="20"/>
                <w:color w:val="auto"/>
              </w:rPr>
            </w:pPr>
            <w:r>
              <w:rPr>
                <w:rFonts w:ascii="Calibri" w:cs="Calibri" w:eastAsia="Calibri" w:hAnsi="Calibri"/>
                <w:sz w:val="14"/>
                <w:szCs w:val="14"/>
                <w:color w:val="auto"/>
              </w:rPr>
              <w:t>4,107,564</w:t>
            </w:r>
          </w:p>
        </w:tc>
        <w:tc>
          <w:tcPr>
            <w:tcW w:w="960" w:type="dxa"/>
            <w:vAlign w:val="bottom"/>
          </w:tcPr>
          <w:p>
            <w:pPr>
              <w:jc w:val="right"/>
              <w:spacing w:after="0" w:line="164" w:lineRule="exact"/>
              <w:rPr>
                <w:sz w:val="20"/>
                <w:szCs w:val="20"/>
                <w:color w:val="auto"/>
              </w:rPr>
            </w:pPr>
            <w:r>
              <w:rPr>
                <w:rFonts w:ascii="Calibri" w:cs="Calibri" w:eastAsia="Calibri" w:hAnsi="Calibri"/>
                <w:sz w:val="14"/>
                <w:szCs w:val="14"/>
                <w:color w:val="auto"/>
              </w:rPr>
              <w:t>8,118,636</w:t>
            </w:r>
          </w:p>
        </w:tc>
      </w:tr>
      <w:tr>
        <w:trPr>
          <w:trHeight w:val="33"/>
        </w:trPr>
        <w:tc>
          <w:tcPr>
            <w:tcW w:w="4260" w:type="dxa"/>
            <w:vAlign w:val="bottom"/>
            <w:tcBorders>
              <w:bottom w:val="single" w:sz="8" w:color="9D9D9C"/>
            </w:tcBorders>
          </w:tcPr>
          <w:p>
            <w:pPr>
              <w:spacing w:after="0"/>
              <w:rPr>
                <w:sz w:val="2"/>
                <w:szCs w:val="2"/>
                <w:color w:val="auto"/>
              </w:rPr>
            </w:pPr>
          </w:p>
        </w:tc>
        <w:tc>
          <w:tcPr>
            <w:tcW w:w="1060" w:type="dxa"/>
            <w:vAlign w:val="bottom"/>
            <w:tcBorders>
              <w:bottom w:val="single" w:sz="8" w:color="9D9D9C"/>
            </w:tcBorders>
          </w:tcPr>
          <w:p>
            <w:pPr>
              <w:spacing w:after="0"/>
              <w:rPr>
                <w:sz w:val="2"/>
                <w:szCs w:val="2"/>
                <w:color w:val="auto"/>
              </w:rPr>
            </w:pPr>
          </w:p>
        </w:tc>
        <w:tc>
          <w:tcPr>
            <w:tcW w:w="1200" w:type="dxa"/>
            <w:vAlign w:val="bottom"/>
            <w:tcBorders>
              <w:bottom w:val="single" w:sz="8" w:color="9D9D9C"/>
            </w:tcBorders>
          </w:tcPr>
          <w:p>
            <w:pPr>
              <w:spacing w:after="0"/>
              <w:rPr>
                <w:sz w:val="2"/>
                <w:szCs w:val="2"/>
                <w:color w:val="auto"/>
              </w:rPr>
            </w:pPr>
          </w:p>
        </w:tc>
        <w:tc>
          <w:tcPr>
            <w:tcW w:w="1000" w:type="dxa"/>
            <w:vAlign w:val="bottom"/>
            <w:tcBorders>
              <w:bottom w:val="single" w:sz="8" w:color="9D9D9C"/>
            </w:tcBorders>
          </w:tcPr>
          <w:p>
            <w:pPr>
              <w:spacing w:after="0"/>
              <w:rPr>
                <w:sz w:val="2"/>
                <w:szCs w:val="2"/>
                <w:color w:val="auto"/>
              </w:rPr>
            </w:pPr>
          </w:p>
        </w:tc>
        <w:tc>
          <w:tcPr>
            <w:tcW w:w="1180" w:type="dxa"/>
            <w:vAlign w:val="bottom"/>
            <w:tcBorders>
              <w:bottom w:val="single" w:sz="8" w:color="9D9D9C"/>
            </w:tcBorders>
          </w:tcPr>
          <w:p>
            <w:pPr>
              <w:spacing w:after="0"/>
              <w:rPr>
                <w:sz w:val="2"/>
                <w:szCs w:val="2"/>
                <w:color w:val="auto"/>
              </w:rPr>
            </w:pPr>
          </w:p>
        </w:tc>
        <w:tc>
          <w:tcPr>
            <w:tcW w:w="1020" w:type="dxa"/>
            <w:vAlign w:val="bottom"/>
            <w:tcBorders>
              <w:bottom w:val="single" w:sz="8" w:color="9D9D9C"/>
            </w:tcBorders>
          </w:tcPr>
          <w:p>
            <w:pPr>
              <w:spacing w:after="0"/>
              <w:rPr>
                <w:sz w:val="2"/>
                <w:szCs w:val="2"/>
                <w:color w:val="auto"/>
              </w:rPr>
            </w:pPr>
          </w:p>
        </w:tc>
        <w:tc>
          <w:tcPr>
            <w:tcW w:w="960" w:type="dxa"/>
            <w:vAlign w:val="bottom"/>
            <w:tcBorders>
              <w:bottom w:val="single" w:sz="8" w:color="9D9D9C"/>
            </w:tcBorders>
          </w:tcPr>
          <w:p>
            <w:pPr>
              <w:spacing w:after="0"/>
              <w:rPr>
                <w:sz w:val="2"/>
                <w:szCs w:val="2"/>
                <w:color w:val="auto"/>
              </w:rPr>
            </w:pPr>
          </w:p>
        </w:tc>
      </w:tr>
    </w:tbl>
    <w:p>
      <w:pPr>
        <w:spacing w:after="0" w:line="187" w:lineRule="exact"/>
        <w:rPr>
          <w:sz w:val="20"/>
          <w:szCs w:val="20"/>
          <w:color w:val="auto"/>
        </w:rPr>
      </w:pPr>
    </w:p>
    <w:p>
      <w:pPr>
        <w:ind w:left="260"/>
        <w:spacing w:after="0"/>
        <w:tabs>
          <w:tab w:leader="none" w:pos="440" w:val="left"/>
        </w:tabs>
        <w:rPr>
          <w:sz w:val="20"/>
          <w:szCs w:val="20"/>
          <w:color w:val="auto"/>
        </w:rPr>
      </w:pPr>
      <w:r>
        <w:rPr>
          <w:rFonts w:ascii="Calibri" w:cs="Calibri" w:eastAsia="Calibri" w:hAnsi="Calibri"/>
          <w:sz w:val="14"/>
          <w:szCs w:val="14"/>
          <w:color w:val="auto"/>
        </w:rPr>
        <w:t>*</w:t>
        <w:tab/>
        <w:t>The amounts in the Inclusion of Equity Values in the table above are derived from the amounts set forth in the following table:</w:t>
      </w:r>
    </w:p>
    <w:p>
      <w:pPr>
        <w:spacing w:after="0" w:line="168"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3200" w:type="dxa"/>
            <w:vAlign w:val="bottom"/>
            <w:shd w:val="clear" w:color="auto" w:fill="E4E6EF"/>
          </w:tcPr>
          <w:p>
            <w:pPr>
              <w:spacing w:after="0"/>
              <w:rPr>
                <w:sz w:val="13"/>
                <w:szCs w:val="13"/>
                <w:color w:val="auto"/>
              </w:rPr>
            </w:pPr>
          </w:p>
        </w:tc>
        <w:tc>
          <w:tcPr>
            <w:tcW w:w="1100" w:type="dxa"/>
            <w:vAlign w:val="bottom"/>
            <w:shd w:val="clear" w:color="auto" w:fill="E4E6EF"/>
          </w:tcPr>
          <w:p>
            <w:pPr>
              <w:spacing w:after="0"/>
              <w:rPr>
                <w:sz w:val="13"/>
                <w:szCs w:val="13"/>
                <w:color w:val="auto"/>
              </w:rPr>
            </w:pPr>
          </w:p>
        </w:tc>
        <w:tc>
          <w:tcPr>
            <w:tcW w:w="1160" w:type="dxa"/>
            <w:vAlign w:val="bottom"/>
            <w:shd w:val="clear" w:color="auto" w:fill="E4E6EF"/>
          </w:tcPr>
          <w:p>
            <w:pPr>
              <w:spacing w:after="0"/>
              <w:rPr>
                <w:sz w:val="13"/>
                <w:szCs w:val="13"/>
                <w:color w:val="auto"/>
              </w:rPr>
            </w:pPr>
          </w:p>
        </w:tc>
        <w:tc>
          <w:tcPr>
            <w:tcW w:w="1100" w:type="dxa"/>
            <w:vAlign w:val="bottom"/>
            <w:shd w:val="clear" w:color="auto" w:fill="E4E6EF"/>
          </w:tcPr>
          <w:p>
            <w:pPr>
              <w:spacing w:after="0"/>
              <w:rPr>
                <w:sz w:val="13"/>
                <w:szCs w:val="13"/>
                <w:color w:val="auto"/>
              </w:rPr>
            </w:pP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Change in Fair</w:t>
            </w:r>
          </w:p>
        </w:tc>
        <w:tc>
          <w:tcPr>
            <w:tcW w:w="1080" w:type="dxa"/>
            <w:vAlign w:val="bottom"/>
            <w:shd w:val="clear" w:color="auto" w:fill="E4E6EF"/>
          </w:tcPr>
          <w:p>
            <w:pPr>
              <w:spacing w:after="0"/>
              <w:rPr>
                <w:sz w:val="13"/>
                <w:szCs w:val="13"/>
                <w:color w:val="auto"/>
              </w:rPr>
            </w:pPr>
          </w:p>
        </w:tc>
        <w:tc>
          <w:tcPr>
            <w:tcW w:w="1120" w:type="dxa"/>
            <w:vAlign w:val="bottom"/>
            <w:shd w:val="clear" w:color="auto" w:fill="E4E6EF"/>
          </w:tcPr>
          <w:p>
            <w:pPr>
              <w:spacing w:after="0"/>
              <w:rPr>
                <w:sz w:val="13"/>
                <w:szCs w:val="13"/>
                <w:color w:val="auto"/>
              </w:rPr>
            </w:pPr>
          </w:p>
        </w:tc>
        <w:tc>
          <w:tcPr>
            <w:tcW w:w="1080" w:type="dxa"/>
            <w:vAlign w:val="bottom"/>
            <w:shd w:val="clear" w:color="auto" w:fill="E4E6EF"/>
          </w:tcPr>
          <w:p>
            <w:pPr>
              <w:spacing w:after="0"/>
              <w:rPr>
                <w:sz w:val="13"/>
                <w:szCs w:val="13"/>
                <w:color w:val="auto"/>
              </w:rPr>
            </w:pPr>
          </w:p>
        </w:tc>
      </w:tr>
      <w:tr>
        <w:trPr>
          <w:trHeight w:val="148"/>
        </w:trPr>
        <w:tc>
          <w:tcPr>
            <w:tcW w:w="3200" w:type="dxa"/>
            <w:vAlign w:val="bottom"/>
            <w:shd w:val="clear" w:color="auto" w:fill="E4E6EF"/>
          </w:tcPr>
          <w:p>
            <w:pPr>
              <w:spacing w:after="0"/>
              <w:rPr>
                <w:sz w:val="12"/>
                <w:szCs w:val="12"/>
                <w:color w:val="auto"/>
              </w:rPr>
            </w:pP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Year-End Fair</w:t>
            </w:r>
          </w:p>
        </w:tc>
        <w:tc>
          <w:tcPr>
            <w:tcW w:w="1160" w:type="dxa"/>
            <w:vAlign w:val="bottom"/>
            <w:shd w:val="clear" w:color="auto" w:fill="E4E6EF"/>
          </w:tcPr>
          <w:p>
            <w:pPr>
              <w:spacing w:after="0"/>
              <w:rPr>
                <w:sz w:val="12"/>
                <w:szCs w:val="12"/>
                <w:color w:val="auto"/>
              </w:rPr>
            </w:pPr>
          </w:p>
        </w:tc>
        <w:tc>
          <w:tcPr>
            <w:tcW w:w="1100" w:type="dxa"/>
            <w:vAlign w:val="bottom"/>
            <w:shd w:val="clear" w:color="auto" w:fill="E4E6EF"/>
          </w:tcPr>
          <w:p>
            <w:pPr>
              <w:spacing w:after="0"/>
              <w:rPr>
                <w:sz w:val="12"/>
                <w:szCs w:val="12"/>
                <w:color w:val="auto"/>
              </w:rPr>
            </w:pP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Value from Last</w:t>
            </w:r>
          </w:p>
        </w:tc>
        <w:tc>
          <w:tcPr>
            <w:tcW w:w="1080" w:type="dxa"/>
            <w:vAlign w:val="bottom"/>
            <w:shd w:val="clear" w:color="auto" w:fill="E4E6EF"/>
          </w:tcPr>
          <w:p>
            <w:pPr>
              <w:spacing w:after="0"/>
              <w:rPr>
                <w:sz w:val="12"/>
                <w:szCs w:val="12"/>
                <w:color w:val="auto"/>
              </w:rPr>
            </w:pPr>
          </w:p>
        </w:tc>
        <w:tc>
          <w:tcPr>
            <w:tcW w:w="1120" w:type="dxa"/>
            <w:vAlign w:val="bottom"/>
            <w:shd w:val="clear" w:color="auto" w:fill="E4E6EF"/>
          </w:tcPr>
          <w:p>
            <w:pPr>
              <w:spacing w:after="0"/>
              <w:rPr>
                <w:sz w:val="12"/>
                <w:szCs w:val="12"/>
                <w:color w:val="auto"/>
              </w:rPr>
            </w:pPr>
          </w:p>
        </w:tc>
        <w:tc>
          <w:tcPr>
            <w:tcW w:w="1080" w:type="dxa"/>
            <w:vAlign w:val="bottom"/>
            <w:shd w:val="clear" w:color="auto" w:fill="E4E6EF"/>
          </w:tcPr>
          <w:p>
            <w:pPr>
              <w:spacing w:after="0"/>
              <w:rPr>
                <w:sz w:val="12"/>
                <w:szCs w:val="12"/>
                <w:color w:val="auto"/>
              </w:rPr>
            </w:pPr>
          </w:p>
        </w:tc>
      </w:tr>
      <w:tr>
        <w:trPr>
          <w:trHeight w:val="148"/>
        </w:trPr>
        <w:tc>
          <w:tcPr>
            <w:tcW w:w="3200" w:type="dxa"/>
            <w:vAlign w:val="bottom"/>
            <w:shd w:val="clear" w:color="auto" w:fill="E4E6EF"/>
          </w:tcPr>
          <w:p>
            <w:pPr>
              <w:spacing w:after="0"/>
              <w:rPr>
                <w:sz w:val="12"/>
                <w:szCs w:val="12"/>
                <w:color w:val="auto"/>
              </w:rPr>
            </w:pP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Value of Equity</w:t>
            </w:r>
          </w:p>
        </w:tc>
        <w:tc>
          <w:tcPr>
            <w:tcW w:w="1160" w:type="dxa"/>
            <w:vAlign w:val="bottom"/>
            <w:shd w:val="clear" w:color="auto" w:fill="E4E6EF"/>
          </w:tcPr>
          <w:p>
            <w:pPr>
              <w:jc w:val="right"/>
              <w:ind w:right="12"/>
              <w:spacing w:after="0"/>
              <w:rPr>
                <w:sz w:val="20"/>
                <w:szCs w:val="20"/>
                <w:color w:val="auto"/>
              </w:rPr>
            </w:pPr>
            <w:r>
              <w:rPr>
                <w:rFonts w:ascii="Arial" w:cs="Arial" w:eastAsia="Arial" w:hAnsi="Arial"/>
                <w:sz w:val="13"/>
                <w:szCs w:val="13"/>
                <w:color w:val="auto"/>
              </w:rPr>
              <w:t>Change in Fair</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Vesting-Date Fair</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Day of Prior Year</w:t>
            </w:r>
          </w:p>
        </w:tc>
        <w:tc>
          <w:tcPr>
            <w:tcW w:w="1080" w:type="dxa"/>
            <w:vAlign w:val="bottom"/>
            <w:shd w:val="clear" w:color="auto" w:fill="E4E6EF"/>
          </w:tcPr>
          <w:p>
            <w:pPr>
              <w:spacing w:after="0"/>
              <w:rPr>
                <w:sz w:val="12"/>
                <w:szCs w:val="12"/>
                <w:color w:val="auto"/>
              </w:rPr>
            </w:pPr>
          </w:p>
        </w:tc>
        <w:tc>
          <w:tcPr>
            <w:tcW w:w="1120" w:type="dxa"/>
            <w:vAlign w:val="bottom"/>
            <w:shd w:val="clear" w:color="auto" w:fill="E4E6EF"/>
          </w:tcPr>
          <w:p>
            <w:pPr>
              <w:jc w:val="right"/>
              <w:spacing w:after="0"/>
              <w:rPr>
                <w:sz w:val="20"/>
                <w:szCs w:val="20"/>
                <w:color w:val="auto"/>
              </w:rPr>
            </w:pPr>
            <w:r>
              <w:rPr>
                <w:rFonts w:ascii="Arial" w:cs="Arial" w:eastAsia="Arial" w:hAnsi="Arial"/>
                <w:sz w:val="13"/>
                <w:szCs w:val="13"/>
                <w:color w:val="auto"/>
                <w:w w:val="97"/>
              </w:rPr>
              <w:t>Value of Dividends</w:t>
            </w:r>
          </w:p>
        </w:tc>
        <w:tc>
          <w:tcPr>
            <w:tcW w:w="1080" w:type="dxa"/>
            <w:vAlign w:val="bottom"/>
            <w:shd w:val="clear" w:color="auto" w:fill="E4E6EF"/>
          </w:tcPr>
          <w:p>
            <w:pPr>
              <w:spacing w:after="0"/>
              <w:rPr>
                <w:sz w:val="12"/>
                <w:szCs w:val="12"/>
                <w:color w:val="auto"/>
              </w:rPr>
            </w:pPr>
          </w:p>
        </w:tc>
      </w:tr>
      <w:tr>
        <w:trPr>
          <w:trHeight w:val="148"/>
        </w:trPr>
        <w:tc>
          <w:tcPr>
            <w:tcW w:w="3200" w:type="dxa"/>
            <w:vAlign w:val="bottom"/>
            <w:shd w:val="clear" w:color="auto" w:fill="E4E6EF"/>
          </w:tcPr>
          <w:p>
            <w:pPr>
              <w:spacing w:after="0"/>
              <w:rPr>
                <w:sz w:val="12"/>
                <w:szCs w:val="12"/>
                <w:color w:val="auto"/>
              </w:rPr>
            </w:pP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Awards Granted</w:t>
            </w:r>
          </w:p>
        </w:tc>
        <w:tc>
          <w:tcPr>
            <w:tcW w:w="1160" w:type="dxa"/>
            <w:vAlign w:val="bottom"/>
            <w:shd w:val="clear" w:color="auto" w:fill="E4E6EF"/>
          </w:tcPr>
          <w:p>
            <w:pPr>
              <w:jc w:val="right"/>
              <w:ind w:right="12"/>
              <w:spacing w:after="0"/>
              <w:rPr>
                <w:sz w:val="20"/>
                <w:szCs w:val="20"/>
                <w:color w:val="auto"/>
              </w:rPr>
            </w:pPr>
            <w:r>
              <w:rPr>
                <w:rFonts w:ascii="Arial" w:cs="Arial" w:eastAsia="Arial" w:hAnsi="Arial"/>
                <w:sz w:val="13"/>
                <w:szCs w:val="13"/>
                <w:color w:val="auto"/>
              </w:rPr>
              <w:t>Value from Last</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Value of Equity</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w w:val="98"/>
              </w:rPr>
              <w:t>to Vesting Date of</w:t>
            </w:r>
          </w:p>
        </w:tc>
        <w:tc>
          <w:tcPr>
            <w:tcW w:w="1080" w:type="dxa"/>
            <w:vAlign w:val="bottom"/>
            <w:shd w:val="clear" w:color="auto" w:fill="E4E6EF"/>
          </w:tcPr>
          <w:p>
            <w:pPr>
              <w:jc w:val="right"/>
              <w:spacing w:after="0"/>
              <w:rPr>
                <w:sz w:val="20"/>
                <w:szCs w:val="20"/>
                <w:color w:val="auto"/>
              </w:rPr>
            </w:pPr>
            <w:r>
              <w:rPr>
                <w:rFonts w:ascii="Arial" w:cs="Arial" w:eastAsia="Arial" w:hAnsi="Arial"/>
                <w:sz w:val="13"/>
                <w:szCs w:val="13"/>
                <w:color w:val="auto"/>
              </w:rPr>
              <w:t>Fair Value at Last</w:t>
            </w:r>
          </w:p>
        </w:tc>
        <w:tc>
          <w:tcPr>
            <w:tcW w:w="1120" w:type="dxa"/>
            <w:vAlign w:val="bottom"/>
            <w:shd w:val="clear" w:color="auto" w:fill="E4E6EF"/>
          </w:tcPr>
          <w:p>
            <w:pPr>
              <w:jc w:val="right"/>
              <w:spacing w:after="0"/>
              <w:rPr>
                <w:sz w:val="20"/>
                <w:szCs w:val="20"/>
                <w:color w:val="auto"/>
              </w:rPr>
            </w:pPr>
            <w:r>
              <w:rPr>
                <w:rFonts w:ascii="Arial" w:cs="Arial" w:eastAsia="Arial" w:hAnsi="Arial"/>
                <w:sz w:val="13"/>
                <w:szCs w:val="13"/>
                <w:color w:val="auto"/>
              </w:rPr>
              <w:t>or Other Earnings</w:t>
            </w:r>
          </w:p>
        </w:tc>
        <w:tc>
          <w:tcPr>
            <w:tcW w:w="1080" w:type="dxa"/>
            <w:vAlign w:val="bottom"/>
            <w:shd w:val="clear" w:color="auto" w:fill="E4E6EF"/>
          </w:tcPr>
          <w:p>
            <w:pPr>
              <w:spacing w:after="0"/>
              <w:rPr>
                <w:sz w:val="12"/>
                <w:szCs w:val="12"/>
                <w:color w:val="auto"/>
              </w:rPr>
            </w:pPr>
          </w:p>
        </w:tc>
      </w:tr>
      <w:tr>
        <w:trPr>
          <w:trHeight w:val="149"/>
        </w:trPr>
        <w:tc>
          <w:tcPr>
            <w:tcW w:w="3200" w:type="dxa"/>
            <w:vAlign w:val="bottom"/>
            <w:shd w:val="clear" w:color="auto" w:fill="E4E6EF"/>
          </w:tcPr>
          <w:p>
            <w:pPr>
              <w:spacing w:after="0"/>
              <w:rPr>
                <w:sz w:val="12"/>
                <w:szCs w:val="12"/>
                <w:color w:val="auto"/>
              </w:rPr>
            </w:pP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During Year That</w:t>
            </w:r>
          </w:p>
        </w:tc>
        <w:tc>
          <w:tcPr>
            <w:tcW w:w="1160" w:type="dxa"/>
            <w:vAlign w:val="bottom"/>
            <w:shd w:val="clear" w:color="auto" w:fill="E4E6EF"/>
          </w:tcPr>
          <w:p>
            <w:pPr>
              <w:jc w:val="right"/>
              <w:ind w:right="12"/>
              <w:spacing w:after="0"/>
              <w:rPr>
                <w:sz w:val="20"/>
                <w:szCs w:val="20"/>
                <w:color w:val="auto"/>
              </w:rPr>
            </w:pPr>
            <w:r>
              <w:rPr>
                <w:rFonts w:ascii="Arial" w:cs="Arial" w:eastAsia="Arial" w:hAnsi="Arial"/>
                <w:sz w:val="13"/>
                <w:szCs w:val="13"/>
                <w:color w:val="auto"/>
              </w:rPr>
              <w:t>Day of Prior Year</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Awards Granted</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Unvested Equity</w:t>
            </w:r>
          </w:p>
        </w:tc>
        <w:tc>
          <w:tcPr>
            <w:tcW w:w="1080" w:type="dxa"/>
            <w:vAlign w:val="bottom"/>
            <w:shd w:val="clear" w:color="auto" w:fill="E4E6EF"/>
          </w:tcPr>
          <w:p>
            <w:pPr>
              <w:jc w:val="right"/>
              <w:spacing w:after="0"/>
              <w:rPr>
                <w:sz w:val="20"/>
                <w:szCs w:val="20"/>
                <w:color w:val="auto"/>
              </w:rPr>
            </w:pPr>
            <w:r>
              <w:rPr>
                <w:rFonts w:ascii="Arial" w:cs="Arial" w:eastAsia="Arial" w:hAnsi="Arial"/>
                <w:sz w:val="13"/>
                <w:szCs w:val="13"/>
                <w:color w:val="auto"/>
              </w:rPr>
              <w:t>Day of Prior Year</w:t>
            </w:r>
          </w:p>
        </w:tc>
        <w:tc>
          <w:tcPr>
            <w:tcW w:w="1120" w:type="dxa"/>
            <w:vAlign w:val="bottom"/>
            <w:shd w:val="clear" w:color="auto" w:fill="E4E6EF"/>
          </w:tcPr>
          <w:p>
            <w:pPr>
              <w:jc w:val="right"/>
              <w:spacing w:after="0"/>
              <w:rPr>
                <w:sz w:val="20"/>
                <w:szCs w:val="20"/>
                <w:color w:val="auto"/>
              </w:rPr>
            </w:pPr>
            <w:r>
              <w:rPr>
                <w:rFonts w:ascii="Arial" w:cs="Arial" w:eastAsia="Arial" w:hAnsi="Arial"/>
                <w:sz w:val="13"/>
                <w:szCs w:val="13"/>
                <w:color w:val="auto"/>
              </w:rPr>
              <w:t>Paid on Stock or</w:t>
            </w:r>
          </w:p>
        </w:tc>
        <w:tc>
          <w:tcPr>
            <w:tcW w:w="1080" w:type="dxa"/>
            <w:vAlign w:val="bottom"/>
            <w:shd w:val="clear" w:color="auto" w:fill="E4E6EF"/>
          </w:tcPr>
          <w:p>
            <w:pPr>
              <w:spacing w:after="0"/>
              <w:rPr>
                <w:sz w:val="12"/>
                <w:szCs w:val="12"/>
                <w:color w:val="auto"/>
              </w:rPr>
            </w:pPr>
          </w:p>
        </w:tc>
      </w:tr>
      <w:tr>
        <w:trPr>
          <w:trHeight w:val="162"/>
        </w:trPr>
        <w:tc>
          <w:tcPr>
            <w:tcW w:w="3200" w:type="dxa"/>
            <w:vAlign w:val="bottom"/>
            <w:shd w:val="clear" w:color="auto" w:fill="E4E6EF"/>
          </w:tcPr>
          <w:p>
            <w:pPr>
              <w:spacing w:after="0"/>
              <w:rPr>
                <w:sz w:val="14"/>
                <w:szCs w:val="14"/>
                <w:color w:val="auto"/>
              </w:rPr>
            </w:pPr>
          </w:p>
        </w:tc>
        <w:tc>
          <w:tcPr>
            <w:tcW w:w="2260" w:type="dxa"/>
            <w:vAlign w:val="bottom"/>
            <w:gridSpan w:val="2"/>
            <w:shd w:val="clear" w:color="auto" w:fill="E4E6EF"/>
          </w:tcPr>
          <w:p>
            <w:pPr>
              <w:jc w:val="right"/>
              <w:ind w:right="12"/>
              <w:spacing w:after="0"/>
              <w:rPr>
                <w:sz w:val="20"/>
                <w:szCs w:val="20"/>
                <w:color w:val="auto"/>
              </w:rPr>
            </w:pPr>
            <w:r>
              <w:rPr>
                <w:rFonts w:ascii="Arial" w:cs="Arial" w:eastAsia="Arial" w:hAnsi="Arial"/>
                <w:sz w:val="13"/>
                <w:szCs w:val="13"/>
                <w:color w:val="auto"/>
              </w:rPr>
              <w:t>Remained to Last Day of Year</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During Year that</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Awards that</w:t>
            </w:r>
          </w:p>
        </w:tc>
        <w:tc>
          <w:tcPr>
            <w:tcW w:w="2200" w:type="dxa"/>
            <w:vAlign w:val="bottom"/>
            <w:gridSpan w:val="2"/>
            <w:shd w:val="clear" w:color="auto" w:fill="E4E6EF"/>
          </w:tcPr>
          <w:p>
            <w:pPr>
              <w:jc w:val="right"/>
              <w:spacing w:after="0"/>
              <w:rPr>
                <w:sz w:val="20"/>
                <w:szCs w:val="20"/>
                <w:color w:val="auto"/>
              </w:rPr>
            </w:pPr>
            <w:r>
              <w:rPr>
                <w:rFonts w:ascii="Arial" w:cs="Arial" w:eastAsia="Arial" w:hAnsi="Arial"/>
                <w:sz w:val="13"/>
                <w:szCs w:val="13"/>
                <w:color w:val="auto"/>
              </w:rPr>
              <w:t>of Equity Awards Option Awards Not</w:t>
            </w:r>
          </w:p>
        </w:tc>
        <w:tc>
          <w:tcPr>
            <w:tcW w:w="1080" w:type="dxa"/>
            <w:vAlign w:val="bottom"/>
            <w:shd w:val="clear" w:color="auto" w:fill="E4E6EF"/>
          </w:tcPr>
          <w:p>
            <w:pPr>
              <w:spacing w:after="0"/>
              <w:rPr>
                <w:sz w:val="14"/>
                <w:szCs w:val="14"/>
                <w:color w:val="auto"/>
              </w:rPr>
            </w:pPr>
          </w:p>
        </w:tc>
      </w:tr>
      <w:tr>
        <w:trPr>
          <w:trHeight w:val="148"/>
        </w:trPr>
        <w:tc>
          <w:tcPr>
            <w:tcW w:w="3200" w:type="dxa"/>
            <w:vAlign w:val="bottom"/>
            <w:shd w:val="clear" w:color="auto" w:fill="E4E6EF"/>
          </w:tcPr>
          <w:p>
            <w:pPr>
              <w:spacing w:after="0"/>
              <w:rPr>
                <w:sz w:val="12"/>
                <w:szCs w:val="12"/>
                <w:color w:val="auto"/>
              </w:rPr>
            </w:pPr>
          </w:p>
        </w:tc>
        <w:tc>
          <w:tcPr>
            <w:tcW w:w="2260" w:type="dxa"/>
            <w:vAlign w:val="bottom"/>
            <w:gridSpan w:val="2"/>
            <w:shd w:val="clear" w:color="auto" w:fill="E4E6EF"/>
          </w:tcPr>
          <w:p>
            <w:pPr>
              <w:jc w:val="right"/>
              <w:ind w:right="12"/>
              <w:spacing w:after="0"/>
              <w:rPr>
                <w:sz w:val="20"/>
                <w:szCs w:val="20"/>
                <w:color w:val="auto"/>
              </w:rPr>
            </w:pPr>
            <w:r>
              <w:rPr>
                <w:rFonts w:ascii="Arial" w:cs="Arial" w:eastAsia="Arial" w:hAnsi="Arial"/>
                <w:sz w:val="13"/>
                <w:szCs w:val="13"/>
                <w:color w:val="auto"/>
              </w:rPr>
              <w:t>Unvested as of of Unvested Equity</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Vested During</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Vested During</w:t>
            </w:r>
          </w:p>
        </w:tc>
        <w:tc>
          <w:tcPr>
            <w:tcW w:w="1080" w:type="dxa"/>
            <w:vAlign w:val="bottom"/>
            <w:shd w:val="clear" w:color="auto" w:fill="E4E6EF"/>
          </w:tcPr>
          <w:p>
            <w:pPr>
              <w:jc w:val="right"/>
              <w:spacing w:after="0"/>
              <w:rPr>
                <w:sz w:val="20"/>
                <w:szCs w:val="20"/>
                <w:color w:val="auto"/>
              </w:rPr>
            </w:pPr>
            <w:r>
              <w:rPr>
                <w:rFonts w:ascii="Arial" w:cs="Arial" w:eastAsia="Arial" w:hAnsi="Arial"/>
                <w:sz w:val="13"/>
                <w:szCs w:val="13"/>
                <w:color w:val="auto"/>
              </w:rPr>
              <w:t>Forfeited During</w:t>
            </w:r>
          </w:p>
        </w:tc>
        <w:tc>
          <w:tcPr>
            <w:tcW w:w="1120" w:type="dxa"/>
            <w:vAlign w:val="bottom"/>
            <w:shd w:val="clear" w:color="auto" w:fill="E4E6EF"/>
          </w:tcPr>
          <w:p>
            <w:pPr>
              <w:jc w:val="right"/>
              <w:spacing w:after="0"/>
              <w:rPr>
                <w:sz w:val="20"/>
                <w:szCs w:val="20"/>
                <w:color w:val="auto"/>
              </w:rPr>
            </w:pPr>
            <w:r>
              <w:rPr>
                <w:rFonts w:ascii="Arial" w:cs="Arial" w:eastAsia="Arial" w:hAnsi="Arial"/>
                <w:sz w:val="13"/>
                <w:szCs w:val="13"/>
                <w:color w:val="auto"/>
              </w:rPr>
              <w:t>Otherwise</w:t>
            </w:r>
          </w:p>
        </w:tc>
        <w:tc>
          <w:tcPr>
            <w:tcW w:w="1080" w:type="dxa"/>
            <w:vAlign w:val="bottom"/>
            <w:shd w:val="clear" w:color="auto" w:fill="E4E6EF"/>
          </w:tcPr>
          <w:p>
            <w:pPr>
              <w:jc w:val="right"/>
              <w:spacing w:after="0"/>
              <w:rPr>
                <w:sz w:val="20"/>
                <w:szCs w:val="20"/>
                <w:color w:val="auto"/>
              </w:rPr>
            </w:pPr>
            <w:r>
              <w:rPr>
                <w:rFonts w:ascii="Arial" w:cs="Arial" w:eastAsia="Arial" w:hAnsi="Arial"/>
                <w:sz w:val="13"/>
                <w:szCs w:val="13"/>
                <w:color w:val="auto"/>
                <w:w w:val="97"/>
              </w:rPr>
              <w:t>Total - Inclusion of</w:t>
            </w:r>
          </w:p>
        </w:tc>
      </w:tr>
      <w:tr>
        <w:trPr>
          <w:trHeight w:val="187"/>
        </w:trPr>
        <w:tc>
          <w:tcPr>
            <w:tcW w:w="3200" w:type="dxa"/>
            <w:vAlign w:val="bottom"/>
            <w:tcBorders>
              <w:bottom w:val="single" w:sz="8" w:color="E4E6EF"/>
            </w:tcBorders>
            <w:shd w:val="clear" w:color="auto" w:fill="E4E6EF"/>
          </w:tcPr>
          <w:p>
            <w:pPr>
              <w:spacing w:after="0"/>
              <w:rPr>
                <w:sz w:val="16"/>
                <w:szCs w:val="16"/>
                <w:color w:val="auto"/>
              </w:rPr>
            </w:pPr>
          </w:p>
        </w:tc>
        <w:tc>
          <w:tcPr>
            <w:tcW w:w="110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Last Day of Year</w:t>
            </w:r>
          </w:p>
        </w:tc>
        <w:tc>
          <w:tcPr>
            <w:tcW w:w="1160" w:type="dxa"/>
            <w:vAlign w:val="bottom"/>
            <w:tcBorders>
              <w:bottom w:val="single" w:sz="8" w:color="E4E6EF"/>
            </w:tcBorders>
            <w:shd w:val="clear" w:color="auto" w:fill="E4E6EF"/>
          </w:tcPr>
          <w:p>
            <w:pPr>
              <w:jc w:val="right"/>
              <w:ind w:right="12"/>
              <w:spacing w:after="0"/>
              <w:rPr>
                <w:sz w:val="20"/>
                <w:szCs w:val="20"/>
                <w:color w:val="auto"/>
              </w:rPr>
            </w:pPr>
            <w:r>
              <w:rPr>
                <w:rFonts w:ascii="Arial" w:cs="Arial" w:eastAsia="Arial" w:hAnsi="Arial"/>
                <w:sz w:val="13"/>
                <w:szCs w:val="13"/>
                <w:color w:val="auto"/>
              </w:rPr>
              <w:t>Awards</w:t>
            </w:r>
          </w:p>
        </w:tc>
        <w:tc>
          <w:tcPr>
            <w:tcW w:w="110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Year</w:t>
            </w:r>
          </w:p>
        </w:tc>
        <w:tc>
          <w:tcPr>
            <w:tcW w:w="110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Year</w:t>
            </w:r>
          </w:p>
        </w:tc>
        <w:tc>
          <w:tcPr>
            <w:tcW w:w="108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Year</w:t>
            </w:r>
          </w:p>
        </w:tc>
        <w:tc>
          <w:tcPr>
            <w:tcW w:w="112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Included</w:t>
            </w:r>
          </w:p>
        </w:tc>
        <w:tc>
          <w:tcPr>
            <w:tcW w:w="108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Equity Values</w:t>
            </w:r>
          </w:p>
        </w:tc>
      </w:tr>
      <w:tr>
        <w:trPr>
          <w:trHeight w:val="208"/>
        </w:trPr>
        <w:tc>
          <w:tcPr>
            <w:tcW w:w="3200" w:type="dxa"/>
            <w:vAlign w:val="bottom"/>
            <w:tcBorders>
              <w:bottom w:val="single" w:sz="8" w:color="E4E6EF"/>
            </w:tcBorders>
            <w:shd w:val="clear" w:color="auto" w:fill="E4E6EF"/>
          </w:tcPr>
          <w:p>
            <w:pPr>
              <w:spacing w:after="0"/>
              <w:rPr>
                <w:sz w:val="17"/>
                <w:szCs w:val="17"/>
                <w:color w:val="auto"/>
              </w:rPr>
            </w:pPr>
          </w:p>
        </w:tc>
        <w:tc>
          <w:tcPr>
            <w:tcW w:w="11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E5E7EF"/>
            </w:tcBorders>
            <w:shd w:val="clear" w:color="auto" w:fill="E5E7EF"/>
          </w:tcPr>
          <w:p>
            <w:pPr>
              <w:jc w:val="right"/>
              <w:ind w:right="12"/>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5E7EF"/>
            </w:tcBorders>
            <w:shd w:val="clear" w:color="auto" w:fill="E5E7EF"/>
          </w:tcPr>
          <w:p>
            <w:pPr>
              <w:ind w:left="90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3200" w:type="dxa"/>
            <w:vAlign w:val="bottom"/>
            <w:tcBorders>
              <w:top w:val="single" w:sz="8" w:color="003478"/>
              <w:bottom w:val="single" w:sz="8" w:color="E4E6EF"/>
            </w:tcBorders>
            <w:shd w:val="clear" w:color="auto" w:fill="E4E6EF"/>
          </w:tcPr>
          <w:p>
            <w:pPr>
              <w:spacing w:after="0" w:line="164" w:lineRule="exact"/>
              <w:rPr>
                <w:sz w:val="20"/>
                <w:szCs w:val="20"/>
                <w:color w:val="auto"/>
              </w:rPr>
            </w:pPr>
            <w:r>
              <w:rPr>
                <w:rFonts w:ascii="Calibri" w:cs="Calibri" w:eastAsia="Calibri" w:hAnsi="Calibri"/>
                <w:sz w:val="14"/>
                <w:szCs w:val="14"/>
                <w:b w:val="1"/>
                <w:bCs w:val="1"/>
                <w:color w:val="003478"/>
              </w:rPr>
              <w:t>James D. Taiclet</w:t>
            </w:r>
          </w:p>
        </w:tc>
        <w:tc>
          <w:tcPr>
            <w:tcW w:w="1100" w:type="dxa"/>
            <w:vAlign w:val="bottom"/>
            <w:tcBorders>
              <w:top w:val="single" w:sz="8" w:color="003478"/>
              <w:bottom w:val="single" w:sz="8" w:color="E5E7EF"/>
            </w:tcBorders>
            <w:shd w:val="clear" w:color="auto" w:fill="E5E7EF"/>
          </w:tcPr>
          <w:p>
            <w:pPr>
              <w:spacing w:after="0"/>
              <w:rPr>
                <w:sz w:val="17"/>
                <w:szCs w:val="17"/>
                <w:color w:val="auto"/>
              </w:rPr>
            </w:pPr>
          </w:p>
        </w:tc>
        <w:tc>
          <w:tcPr>
            <w:tcW w:w="1160" w:type="dxa"/>
            <w:vAlign w:val="bottom"/>
            <w:tcBorders>
              <w:top w:val="single" w:sz="8" w:color="003478"/>
              <w:bottom w:val="single" w:sz="8" w:color="E5E7EF"/>
            </w:tcBorders>
            <w:shd w:val="clear" w:color="auto" w:fill="E5E7EF"/>
          </w:tcPr>
          <w:p>
            <w:pPr>
              <w:spacing w:after="0"/>
              <w:rPr>
                <w:sz w:val="17"/>
                <w:szCs w:val="17"/>
                <w:color w:val="auto"/>
              </w:rPr>
            </w:pPr>
          </w:p>
        </w:tc>
        <w:tc>
          <w:tcPr>
            <w:tcW w:w="1100" w:type="dxa"/>
            <w:vAlign w:val="bottom"/>
            <w:tcBorders>
              <w:top w:val="single" w:sz="8" w:color="003478"/>
              <w:bottom w:val="single" w:sz="8" w:color="E5E7EF"/>
            </w:tcBorders>
            <w:shd w:val="clear" w:color="auto" w:fill="E5E7EF"/>
          </w:tcPr>
          <w:p>
            <w:pPr>
              <w:spacing w:after="0"/>
              <w:rPr>
                <w:sz w:val="17"/>
                <w:szCs w:val="17"/>
                <w:color w:val="auto"/>
              </w:rPr>
            </w:pPr>
          </w:p>
        </w:tc>
        <w:tc>
          <w:tcPr>
            <w:tcW w:w="1100" w:type="dxa"/>
            <w:vAlign w:val="bottom"/>
            <w:tcBorders>
              <w:top w:val="single" w:sz="8" w:color="003478"/>
              <w:bottom w:val="single" w:sz="8" w:color="E5E7EF"/>
            </w:tcBorders>
            <w:shd w:val="clear" w:color="auto" w:fill="E5E7EF"/>
          </w:tcPr>
          <w:p>
            <w:pPr>
              <w:spacing w:after="0"/>
              <w:rPr>
                <w:sz w:val="17"/>
                <w:szCs w:val="17"/>
                <w:color w:val="auto"/>
              </w:rPr>
            </w:pPr>
          </w:p>
        </w:tc>
        <w:tc>
          <w:tcPr>
            <w:tcW w:w="1080" w:type="dxa"/>
            <w:vAlign w:val="bottom"/>
            <w:tcBorders>
              <w:top w:val="single" w:sz="8" w:color="003478"/>
              <w:bottom w:val="single" w:sz="8" w:color="E5E7EF"/>
            </w:tcBorders>
            <w:shd w:val="clear" w:color="auto" w:fill="E5E7EF"/>
          </w:tcPr>
          <w:p>
            <w:pPr>
              <w:spacing w:after="0"/>
              <w:rPr>
                <w:sz w:val="17"/>
                <w:szCs w:val="17"/>
                <w:color w:val="auto"/>
              </w:rPr>
            </w:pPr>
          </w:p>
        </w:tc>
        <w:tc>
          <w:tcPr>
            <w:tcW w:w="1120" w:type="dxa"/>
            <w:vAlign w:val="bottom"/>
            <w:tcBorders>
              <w:top w:val="single" w:sz="8" w:color="003478"/>
              <w:bottom w:val="single" w:sz="8" w:color="E5E7EF"/>
            </w:tcBorders>
            <w:shd w:val="clear" w:color="auto" w:fill="E5E7EF"/>
          </w:tcPr>
          <w:p>
            <w:pPr>
              <w:spacing w:after="0"/>
              <w:rPr>
                <w:sz w:val="17"/>
                <w:szCs w:val="17"/>
                <w:color w:val="auto"/>
              </w:rPr>
            </w:pPr>
          </w:p>
        </w:tc>
        <w:tc>
          <w:tcPr>
            <w:tcW w:w="1080" w:type="dxa"/>
            <w:vAlign w:val="bottom"/>
            <w:tcBorders>
              <w:top w:val="single" w:sz="8" w:color="003478"/>
              <w:bottom w:val="single" w:sz="8" w:color="E5E7EF"/>
            </w:tcBorders>
            <w:shd w:val="clear" w:color="auto" w:fill="E5E7EF"/>
          </w:tcPr>
          <w:p>
            <w:pPr>
              <w:spacing w:after="0"/>
              <w:rPr>
                <w:sz w:val="17"/>
                <w:szCs w:val="17"/>
                <w:color w:val="auto"/>
              </w:rPr>
            </w:pPr>
          </w:p>
        </w:tc>
      </w:tr>
      <w:tr>
        <w:trPr>
          <w:trHeight w:val="163"/>
        </w:trPr>
        <w:tc>
          <w:tcPr>
            <w:tcW w:w="3200" w:type="dxa"/>
            <w:vAlign w:val="bottom"/>
            <w:tcBorders>
              <w:top w:val="single" w:sz="8" w:color="9D9D9C"/>
            </w:tcBorders>
          </w:tcPr>
          <w:p>
            <w:pPr>
              <w:spacing w:after="0" w:line="164" w:lineRule="exact"/>
              <w:rPr>
                <w:sz w:val="20"/>
                <w:szCs w:val="20"/>
                <w:color w:val="auto"/>
              </w:rPr>
            </w:pPr>
            <w:r>
              <w:rPr>
                <w:rFonts w:ascii="Calibri" w:cs="Calibri" w:eastAsia="Calibri" w:hAnsi="Calibri"/>
                <w:sz w:val="14"/>
                <w:szCs w:val="14"/>
                <w:b w:val="1"/>
                <w:bCs w:val="1"/>
                <w:color w:val="003478"/>
              </w:rPr>
              <w:t>2022</w:t>
            </w:r>
          </w:p>
        </w:tc>
        <w:tc>
          <w:tcPr>
            <w:tcW w:w="110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17,510,143</w:t>
            </w:r>
          </w:p>
        </w:tc>
        <w:tc>
          <w:tcPr>
            <w:tcW w:w="1160" w:type="dxa"/>
            <w:vAlign w:val="bottom"/>
            <w:tcBorders>
              <w:top w:val="single" w:sz="8" w:color="9D9D9C"/>
            </w:tcBorders>
          </w:tcPr>
          <w:p>
            <w:pPr>
              <w:jc w:val="right"/>
              <w:ind w:right="52"/>
              <w:spacing w:after="0" w:line="164" w:lineRule="exact"/>
              <w:rPr>
                <w:sz w:val="20"/>
                <w:szCs w:val="20"/>
                <w:color w:val="auto"/>
              </w:rPr>
            </w:pPr>
            <w:r>
              <w:rPr>
                <w:rFonts w:ascii="Calibri" w:cs="Calibri" w:eastAsia="Calibri" w:hAnsi="Calibri"/>
                <w:sz w:val="14"/>
                <w:szCs w:val="14"/>
                <w:color w:val="auto"/>
              </w:rPr>
              <w:t>15,944,680</w:t>
            </w:r>
          </w:p>
        </w:tc>
        <w:tc>
          <w:tcPr>
            <w:tcW w:w="1100" w:type="dxa"/>
            <w:vAlign w:val="bottom"/>
            <w:tcBorders>
              <w:top w:val="single" w:sz="8" w:color="9D9D9C"/>
            </w:tcBorders>
          </w:tcPr>
          <w:p>
            <w:pPr>
              <w:jc w:val="right"/>
              <w:ind w:right="33"/>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Borders>
              <w:top w:val="single" w:sz="8" w:color="9D9D9C"/>
            </w:tcBorders>
          </w:tcPr>
          <w:p>
            <w:pPr>
              <w:jc w:val="right"/>
              <w:ind w:right="33"/>
              <w:spacing w:after="0" w:line="164" w:lineRule="exact"/>
              <w:rPr>
                <w:sz w:val="20"/>
                <w:szCs w:val="20"/>
                <w:color w:val="auto"/>
              </w:rPr>
            </w:pPr>
            <w:r>
              <w:rPr>
                <w:rFonts w:ascii="Calibri" w:cs="Calibri" w:eastAsia="Calibri" w:hAnsi="Calibri"/>
                <w:sz w:val="14"/>
                <w:szCs w:val="14"/>
                <w:color w:val="auto"/>
              </w:rPr>
              <w:t>349,881</w:t>
            </w:r>
          </w:p>
        </w:tc>
        <w:tc>
          <w:tcPr>
            <w:tcW w:w="1080" w:type="dxa"/>
            <w:vAlign w:val="bottom"/>
            <w:tcBorders>
              <w:top w:val="single" w:sz="8" w:color="9D9D9C"/>
            </w:tcBorders>
          </w:tcPr>
          <w:p>
            <w:pPr>
              <w:spacing w:after="0"/>
              <w:rPr>
                <w:sz w:val="14"/>
                <w:szCs w:val="14"/>
                <w:color w:val="auto"/>
              </w:rPr>
            </w:pPr>
          </w:p>
        </w:tc>
        <w:tc>
          <w:tcPr>
            <w:tcW w:w="1120" w:type="dxa"/>
            <w:vAlign w:val="bottom"/>
            <w:tcBorders>
              <w:top w:val="single" w:sz="8" w:color="9D9D9C"/>
            </w:tcBorders>
          </w:tcPr>
          <w:p>
            <w:pPr>
              <w:spacing w:after="0"/>
              <w:rPr>
                <w:sz w:val="14"/>
                <w:szCs w:val="14"/>
                <w:color w:val="auto"/>
              </w:rPr>
            </w:pPr>
          </w:p>
        </w:tc>
        <w:tc>
          <w:tcPr>
            <w:tcW w:w="108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33,804,704</w:t>
            </w:r>
          </w:p>
        </w:tc>
      </w:tr>
      <w:tr>
        <w:trPr>
          <w:trHeight w:val="33"/>
        </w:trPr>
        <w:tc>
          <w:tcPr>
            <w:tcW w:w="32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6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c>
          <w:tcPr>
            <w:tcW w:w="112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r>
      <w:tr>
        <w:trPr>
          <w:trHeight w:val="163"/>
        </w:trPr>
        <w:tc>
          <w:tcPr>
            <w:tcW w:w="3200" w:type="dxa"/>
            <w:vAlign w:val="bottom"/>
          </w:tcPr>
          <w:p>
            <w:pPr>
              <w:spacing w:after="0" w:line="164" w:lineRule="exact"/>
              <w:rPr>
                <w:sz w:val="20"/>
                <w:szCs w:val="20"/>
                <w:color w:val="auto"/>
              </w:rPr>
            </w:pPr>
            <w:r>
              <w:rPr>
                <w:rFonts w:ascii="Calibri" w:cs="Calibri" w:eastAsia="Calibri" w:hAnsi="Calibri"/>
                <w:sz w:val="14"/>
                <w:szCs w:val="14"/>
                <w:b w:val="1"/>
                <w:bCs w:val="1"/>
                <w:color w:val="003478"/>
              </w:rPr>
              <w:t>2021</w:t>
            </w: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11,928,062</w:t>
            </w:r>
          </w:p>
        </w:tc>
        <w:tc>
          <w:tcPr>
            <w:tcW w:w="1160" w:type="dxa"/>
            <w:vAlign w:val="bottom"/>
          </w:tcPr>
          <w:p>
            <w:pPr>
              <w:jc w:val="right"/>
              <w:ind w:right="12"/>
              <w:spacing w:after="0" w:line="164" w:lineRule="exact"/>
              <w:rPr>
                <w:sz w:val="20"/>
                <w:szCs w:val="20"/>
                <w:color w:val="auto"/>
              </w:rPr>
            </w:pPr>
            <w:r>
              <w:rPr>
                <w:rFonts w:ascii="Calibri" w:cs="Calibri" w:eastAsia="Calibri" w:hAnsi="Calibri"/>
                <w:sz w:val="14"/>
                <w:szCs w:val="14"/>
                <w:color w:val="auto"/>
              </w:rPr>
              <w:t>(761,733)</w:t>
            </w:r>
          </w:p>
        </w:tc>
        <w:tc>
          <w:tcPr>
            <w:tcW w:w="1100" w:type="dxa"/>
            <w:vAlign w:val="bottom"/>
          </w:tcPr>
          <w:p>
            <w:pPr>
              <w:jc w:val="right"/>
              <w:ind w:right="33"/>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33"/>
              <w:spacing w:after="0" w:line="164" w:lineRule="exact"/>
              <w:rPr>
                <w:sz w:val="20"/>
                <w:szCs w:val="20"/>
                <w:color w:val="auto"/>
              </w:rPr>
            </w:pPr>
            <w:r>
              <w:rPr>
                <w:rFonts w:ascii="Calibri" w:cs="Calibri" w:eastAsia="Calibri" w:hAnsi="Calibri"/>
                <w:sz w:val="14"/>
                <w:szCs w:val="14"/>
                <w:color w:val="auto"/>
              </w:rPr>
              <w:t>191,841</w:t>
            </w:r>
          </w:p>
        </w:tc>
        <w:tc>
          <w:tcPr>
            <w:tcW w:w="1080" w:type="dxa"/>
            <w:vAlign w:val="bottom"/>
          </w:tcPr>
          <w:p>
            <w:pPr>
              <w:ind w:left="880"/>
              <w:spacing w:after="0" w:line="164" w:lineRule="exact"/>
              <w:rPr>
                <w:sz w:val="20"/>
                <w:szCs w:val="20"/>
                <w:color w:val="auto"/>
              </w:rPr>
            </w:pPr>
            <w:r>
              <w:rPr>
                <w:rFonts w:ascii="Calibri" w:cs="Calibri" w:eastAsia="Calibri" w:hAnsi="Calibri"/>
                <w:sz w:val="14"/>
                <w:szCs w:val="14"/>
                <w:color w:val="auto"/>
              </w:rPr>
              <w:t>—</w:t>
            </w:r>
          </w:p>
        </w:tc>
        <w:tc>
          <w:tcPr>
            <w:tcW w:w="1120" w:type="dxa"/>
            <w:vAlign w:val="bottom"/>
          </w:tcPr>
          <w:p>
            <w:pPr>
              <w:jc w:val="right"/>
              <w:ind w:right="13"/>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11,358,170</w:t>
            </w:r>
          </w:p>
        </w:tc>
      </w:tr>
      <w:tr>
        <w:trPr>
          <w:trHeight w:val="33"/>
        </w:trPr>
        <w:tc>
          <w:tcPr>
            <w:tcW w:w="32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6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c>
          <w:tcPr>
            <w:tcW w:w="112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r>
      <w:tr>
        <w:trPr>
          <w:trHeight w:val="163"/>
        </w:trPr>
        <w:tc>
          <w:tcPr>
            <w:tcW w:w="3200" w:type="dxa"/>
            <w:vAlign w:val="bottom"/>
          </w:tcPr>
          <w:p>
            <w:pPr>
              <w:spacing w:after="0" w:line="164" w:lineRule="exact"/>
              <w:rPr>
                <w:sz w:val="20"/>
                <w:szCs w:val="20"/>
                <w:color w:val="auto"/>
              </w:rPr>
            </w:pPr>
            <w:r>
              <w:rPr>
                <w:rFonts w:ascii="Calibri" w:cs="Calibri" w:eastAsia="Calibri" w:hAnsi="Calibri"/>
                <w:sz w:val="14"/>
                <w:szCs w:val="14"/>
                <w:b w:val="1"/>
                <w:bCs w:val="1"/>
                <w:color w:val="003478"/>
              </w:rPr>
              <w:t>2020</w:t>
            </w: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17,660,623</w:t>
            </w:r>
          </w:p>
        </w:tc>
        <w:tc>
          <w:tcPr>
            <w:tcW w:w="1160" w:type="dxa"/>
            <w:vAlign w:val="bottom"/>
          </w:tcPr>
          <w:p>
            <w:pPr>
              <w:jc w:val="right"/>
              <w:ind w:right="52"/>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33"/>
              <w:spacing w:after="0" w:line="164"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33"/>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ind w:left="880"/>
              <w:spacing w:after="0" w:line="164" w:lineRule="exact"/>
              <w:rPr>
                <w:sz w:val="20"/>
                <w:szCs w:val="20"/>
                <w:color w:val="auto"/>
              </w:rPr>
            </w:pPr>
            <w:r>
              <w:rPr>
                <w:rFonts w:ascii="Calibri" w:cs="Calibri" w:eastAsia="Calibri" w:hAnsi="Calibri"/>
                <w:sz w:val="14"/>
                <w:szCs w:val="14"/>
                <w:color w:val="auto"/>
              </w:rPr>
              <w:t>—</w:t>
            </w:r>
          </w:p>
        </w:tc>
        <w:tc>
          <w:tcPr>
            <w:tcW w:w="1120" w:type="dxa"/>
            <w:vAlign w:val="bottom"/>
          </w:tcPr>
          <w:p>
            <w:pPr>
              <w:jc w:val="right"/>
              <w:ind w:right="13"/>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17,660,623</w:t>
            </w:r>
          </w:p>
        </w:tc>
      </w:tr>
      <w:tr>
        <w:trPr>
          <w:trHeight w:val="33"/>
        </w:trPr>
        <w:tc>
          <w:tcPr>
            <w:tcW w:w="32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6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c>
          <w:tcPr>
            <w:tcW w:w="112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r>
      <w:tr>
        <w:trPr>
          <w:trHeight w:val="201"/>
        </w:trPr>
        <w:tc>
          <w:tcPr>
            <w:tcW w:w="3200" w:type="dxa"/>
            <w:vAlign w:val="bottom"/>
            <w:tcBorders>
              <w:bottom w:val="single" w:sz="8" w:color="E4E6EF"/>
            </w:tcBorders>
            <w:shd w:val="clear" w:color="auto" w:fill="E4E6EF"/>
          </w:tcPr>
          <w:p>
            <w:pPr>
              <w:spacing w:after="0" w:line="164" w:lineRule="exact"/>
              <w:rPr>
                <w:sz w:val="20"/>
                <w:szCs w:val="20"/>
                <w:color w:val="auto"/>
              </w:rPr>
            </w:pPr>
            <w:r>
              <w:rPr>
                <w:rFonts w:ascii="Calibri" w:cs="Calibri" w:eastAsia="Calibri" w:hAnsi="Calibri"/>
                <w:sz w:val="14"/>
                <w:szCs w:val="14"/>
                <w:b w:val="1"/>
                <w:bCs w:val="1"/>
                <w:color w:val="003478"/>
              </w:rPr>
              <w:t>Marillyn A. Hewson</w:t>
            </w:r>
          </w:p>
        </w:tc>
        <w:tc>
          <w:tcPr>
            <w:tcW w:w="1100" w:type="dxa"/>
            <w:vAlign w:val="bottom"/>
            <w:tcBorders>
              <w:bottom w:val="single" w:sz="8" w:color="E5E7EF"/>
            </w:tcBorders>
            <w:shd w:val="clear" w:color="auto" w:fill="E5E7EF"/>
          </w:tcPr>
          <w:p>
            <w:pPr>
              <w:spacing w:after="0"/>
              <w:rPr>
                <w:sz w:val="17"/>
                <w:szCs w:val="17"/>
                <w:color w:val="auto"/>
              </w:rPr>
            </w:pPr>
          </w:p>
        </w:tc>
        <w:tc>
          <w:tcPr>
            <w:tcW w:w="1160" w:type="dxa"/>
            <w:vAlign w:val="bottom"/>
            <w:tcBorders>
              <w:bottom w:val="single" w:sz="8" w:color="E5E7EF"/>
            </w:tcBorders>
            <w:shd w:val="clear" w:color="auto" w:fill="E5E7EF"/>
          </w:tcPr>
          <w:p>
            <w:pPr>
              <w:spacing w:after="0"/>
              <w:rPr>
                <w:sz w:val="17"/>
                <w:szCs w:val="17"/>
                <w:color w:val="auto"/>
              </w:rPr>
            </w:pPr>
          </w:p>
        </w:tc>
        <w:tc>
          <w:tcPr>
            <w:tcW w:w="1100" w:type="dxa"/>
            <w:vAlign w:val="bottom"/>
            <w:tcBorders>
              <w:bottom w:val="single" w:sz="8" w:color="E5E7EF"/>
            </w:tcBorders>
            <w:shd w:val="clear" w:color="auto" w:fill="E5E7EF"/>
          </w:tcPr>
          <w:p>
            <w:pPr>
              <w:spacing w:after="0"/>
              <w:rPr>
                <w:sz w:val="17"/>
                <w:szCs w:val="17"/>
                <w:color w:val="auto"/>
              </w:rPr>
            </w:pPr>
          </w:p>
        </w:tc>
        <w:tc>
          <w:tcPr>
            <w:tcW w:w="1100" w:type="dxa"/>
            <w:vAlign w:val="bottom"/>
            <w:tcBorders>
              <w:bottom w:val="single" w:sz="8" w:color="E5E7EF"/>
            </w:tcBorders>
            <w:shd w:val="clear" w:color="auto" w:fill="E5E7EF"/>
          </w:tcPr>
          <w:p>
            <w:pPr>
              <w:spacing w:after="0"/>
              <w:rPr>
                <w:sz w:val="17"/>
                <w:szCs w:val="17"/>
                <w:color w:val="auto"/>
              </w:rPr>
            </w:pPr>
          </w:p>
        </w:tc>
        <w:tc>
          <w:tcPr>
            <w:tcW w:w="1080" w:type="dxa"/>
            <w:vAlign w:val="bottom"/>
            <w:tcBorders>
              <w:bottom w:val="single" w:sz="8" w:color="E5E7EF"/>
            </w:tcBorders>
            <w:shd w:val="clear" w:color="auto" w:fill="E5E7EF"/>
          </w:tcPr>
          <w:p>
            <w:pPr>
              <w:spacing w:after="0"/>
              <w:rPr>
                <w:sz w:val="17"/>
                <w:szCs w:val="17"/>
                <w:color w:val="auto"/>
              </w:rPr>
            </w:pPr>
          </w:p>
        </w:tc>
        <w:tc>
          <w:tcPr>
            <w:tcW w:w="1120" w:type="dxa"/>
            <w:vAlign w:val="bottom"/>
            <w:tcBorders>
              <w:bottom w:val="single" w:sz="8" w:color="E5E7EF"/>
            </w:tcBorders>
            <w:shd w:val="clear" w:color="auto" w:fill="E5E7EF"/>
          </w:tcPr>
          <w:p>
            <w:pPr>
              <w:spacing w:after="0"/>
              <w:rPr>
                <w:sz w:val="17"/>
                <w:szCs w:val="17"/>
                <w:color w:val="auto"/>
              </w:rPr>
            </w:pPr>
          </w:p>
        </w:tc>
        <w:tc>
          <w:tcPr>
            <w:tcW w:w="1080" w:type="dxa"/>
            <w:vAlign w:val="bottom"/>
            <w:tcBorders>
              <w:bottom w:val="single" w:sz="8" w:color="E5E7EF"/>
            </w:tcBorders>
            <w:shd w:val="clear" w:color="auto" w:fill="E5E7EF"/>
          </w:tcPr>
          <w:p>
            <w:pPr>
              <w:spacing w:after="0"/>
              <w:rPr>
                <w:sz w:val="17"/>
                <w:szCs w:val="17"/>
                <w:color w:val="auto"/>
              </w:rPr>
            </w:pPr>
          </w:p>
        </w:tc>
      </w:tr>
      <w:tr>
        <w:trPr>
          <w:trHeight w:val="163"/>
        </w:trPr>
        <w:tc>
          <w:tcPr>
            <w:tcW w:w="3200" w:type="dxa"/>
            <w:vAlign w:val="bottom"/>
            <w:tcBorders>
              <w:top w:val="single" w:sz="8" w:color="9D9D9C"/>
            </w:tcBorders>
          </w:tcPr>
          <w:p>
            <w:pPr>
              <w:spacing w:after="0" w:line="164" w:lineRule="exact"/>
              <w:rPr>
                <w:sz w:val="20"/>
                <w:szCs w:val="20"/>
                <w:color w:val="auto"/>
              </w:rPr>
            </w:pPr>
            <w:r>
              <w:rPr>
                <w:rFonts w:ascii="Calibri" w:cs="Calibri" w:eastAsia="Calibri" w:hAnsi="Calibri"/>
                <w:sz w:val="14"/>
                <w:szCs w:val="14"/>
                <w:b w:val="1"/>
                <w:bCs w:val="1"/>
                <w:color w:val="003478"/>
              </w:rPr>
              <w:t>2020</w:t>
            </w:r>
          </w:p>
        </w:tc>
        <w:tc>
          <w:tcPr>
            <w:tcW w:w="110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13,109,831</w:t>
            </w:r>
          </w:p>
        </w:tc>
        <w:tc>
          <w:tcPr>
            <w:tcW w:w="1160" w:type="dxa"/>
            <w:vAlign w:val="bottom"/>
            <w:tcBorders>
              <w:top w:val="single" w:sz="8" w:color="9D9D9C"/>
            </w:tcBorders>
          </w:tcPr>
          <w:p>
            <w:pPr>
              <w:jc w:val="right"/>
              <w:ind w:right="12"/>
              <w:spacing w:after="0" w:line="164" w:lineRule="exact"/>
              <w:rPr>
                <w:sz w:val="20"/>
                <w:szCs w:val="20"/>
                <w:color w:val="auto"/>
              </w:rPr>
            </w:pPr>
            <w:r>
              <w:rPr>
                <w:rFonts w:ascii="Calibri" w:cs="Calibri" w:eastAsia="Calibri" w:hAnsi="Calibri"/>
                <w:sz w:val="14"/>
                <w:szCs w:val="14"/>
                <w:color w:val="auto"/>
              </w:rPr>
              <w:t>(143,041)</w:t>
            </w:r>
          </w:p>
        </w:tc>
        <w:tc>
          <w:tcPr>
            <w:tcW w:w="1100" w:type="dxa"/>
            <w:vAlign w:val="bottom"/>
            <w:tcBorders>
              <w:top w:val="single" w:sz="8" w:color="9D9D9C"/>
            </w:tcBorders>
          </w:tcPr>
          <w:p>
            <w:pPr>
              <w:jc w:val="right"/>
              <w:ind w:right="33"/>
              <w:spacing w:after="0" w:line="164" w:lineRule="exact"/>
              <w:rPr>
                <w:sz w:val="20"/>
                <w:szCs w:val="20"/>
                <w:color w:val="auto"/>
              </w:rPr>
            </w:pPr>
            <w:r>
              <w:rPr>
                <w:rFonts w:ascii="Calibri" w:cs="Calibri" w:eastAsia="Calibri" w:hAnsi="Calibri"/>
                <w:sz w:val="14"/>
                <w:szCs w:val="14"/>
                <w:color w:val="auto"/>
              </w:rPr>
              <w:t>164,491</w:t>
            </w:r>
          </w:p>
        </w:tc>
        <w:tc>
          <w:tcPr>
            <w:tcW w:w="1100" w:type="dxa"/>
            <w:vAlign w:val="bottom"/>
            <w:tcBorders>
              <w:top w:val="single" w:sz="8" w:color="9D9D9C"/>
            </w:tcBorders>
          </w:tcPr>
          <w:p>
            <w:pPr>
              <w:jc w:val="right"/>
              <w:ind w:right="33"/>
              <w:spacing w:after="0" w:line="164" w:lineRule="exact"/>
              <w:rPr>
                <w:sz w:val="20"/>
                <w:szCs w:val="20"/>
                <w:color w:val="auto"/>
              </w:rPr>
            </w:pPr>
            <w:r>
              <w:rPr>
                <w:rFonts w:ascii="Calibri" w:cs="Calibri" w:eastAsia="Calibri" w:hAnsi="Calibri"/>
                <w:sz w:val="14"/>
                <w:szCs w:val="14"/>
                <w:color w:val="auto"/>
              </w:rPr>
              <w:t>2,271,893</w:t>
            </w:r>
          </w:p>
        </w:tc>
        <w:tc>
          <w:tcPr>
            <w:tcW w:w="1080" w:type="dxa"/>
            <w:vAlign w:val="bottom"/>
            <w:tcBorders>
              <w:top w:val="single" w:sz="8" w:color="9D9D9C"/>
            </w:tcBorders>
          </w:tcPr>
          <w:p>
            <w:pPr>
              <w:ind w:left="880"/>
              <w:spacing w:after="0" w:line="164" w:lineRule="exact"/>
              <w:rPr>
                <w:sz w:val="20"/>
                <w:szCs w:val="20"/>
                <w:color w:val="auto"/>
              </w:rPr>
            </w:pPr>
            <w:r>
              <w:rPr>
                <w:rFonts w:ascii="Calibri" w:cs="Calibri" w:eastAsia="Calibri" w:hAnsi="Calibri"/>
                <w:sz w:val="14"/>
                <w:szCs w:val="14"/>
                <w:color w:val="auto"/>
              </w:rPr>
              <w:t>—</w:t>
            </w:r>
          </w:p>
        </w:tc>
        <w:tc>
          <w:tcPr>
            <w:tcW w:w="1120" w:type="dxa"/>
            <w:vAlign w:val="bottom"/>
            <w:tcBorders>
              <w:top w:val="single" w:sz="8" w:color="9D9D9C"/>
            </w:tcBorders>
          </w:tcPr>
          <w:p>
            <w:pPr>
              <w:jc w:val="right"/>
              <w:ind w:right="13"/>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15,403,174</w:t>
            </w:r>
          </w:p>
        </w:tc>
      </w:tr>
      <w:tr>
        <w:trPr>
          <w:trHeight w:val="33"/>
        </w:trPr>
        <w:tc>
          <w:tcPr>
            <w:tcW w:w="32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6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c>
          <w:tcPr>
            <w:tcW w:w="112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r>
      <w:tr>
        <w:trPr>
          <w:trHeight w:val="201"/>
        </w:trPr>
        <w:tc>
          <w:tcPr>
            <w:tcW w:w="3200" w:type="dxa"/>
            <w:vAlign w:val="bottom"/>
            <w:tcBorders>
              <w:bottom w:val="single" w:sz="8" w:color="E4E6EF"/>
            </w:tcBorders>
            <w:shd w:val="clear" w:color="auto" w:fill="E4E6EF"/>
          </w:tcPr>
          <w:p>
            <w:pPr>
              <w:spacing w:after="0" w:line="164" w:lineRule="exact"/>
              <w:rPr>
                <w:sz w:val="20"/>
                <w:szCs w:val="20"/>
                <w:color w:val="auto"/>
              </w:rPr>
            </w:pPr>
            <w:r>
              <w:rPr>
                <w:rFonts w:ascii="Calibri" w:cs="Calibri" w:eastAsia="Calibri" w:hAnsi="Calibri"/>
                <w:sz w:val="14"/>
                <w:szCs w:val="14"/>
                <w:b w:val="1"/>
                <w:bCs w:val="1"/>
                <w:color w:val="003478"/>
              </w:rPr>
              <w:t>Average of Non-PEO NEOs</w:t>
            </w:r>
          </w:p>
        </w:tc>
        <w:tc>
          <w:tcPr>
            <w:tcW w:w="1100" w:type="dxa"/>
            <w:vAlign w:val="bottom"/>
            <w:tcBorders>
              <w:bottom w:val="single" w:sz="8" w:color="E5E7EF"/>
            </w:tcBorders>
            <w:shd w:val="clear" w:color="auto" w:fill="E5E7EF"/>
          </w:tcPr>
          <w:p>
            <w:pPr>
              <w:spacing w:after="0"/>
              <w:rPr>
                <w:sz w:val="17"/>
                <w:szCs w:val="17"/>
                <w:color w:val="auto"/>
              </w:rPr>
            </w:pPr>
          </w:p>
        </w:tc>
        <w:tc>
          <w:tcPr>
            <w:tcW w:w="1160" w:type="dxa"/>
            <w:vAlign w:val="bottom"/>
            <w:tcBorders>
              <w:bottom w:val="single" w:sz="8" w:color="E5E7EF"/>
            </w:tcBorders>
            <w:shd w:val="clear" w:color="auto" w:fill="E5E7EF"/>
          </w:tcPr>
          <w:p>
            <w:pPr>
              <w:spacing w:after="0"/>
              <w:rPr>
                <w:sz w:val="17"/>
                <w:szCs w:val="17"/>
                <w:color w:val="auto"/>
              </w:rPr>
            </w:pPr>
          </w:p>
        </w:tc>
        <w:tc>
          <w:tcPr>
            <w:tcW w:w="1100" w:type="dxa"/>
            <w:vAlign w:val="bottom"/>
            <w:tcBorders>
              <w:bottom w:val="single" w:sz="8" w:color="E5E7EF"/>
            </w:tcBorders>
            <w:shd w:val="clear" w:color="auto" w:fill="E5E7EF"/>
          </w:tcPr>
          <w:p>
            <w:pPr>
              <w:spacing w:after="0"/>
              <w:rPr>
                <w:sz w:val="17"/>
                <w:szCs w:val="17"/>
                <w:color w:val="auto"/>
              </w:rPr>
            </w:pPr>
          </w:p>
        </w:tc>
        <w:tc>
          <w:tcPr>
            <w:tcW w:w="1100" w:type="dxa"/>
            <w:vAlign w:val="bottom"/>
            <w:tcBorders>
              <w:bottom w:val="single" w:sz="8" w:color="E5E7EF"/>
            </w:tcBorders>
            <w:shd w:val="clear" w:color="auto" w:fill="E5E7EF"/>
          </w:tcPr>
          <w:p>
            <w:pPr>
              <w:spacing w:after="0"/>
              <w:rPr>
                <w:sz w:val="17"/>
                <w:szCs w:val="17"/>
                <w:color w:val="auto"/>
              </w:rPr>
            </w:pPr>
          </w:p>
        </w:tc>
        <w:tc>
          <w:tcPr>
            <w:tcW w:w="1080" w:type="dxa"/>
            <w:vAlign w:val="bottom"/>
            <w:tcBorders>
              <w:bottom w:val="single" w:sz="8" w:color="E5E7EF"/>
            </w:tcBorders>
            <w:shd w:val="clear" w:color="auto" w:fill="E5E7EF"/>
          </w:tcPr>
          <w:p>
            <w:pPr>
              <w:spacing w:after="0"/>
              <w:rPr>
                <w:sz w:val="17"/>
                <w:szCs w:val="17"/>
                <w:color w:val="auto"/>
              </w:rPr>
            </w:pPr>
          </w:p>
        </w:tc>
        <w:tc>
          <w:tcPr>
            <w:tcW w:w="1120" w:type="dxa"/>
            <w:vAlign w:val="bottom"/>
            <w:tcBorders>
              <w:bottom w:val="single" w:sz="8" w:color="E5E7EF"/>
            </w:tcBorders>
            <w:shd w:val="clear" w:color="auto" w:fill="E5E7EF"/>
          </w:tcPr>
          <w:p>
            <w:pPr>
              <w:spacing w:after="0"/>
              <w:rPr>
                <w:sz w:val="17"/>
                <w:szCs w:val="17"/>
                <w:color w:val="auto"/>
              </w:rPr>
            </w:pPr>
          </w:p>
        </w:tc>
        <w:tc>
          <w:tcPr>
            <w:tcW w:w="1080" w:type="dxa"/>
            <w:vAlign w:val="bottom"/>
            <w:tcBorders>
              <w:bottom w:val="single" w:sz="8" w:color="E5E7EF"/>
            </w:tcBorders>
            <w:shd w:val="clear" w:color="auto" w:fill="E5E7EF"/>
          </w:tcPr>
          <w:p>
            <w:pPr>
              <w:spacing w:after="0"/>
              <w:rPr>
                <w:sz w:val="17"/>
                <w:szCs w:val="17"/>
                <w:color w:val="auto"/>
              </w:rPr>
            </w:pPr>
          </w:p>
        </w:tc>
      </w:tr>
      <w:tr>
        <w:trPr>
          <w:trHeight w:val="163"/>
        </w:trPr>
        <w:tc>
          <w:tcPr>
            <w:tcW w:w="3200" w:type="dxa"/>
            <w:vAlign w:val="bottom"/>
            <w:tcBorders>
              <w:top w:val="single" w:sz="8" w:color="9D9D9C"/>
            </w:tcBorders>
          </w:tcPr>
          <w:p>
            <w:pPr>
              <w:spacing w:after="0" w:line="164" w:lineRule="exact"/>
              <w:rPr>
                <w:sz w:val="20"/>
                <w:szCs w:val="20"/>
                <w:color w:val="auto"/>
              </w:rPr>
            </w:pPr>
            <w:r>
              <w:rPr>
                <w:rFonts w:ascii="Calibri" w:cs="Calibri" w:eastAsia="Calibri" w:hAnsi="Calibri"/>
                <w:sz w:val="14"/>
                <w:szCs w:val="14"/>
                <w:b w:val="1"/>
                <w:bCs w:val="1"/>
                <w:color w:val="003478"/>
              </w:rPr>
              <w:t>2022</w:t>
            </w:r>
          </w:p>
        </w:tc>
        <w:tc>
          <w:tcPr>
            <w:tcW w:w="110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5,926,948</w:t>
            </w:r>
          </w:p>
        </w:tc>
        <w:tc>
          <w:tcPr>
            <w:tcW w:w="1160" w:type="dxa"/>
            <w:vAlign w:val="bottom"/>
            <w:tcBorders>
              <w:top w:val="single" w:sz="8" w:color="9D9D9C"/>
            </w:tcBorders>
          </w:tcPr>
          <w:p>
            <w:pPr>
              <w:jc w:val="right"/>
              <w:ind w:right="52"/>
              <w:spacing w:after="0" w:line="164" w:lineRule="exact"/>
              <w:rPr>
                <w:sz w:val="20"/>
                <w:szCs w:val="20"/>
                <w:color w:val="auto"/>
              </w:rPr>
            </w:pPr>
            <w:r>
              <w:rPr>
                <w:rFonts w:ascii="Calibri" w:cs="Calibri" w:eastAsia="Calibri" w:hAnsi="Calibri"/>
                <w:sz w:val="14"/>
                <w:szCs w:val="14"/>
                <w:color w:val="auto"/>
              </w:rPr>
              <w:t>2,832,204</w:t>
            </w:r>
          </w:p>
        </w:tc>
        <w:tc>
          <w:tcPr>
            <w:tcW w:w="1100" w:type="dxa"/>
            <w:vAlign w:val="bottom"/>
            <w:tcBorders>
              <w:top w:val="single" w:sz="8" w:color="9D9D9C"/>
            </w:tcBorders>
          </w:tcPr>
          <w:p>
            <w:pPr>
              <w:jc w:val="right"/>
              <w:ind w:right="33"/>
              <w:spacing w:after="0" w:line="164" w:lineRule="exact"/>
              <w:rPr>
                <w:sz w:val="20"/>
                <w:szCs w:val="20"/>
                <w:color w:val="auto"/>
              </w:rPr>
            </w:pPr>
            <w:r>
              <w:rPr>
                <w:rFonts w:ascii="Calibri" w:cs="Calibri" w:eastAsia="Calibri" w:hAnsi="Calibri"/>
                <w:sz w:val="14"/>
                <w:szCs w:val="14"/>
                <w:color w:val="auto"/>
              </w:rPr>
              <w:t>118,924</w:t>
            </w:r>
          </w:p>
        </w:tc>
        <w:tc>
          <w:tcPr>
            <w:tcW w:w="1100" w:type="dxa"/>
            <w:vAlign w:val="bottom"/>
            <w:tcBorders>
              <w:top w:val="single" w:sz="8" w:color="9D9D9C"/>
            </w:tcBorders>
          </w:tcPr>
          <w:p>
            <w:pPr>
              <w:jc w:val="right"/>
              <w:ind w:right="33"/>
              <w:spacing w:after="0" w:line="164" w:lineRule="exact"/>
              <w:rPr>
                <w:sz w:val="20"/>
                <w:szCs w:val="20"/>
                <w:color w:val="auto"/>
              </w:rPr>
            </w:pPr>
            <w:r>
              <w:rPr>
                <w:rFonts w:ascii="Calibri" w:cs="Calibri" w:eastAsia="Calibri" w:hAnsi="Calibri"/>
                <w:sz w:val="14"/>
                <w:szCs w:val="14"/>
                <w:color w:val="auto"/>
              </w:rPr>
              <w:t>158,175</w:t>
            </w:r>
          </w:p>
        </w:tc>
        <w:tc>
          <w:tcPr>
            <w:tcW w:w="1080" w:type="dxa"/>
            <w:vAlign w:val="bottom"/>
            <w:tcBorders>
              <w:top w:val="single" w:sz="8" w:color="9D9D9C"/>
            </w:tcBorders>
          </w:tcPr>
          <w:p>
            <w:pPr>
              <w:ind w:left="880"/>
              <w:spacing w:after="0" w:line="164" w:lineRule="exact"/>
              <w:rPr>
                <w:sz w:val="20"/>
                <w:szCs w:val="20"/>
                <w:color w:val="auto"/>
              </w:rPr>
            </w:pPr>
            <w:r>
              <w:rPr>
                <w:rFonts w:ascii="Calibri" w:cs="Calibri" w:eastAsia="Calibri" w:hAnsi="Calibri"/>
                <w:sz w:val="14"/>
                <w:szCs w:val="14"/>
                <w:color w:val="auto"/>
              </w:rPr>
              <w:t>—</w:t>
            </w:r>
          </w:p>
        </w:tc>
        <w:tc>
          <w:tcPr>
            <w:tcW w:w="1120" w:type="dxa"/>
            <w:vAlign w:val="bottom"/>
            <w:tcBorders>
              <w:top w:val="single" w:sz="8" w:color="9D9D9C"/>
            </w:tcBorders>
          </w:tcPr>
          <w:p>
            <w:pPr>
              <w:jc w:val="right"/>
              <w:ind w:right="13"/>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Borders>
              <w:top w:val="single" w:sz="8" w:color="9D9D9C"/>
            </w:tcBorders>
          </w:tcPr>
          <w:p>
            <w:pPr>
              <w:jc w:val="right"/>
              <w:spacing w:after="0" w:line="164" w:lineRule="exact"/>
              <w:rPr>
                <w:sz w:val="20"/>
                <w:szCs w:val="20"/>
                <w:color w:val="auto"/>
              </w:rPr>
            </w:pPr>
            <w:r>
              <w:rPr>
                <w:rFonts w:ascii="Calibri" w:cs="Calibri" w:eastAsia="Calibri" w:hAnsi="Calibri"/>
                <w:sz w:val="14"/>
                <w:szCs w:val="14"/>
                <w:color w:val="auto"/>
              </w:rPr>
              <w:t>9,036,250</w:t>
            </w:r>
          </w:p>
        </w:tc>
      </w:tr>
      <w:tr>
        <w:trPr>
          <w:trHeight w:val="33"/>
        </w:trPr>
        <w:tc>
          <w:tcPr>
            <w:tcW w:w="32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6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c>
          <w:tcPr>
            <w:tcW w:w="112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r>
      <w:tr>
        <w:trPr>
          <w:trHeight w:val="163"/>
        </w:trPr>
        <w:tc>
          <w:tcPr>
            <w:tcW w:w="3200" w:type="dxa"/>
            <w:vAlign w:val="bottom"/>
          </w:tcPr>
          <w:p>
            <w:pPr>
              <w:spacing w:after="0" w:line="164" w:lineRule="exact"/>
              <w:rPr>
                <w:sz w:val="20"/>
                <w:szCs w:val="20"/>
                <w:color w:val="auto"/>
              </w:rPr>
            </w:pPr>
            <w:r>
              <w:rPr>
                <w:rFonts w:ascii="Calibri" w:cs="Calibri" w:eastAsia="Calibri" w:hAnsi="Calibri"/>
                <w:sz w:val="14"/>
                <w:szCs w:val="14"/>
                <w:b w:val="1"/>
                <w:bCs w:val="1"/>
                <w:color w:val="003478"/>
              </w:rPr>
              <w:t>2021</w:t>
            </w: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1,970,122</w:t>
            </w:r>
          </w:p>
        </w:tc>
        <w:tc>
          <w:tcPr>
            <w:tcW w:w="1160" w:type="dxa"/>
            <w:vAlign w:val="bottom"/>
          </w:tcPr>
          <w:p>
            <w:pPr>
              <w:jc w:val="right"/>
              <w:ind w:right="12"/>
              <w:spacing w:after="0" w:line="164" w:lineRule="exact"/>
              <w:rPr>
                <w:sz w:val="20"/>
                <w:szCs w:val="20"/>
                <w:color w:val="auto"/>
              </w:rPr>
            </w:pPr>
            <w:r>
              <w:rPr>
                <w:rFonts w:ascii="Calibri" w:cs="Calibri" w:eastAsia="Calibri" w:hAnsi="Calibri"/>
                <w:sz w:val="14"/>
                <w:szCs w:val="14"/>
                <w:color w:val="auto"/>
              </w:rPr>
              <w:t>(47,405)</w:t>
            </w:r>
          </w:p>
        </w:tc>
        <w:tc>
          <w:tcPr>
            <w:tcW w:w="1100" w:type="dxa"/>
            <w:vAlign w:val="bottom"/>
          </w:tcPr>
          <w:p>
            <w:pPr>
              <w:jc w:val="right"/>
              <w:ind w:right="33"/>
              <w:spacing w:after="0" w:line="164" w:lineRule="exact"/>
              <w:rPr>
                <w:sz w:val="20"/>
                <w:szCs w:val="20"/>
                <w:color w:val="auto"/>
              </w:rPr>
            </w:pPr>
            <w:r>
              <w:rPr>
                <w:rFonts w:ascii="Calibri" w:cs="Calibri" w:eastAsia="Calibri" w:hAnsi="Calibri"/>
                <w:sz w:val="14"/>
                <w:szCs w:val="14"/>
                <w:color w:val="auto"/>
              </w:rPr>
              <w:t>30,538</w:t>
            </w: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(173,903)</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(385,571)</w:t>
            </w:r>
          </w:p>
        </w:tc>
        <w:tc>
          <w:tcPr>
            <w:tcW w:w="1120" w:type="dxa"/>
            <w:vAlign w:val="bottom"/>
          </w:tcPr>
          <w:p>
            <w:pPr>
              <w:jc w:val="right"/>
              <w:ind w:right="13"/>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1,393,781</w:t>
            </w:r>
          </w:p>
        </w:tc>
      </w:tr>
      <w:tr>
        <w:trPr>
          <w:trHeight w:val="33"/>
        </w:trPr>
        <w:tc>
          <w:tcPr>
            <w:tcW w:w="32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6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c>
          <w:tcPr>
            <w:tcW w:w="112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r>
      <w:tr>
        <w:trPr>
          <w:trHeight w:val="163"/>
        </w:trPr>
        <w:tc>
          <w:tcPr>
            <w:tcW w:w="3200" w:type="dxa"/>
            <w:vAlign w:val="bottom"/>
          </w:tcPr>
          <w:p>
            <w:pPr>
              <w:spacing w:after="0" w:line="164" w:lineRule="exact"/>
              <w:rPr>
                <w:sz w:val="20"/>
                <w:szCs w:val="20"/>
                <w:color w:val="auto"/>
              </w:rPr>
            </w:pPr>
            <w:r>
              <w:rPr>
                <w:rFonts w:ascii="Calibri" w:cs="Calibri" w:eastAsia="Calibri" w:hAnsi="Calibri"/>
                <w:sz w:val="14"/>
                <w:szCs w:val="14"/>
                <w:b w:val="1"/>
                <w:bCs w:val="1"/>
                <w:color w:val="003478"/>
              </w:rPr>
              <w:t>2020</w:t>
            </w:r>
          </w:p>
        </w:tc>
        <w:tc>
          <w:tcPr>
            <w:tcW w:w="1100" w:type="dxa"/>
            <w:vAlign w:val="bottom"/>
          </w:tcPr>
          <w:p>
            <w:pPr>
              <w:jc w:val="right"/>
              <w:spacing w:after="0" w:line="164" w:lineRule="exact"/>
              <w:rPr>
                <w:sz w:val="20"/>
                <w:szCs w:val="20"/>
                <w:color w:val="auto"/>
              </w:rPr>
            </w:pPr>
            <w:r>
              <w:rPr>
                <w:rFonts w:ascii="Calibri" w:cs="Calibri" w:eastAsia="Calibri" w:hAnsi="Calibri"/>
                <w:sz w:val="14"/>
                <w:szCs w:val="14"/>
                <w:color w:val="auto"/>
              </w:rPr>
              <w:t>3,898,853</w:t>
            </w:r>
          </w:p>
        </w:tc>
        <w:tc>
          <w:tcPr>
            <w:tcW w:w="1160" w:type="dxa"/>
            <w:vAlign w:val="bottom"/>
          </w:tcPr>
          <w:p>
            <w:pPr>
              <w:jc w:val="right"/>
              <w:ind w:right="12"/>
              <w:spacing w:after="0" w:line="164" w:lineRule="exact"/>
              <w:rPr>
                <w:sz w:val="20"/>
                <w:szCs w:val="20"/>
                <w:color w:val="auto"/>
              </w:rPr>
            </w:pPr>
            <w:r>
              <w:rPr>
                <w:rFonts w:ascii="Calibri" w:cs="Calibri" w:eastAsia="Calibri" w:hAnsi="Calibri"/>
                <w:sz w:val="14"/>
                <w:szCs w:val="14"/>
                <w:color w:val="auto"/>
              </w:rPr>
              <w:t>(31,118)</w:t>
            </w:r>
          </w:p>
        </w:tc>
        <w:tc>
          <w:tcPr>
            <w:tcW w:w="1100" w:type="dxa"/>
            <w:vAlign w:val="bottom"/>
          </w:tcPr>
          <w:p>
            <w:pPr>
              <w:jc w:val="right"/>
              <w:ind w:right="33"/>
              <w:spacing w:after="0" w:line="164" w:lineRule="exact"/>
              <w:rPr>
                <w:sz w:val="20"/>
                <w:szCs w:val="20"/>
                <w:color w:val="auto"/>
              </w:rPr>
            </w:pPr>
            <w:r>
              <w:rPr>
                <w:rFonts w:ascii="Calibri" w:cs="Calibri" w:eastAsia="Calibri" w:hAnsi="Calibri"/>
                <w:sz w:val="14"/>
                <w:szCs w:val="14"/>
                <w:color w:val="auto"/>
              </w:rPr>
              <w:t>38,958</w:t>
            </w:r>
          </w:p>
        </w:tc>
        <w:tc>
          <w:tcPr>
            <w:tcW w:w="1100" w:type="dxa"/>
            <w:vAlign w:val="bottom"/>
          </w:tcPr>
          <w:p>
            <w:pPr>
              <w:jc w:val="right"/>
              <w:ind w:right="33"/>
              <w:spacing w:after="0" w:line="164" w:lineRule="exact"/>
              <w:rPr>
                <w:sz w:val="20"/>
                <w:szCs w:val="20"/>
                <w:color w:val="auto"/>
              </w:rPr>
            </w:pPr>
            <w:r>
              <w:rPr>
                <w:rFonts w:ascii="Calibri" w:cs="Calibri" w:eastAsia="Calibri" w:hAnsi="Calibri"/>
                <w:sz w:val="14"/>
                <w:szCs w:val="14"/>
                <w:color w:val="auto"/>
              </w:rPr>
              <w:t>200,871</w:t>
            </w:r>
          </w:p>
        </w:tc>
        <w:tc>
          <w:tcPr>
            <w:tcW w:w="1080" w:type="dxa"/>
            <w:vAlign w:val="bottom"/>
          </w:tcPr>
          <w:p>
            <w:pPr>
              <w:ind w:left="880"/>
              <w:spacing w:after="0" w:line="164" w:lineRule="exact"/>
              <w:rPr>
                <w:sz w:val="20"/>
                <w:szCs w:val="20"/>
                <w:color w:val="auto"/>
              </w:rPr>
            </w:pPr>
            <w:r>
              <w:rPr>
                <w:rFonts w:ascii="Calibri" w:cs="Calibri" w:eastAsia="Calibri" w:hAnsi="Calibri"/>
                <w:sz w:val="14"/>
                <w:szCs w:val="14"/>
                <w:color w:val="auto"/>
              </w:rPr>
              <w:t>—</w:t>
            </w:r>
          </w:p>
        </w:tc>
        <w:tc>
          <w:tcPr>
            <w:tcW w:w="1120" w:type="dxa"/>
            <w:vAlign w:val="bottom"/>
          </w:tcPr>
          <w:p>
            <w:pPr>
              <w:jc w:val="right"/>
              <w:ind w:right="13"/>
              <w:spacing w:after="0" w:line="164" w:lineRule="exact"/>
              <w:rPr>
                <w:sz w:val="20"/>
                <w:szCs w:val="20"/>
                <w:color w:val="auto"/>
              </w:rPr>
            </w:pPr>
            <w:r>
              <w:rPr>
                <w:rFonts w:ascii="Calibri" w:cs="Calibri" w:eastAsia="Calibri" w:hAnsi="Calibri"/>
                <w:sz w:val="14"/>
                <w:szCs w:val="14"/>
                <w:color w:val="auto"/>
              </w:rPr>
              <w:t>—</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4,107,564</w:t>
            </w:r>
          </w:p>
        </w:tc>
      </w:tr>
      <w:tr>
        <w:trPr>
          <w:trHeight w:val="33"/>
        </w:trPr>
        <w:tc>
          <w:tcPr>
            <w:tcW w:w="32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6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10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c>
          <w:tcPr>
            <w:tcW w:w="1120" w:type="dxa"/>
            <w:vAlign w:val="bottom"/>
            <w:tcBorders>
              <w:bottom w:val="single" w:sz="8" w:color="9D9D9C"/>
            </w:tcBorders>
          </w:tcPr>
          <w:p>
            <w:pPr>
              <w:spacing w:after="0"/>
              <w:rPr>
                <w:sz w:val="2"/>
                <w:szCs w:val="2"/>
                <w:color w:val="auto"/>
              </w:rPr>
            </w:pPr>
          </w:p>
        </w:tc>
        <w:tc>
          <w:tcPr>
            <w:tcW w:w="1080" w:type="dxa"/>
            <w:vAlign w:val="bottom"/>
            <w:tcBorders>
              <w:bottom w:val="single" w:sz="8" w:color="9D9D9C"/>
            </w:tcBorders>
          </w:tcPr>
          <w:p>
            <w:pPr>
              <w:spacing w:after="0"/>
              <w:rPr>
                <w:sz w:val="2"/>
                <w:szCs w:val="2"/>
                <w:color w:val="auto"/>
              </w:rPr>
            </w:pPr>
          </w:p>
        </w:tc>
      </w:tr>
    </w:tbl>
    <w:p>
      <w:pPr>
        <w:spacing w:after="0" w:line="113" w:lineRule="exact"/>
        <w:rPr>
          <w:sz w:val="20"/>
          <w:szCs w:val="20"/>
          <w:color w:val="auto"/>
        </w:rPr>
      </w:pPr>
    </w:p>
    <w:p>
      <w:pPr>
        <w:ind w:left="240" w:hanging="232"/>
        <w:spacing w:after="0"/>
        <w:tabs>
          <w:tab w:leader="none" w:pos="240" w:val="left"/>
        </w:tabs>
        <w:numPr>
          <w:ilvl w:val="0"/>
          <w:numId w:val="99"/>
        </w:numPr>
        <w:rPr>
          <w:rFonts w:ascii="Calibri" w:cs="Calibri" w:eastAsia="Calibri" w:hAnsi="Calibri"/>
          <w:sz w:val="19"/>
          <w:szCs w:val="19"/>
          <w:color w:val="auto"/>
          <w:vertAlign w:val="superscript"/>
        </w:rPr>
      </w:pPr>
      <w:r>
        <w:rPr>
          <w:rFonts w:ascii="Calibri" w:cs="Calibri" w:eastAsia="Calibri" w:hAnsi="Calibri"/>
          <w:sz w:val="14"/>
          <w:szCs w:val="14"/>
          <w:color w:val="auto"/>
        </w:rPr>
        <w:t>Refects S&amp;P Aerospace &amp; Defense Index.</w:t>
      </w:r>
    </w:p>
    <w:p>
      <w:pPr>
        <w:spacing w:after="0" w:line="39" w:lineRule="exact"/>
        <w:rPr>
          <w:rFonts w:ascii="Calibri" w:cs="Calibri" w:eastAsia="Calibri" w:hAnsi="Calibri"/>
          <w:sz w:val="19"/>
          <w:szCs w:val="19"/>
          <w:color w:val="auto"/>
          <w:vertAlign w:val="superscript"/>
        </w:rPr>
      </w:pPr>
    </w:p>
    <w:p>
      <w:pPr>
        <w:ind w:left="240" w:hanging="232"/>
        <w:spacing w:after="0" w:line="210" w:lineRule="auto"/>
        <w:tabs>
          <w:tab w:leader="none" w:pos="240" w:val="left"/>
        </w:tabs>
        <w:numPr>
          <w:ilvl w:val="0"/>
          <w:numId w:val="99"/>
        </w:numPr>
        <w:rPr>
          <w:rFonts w:ascii="Calibri" w:cs="Calibri" w:eastAsia="Calibri" w:hAnsi="Calibri"/>
          <w:sz w:val="19"/>
          <w:szCs w:val="19"/>
          <w:color w:val="auto"/>
          <w:vertAlign w:val="superscript"/>
        </w:rPr>
      </w:pPr>
      <w:r>
        <w:rPr>
          <w:rFonts w:ascii="Calibri" w:cs="Calibri" w:eastAsia="Calibri" w:hAnsi="Calibri"/>
          <w:sz w:val="14"/>
          <w:szCs w:val="14"/>
          <w:color w:val="auto"/>
        </w:rPr>
        <w:t>“Net income” is equivalent to “Net earnings” as reported in the Company’s fnancial statements.</w:t>
      </w:r>
    </w:p>
    <w:p>
      <w:pPr>
        <w:spacing w:after="0" w:line="73" w:lineRule="exact"/>
        <w:rPr>
          <w:rFonts w:ascii="Calibri" w:cs="Calibri" w:eastAsia="Calibri" w:hAnsi="Calibri"/>
          <w:sz w:val="19"/>
          <w:szCs w:val="19"/>
          <w:color w:val="auto"/>
          <w:vertAlign w:val="superscript"/>
        </w:rPr>
      </w:pPr>
    </w:p>
    <w:p>
      <w:pPr>
        <w:jc w:val="both"/>
        <w:ind w:left="260" w:right="100" w:hanging="252"/>
        <w:spacing w:after="0" w:line="213" w:lineRule="auto"/>
        <w:tabs>
          <w:tab w:leader="none" w:pos="256" w:val="left"/>
        </w:tabs>
        <w:numPr>
          <w:ilvl w:val="0"/>
          <w:numId w:val="99"/>
        </w:numPr>
        <w:rPr>
          <w:rFonts w:ascii="Calibri" w:cs="Calibri" w:eastAsia="Calibri" w:hAnsi="Calibri"/>
          <w:sz w:val="19"/>
          <w:szCs w:val="19"/>
          <w:color w:val="auto"/>
          <w:vertAlign w:val="superscript"/>
        </w:rPr>
      </w:pPr>
      <w:r>
        <w:rPr>
          <w:rFonts w:ascii="Calibri" w:cs="Calibri" w:eastAsia="Calibri" w:hAnsi="Calibri"/>
          <w:sz w:val="14"/>
          <w:szCs w:val="14"/>
          <w:color w:val="auto"/>
        </w:rPr>
        <w:t>SEC rules require us to designate a “company-selected measure” that in our assessment represents the most important fnancial performance measure (that is not total shareholder return or net income) used by the Company to link the CAP of our NEOs, for the most recently completed fscal year, to our performance. We selected Free Cash Flow as this measure for 2022 as</w:t>
      </w:r>
    </w:p>
    <w:p>
      <w:pPr>
        <w:spacing w:after="0" w:line="20" w:lineRule="exact"/>
        <w:rPr>
          <w:rFonts w:ascii="Calibri" w:cs="Calibri" w:eastAsia="Calibri" w:hAnsi="Calibri"/>
          <w:sz w:val="19"/>
          <w:szCs w:val="19"/>
          <w:color w:val="auto"/>
          <w:vertAlign w:val="superscript"/>
        </w:rPr>
      </w:pPr>
    </w:p>
    <w:p>
      <w:pPr>
        <w:ind w:left="260" w:right="40"/>
        <w:spacing w:after="0" w:line="255"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refected in column (i) in the frst table above. Free Cash Flow is a non-GAAP measure and is defned as cash from operatons less capital expenditures. See Appendix A for more informaton on Free Cash Flow and how it is calculated. This performance measure may not have been the most important fnancial performance measure for years 2021 and 2020 and we may determine a diferent fnancial performance measure to be the most important fnancial performance measure in future years.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818EB4"/>
        </w:rPr>
        <w:t>Relationship Between CAP and Cumulative TSR, Net Income and Free Cash Flow</w:t>
      </w:r>
    </w:p>
    <w:p>
      <w:pPr>
        <w:spacing w:after="0" w:line="111" w:lineRule="exact"/>
        <w:rPr>
          <w:sz w:val="20"/>
          <w:szCs w:val="20"/>
          <w:color w:val="auto"/>
        </w:rPr>
      </w:pPr>
    </w:p>
    <w:p>
      <w:pPr>
        <w:ind w:right="100"/>
        <w:spacing w:after="0" w:line="258" w:lineRule="auto"/>
        <w:rPr>
          <w:sz w:val="20"/>
          <w:szCs w:val="20"/>
          <w:color w:val="auto"/>
        </w:rPr>
      </w:pPr>
      <w:r>
        <w:rPr>
          <w:rFonts w:ascii="Calibri" w:cs="Calibri" w:eastAsia="Calibri" w:hAnsi="Calibri"/>
          <w:sz w:val="17"/>
          <w:szCs w:val="17"/>
          <w:color w:val="auto"/>
        </w:rPr>
        <w:t>The following chart sets forth the relatonship between CAP for our PEOs, the CAP average for our other NEOs, and our cumulatve total shareholder returns during the three most recently completed years. As illustrated, CAP generally correlates with our total shareholder returns as the majority of executve compensaton is delivered through long-term incentves, the value of which is largely dependent on total shareholder return, including changes to our stock price. Additonally, our forecasted performance factor for our unvested Performance Stock Units granted over the last three years increased signifcantly primarily due to the improvement in our Relatve TSR performance (weighted 50%) from 2021 to 2022. The stockholder return performance indicated on the graph below is not a guarantee of future performance.</w:t>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9" w:name="page80"/>
    <w:bookmarkEnd w:id="79"/>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372745</wp:posOffset>
            </wp:positionV>
            <wp:extent cx="4903470" cy="15773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90347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spacing w:after="0" w:line="252" w:lineRule="auto"/>
        <w:rPr>
          <w:sz w:val="20"/>
          <w:szCs w:val="20"/>
          <w:color w:val="auto"/>
        </w:rPr>
      </w:pPr>
      <w:r>
        <w:rPr>
          <w:rFonts w:ascii="Calibri" w:cs="Calibri" w:eastAsia="Calibri" w:hAnsi="Calibri"/>
          <w:sz w:val="17"/>
          <w:szCs w:val="17"/>
          <w:color w:val="auto"/>
        </w:rPr>
        <w:t>Net Income and Free Cash Flow are also important components of our executve compensaton incentve plans. Free Cash Flow is incorporated in both our annual and long-term incentve plans, while Net Income is part of the formula for our ROIC calculaton in our long-term incentve program. While Net Income and Free Cash Flow are key fnancial measures that can also afect our TSRs, they do not have as strong of a relaton to CAP given that the methodology in determining CAP is primarily based on changes to equity-based award values ted to our annual stock price performance. As an example, both Net Income and Free Cash Flow decreased, while our TSR increased signifcantly from 2021 to 2022 resultng in an increase in CAP.</w:t>
      </w:r>
    </w:p>
    <w:p>
      <w:pPr>
        <w:spacing w:after="0" w:line="126" w:lineRule="exact"/>
        <w:rPr>
          <w:sz w:val="20"/>
          <w:szCs w:val="20"/>
          <w:color w:val="auto"/>
        </w:rPr>
      </w:pPr>
    </w:p>
    <w:p>
      <w:pPr>
        <w:spacing w:after="0" w:line="255" w:lineRule="auto"/>
        <w:rPr>
          <w:sz w:val="20"/>
          <w:szCs w:val="20"/>
          <w:color w:val="auto"/>
        </w:rPr>
      </w:pPr>
      <w:r>
        <w:rPr>
          <w:rFonts w:ascii="Calibri" w:cs="Calibri" w:eastAsia="Calibri" w:hAnsi="Calibri"/>
          <w:sz w:val="17"/>
          <w:szCs w:val="17"/>
          <w:color w:val="auto"/>
        </w:rPr>
        <w:t>As shown in the Pay versus Performance table on page 72 above, CAP decreased from 2020 to 2021 and increased from 2021 to 2022, while Net Income decreased from 2020 to 2021 and 2021 to 2022 and Free Cash Flow increased from 2020 to 2021 and decreased from 2021 to 2022. See “2022 Compensaton Elements” in “Compensaton Discussion and Analysis” for more informaton on the contributon of these measures to 2022 incentve awards.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818EB4"/>
        </w:rPr>
        <w:t>Stockholder Returns Versus Peer Group</w:t>
      </w:r>
    </w:p>
    <w:p>
      <w:pPr>
        <w:spacing w:after="0" w:line="111" w:lineRule="exact"/>
        <w:rPr>
          <w:sz w:val="20"/>
          <w:szCs w:val="20"/>
          <w:color w:val="auto"/>
        </w:rPr>
      </w:pPr>
    </w:p>
    <w:p>
      <w:pPr>
        <w:ind w:right="200"/>
        <w:spacing w:after="0" w:line="256" w:lineRule="auto"/>
        <w:rPr>
          <w:sz w:val="20"/>
          <w:szCs w:val="20"/>
          <w:color w:val="auto"/>
        </w:rPr>
      </w:pPr>
      <w:r>
        <w:rPr>
          <w:rFonts w:ascii="Calibri" w:cs="Calibri" w:eastAsia="Calibri" w:hAnsi="Calibri"/>
          <w:sz w:val="17"/>
          <w:szCs w:val="17"/>
          <w:color w:val="auto"/>
        </w:rPr>
        <w:t>For purposes of the Pay Versus Performance disclosure, we measure our TSR performance against the industry-focused index disclosed in the stock performance graph of our Annual Report on Form 10-K. The comparison assumes $100 was invested in the Company and in the S&amp;P Aerospace &amp; Defense Index for the period startng December 31, 2019 and was held through the end of each year listed in the frst table set forth above. All dollar values assume reinvestment of dividends paid by companies, where applicable, included in the S&amp;P Aerospace &amp; Defense Index. Historical stock performance is not necessarily indicatve of future stock performance.</w:t>
      </w:r>
    </w:p>
    <w:p>
      <w:pPr>
        <w:spacing w:after="0" w:line="118" w:lineRule="exact"/>
        <w:rPr>
          <w:sz w:val="20"/>
          <w:szCs w:val="20"/>
          <w:color w:val="auto"/>
        </w:rPr>
      </w:pPr>
    </w:p>
    <w:p>
      <w:pPr>
        <w:spacing w:after="0"/>
        <w:rPr>
          <w:sz w:val="20"/>
          <w:szCs w:val="20"/>
          <w:color w:val="auto"/>
        </w:rPr>
      </w:pPr>
      <w:r>
        <w:rPr>
          <w:rFonts w:ascii="Calibri" w:cs="Calibri" w:eastAsia="Calibri" w:hAnsi="Calibri"/>
          <w:sz w:val="17"/>
          <w:szCs w:val="17"/>
          <w:color w:val="auto"/>
        </w:rPr>
        <w:t>This table does not refect how the Compensaton Commitee considers TSR in setng executve pay or linking executve pay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84455</wp:posOffset>
            </wp:positionV>
            <wp:extent cx="3789045" cy="16198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789045" cy="161988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818EB4"/>
        </w:rPr>
        <w:t>Other Most Important Performance Measures</w:t>
      </w:r>
    </w:p>
    <w:p>
      <w:pPr>
        <w:spacing w:after="0" w:line="178" w:lineRule="exact"/>
        <w:rPr>
          <w:sz w:val="20"/>
          <w:szCs w:val="20"/>
          <w:color w:val="auto"/>
        </w:rPr>
      </w:pPr>
    </w:p>
    <w:p>
      <w:pPr>
        <w:ind w:left="20" w:right="880"/>
        <w:spacing w:after="0" w:line="256" w:lineRule="auto"/>
        <w:rPr>
          <w:sz w:val="20"/>
          <w:szCs w:val="20"/>
          <w:color w:val="auto"/>
        </w:rPr>
      </w:pPr>
      <w:r>
        <w:rPr>
          <w:rFonts w:ascii="Calibri" w:cs="Calibri" w:eastAsia="Calibri" w:hAnsi="Calibri"/>
          <w:sz w:val="17"/>
          <w:szCs w:val="17"/>
          <w:color w:val="auto"/>
        </w:rPr>
        <w:t>The table to the right lists what in the Company’s assessment are the most important fnancial performance measures used by the Company to link the CAP of our NEOs for 2022 to Company performance. The measures in the table are not ranked. See the Compensaton Discussion and Analysis and Appendix A for more informaton on ROIC, Segment Operatng Proft and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582930</wp:posOffset>
            </wp:positionV>
            <wp:extent cx="1071880" cy="1803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0"/>
        <w:spacing w:after="0"/>
        <w:rPr>
          <w:sz w:val="20"/>
          <w:szCs w:val="20"/>
          <w:color w:val="auto"/>
        </w:rPr>
      </w:pPr>
      <w:r>
        <w:rPr>
          <w:rFonts w:ascii="Arial" w:cs="Arial" w:eastAsia="Arial" w:hAnsi="Arial"/>
          <w:sz w:val="12"/>
          <w:szCs w:val="12"/>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-204470</wp:posOffset>
            </wp:positionV>
            <wp:extent cx="1654175" cy="2400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654175" cy="240030"/>
                    </a:xfrm>
                    <a:prstGeom prst="rect">
                      <a:avLst/>
                    </a:prstGeom>
                    <a:noFill/>
                  </pic:spPr>
                </pic:pic>
              </a:graphicData>
            </a:graphic>
          </wp:anchor>
        </w:drawing>
      </w:r>
    </w:p>
    <w:p>
      <w:pPr>
        <w:spacing w:after="0" w:line="34" w:lineRule="exact"/>
        <w:rPr>
          <w:sz w:val="20"/>
          <w:szCs w:val="20"/>
          <w:color w:val="auto"/>
        </w:rPr>
      </w:pPr>
    </w:p>
    <w:p>
      <w:pPr>
        <w:jc w:val="center"/>
        <w:ind w:right="600"/>
        <w:spacing w:after="0"/>
        <w:rPr>
          <w:sz w:val="20"/>
          <w:szCs w:val="20"/>
          <w:color w:val="auto"/>
        </w:rPr>
      </w:pPr>
      <w:r>
        <w:rPr>
          <w:rFonts w:ascii="Calibri" w:cs="Calibri" w:eastAsia="Calibri" w:hAnsi="Calibri"/>
          <w:sz w:val="14"/>
          <w:szCs w:val="14"/>
          <w:color w:val="auto"/>
        </w:rPr>
        <w:t>Sales</w:t>
      </w:r>
    </w:p>
    <w:p>
      <w:pPr>
        <w:spacing w:after="0" w:line="45" w:lineRule="exact"/>
        <w:rPr>
          <w:sz w:val="20"/>
          <w:szCs w:val="20"/>
          <w:color w:val="auto"/>
        </w:rPr>
      </w:pPr>
    </w:p>
    <w:p>
      <w:pPr>
        <w:jc w:val="center"/>
        <w:ind w:right="600"/>
        <w:spacing w:after="0"/>
        <w:rPr>
          <w:sz w:val="20"/>
          <w:szCs w:val="20"/>
          <w:color w:val="auto"/>
        </w:rPr>
      </w:pPr>
      <w:r>
        <w:rPr>
          <w:rFonts w:ascii="Calibri" w:cs="Calibri" w:eastAsia="Calibri" w:hAnsi="Calibri"/>
          <w:sz w:val="14"/>
          <w:szCs w:val="14"/>
          <w:color w:val="auto"/>
        </w:rPr>
        <w:t>Segment Operatng Proft</w:t>
      </w:r>
    </w:p>
    <w:p>
      <w:pPr>
        <w:spacing w:after="0" w:line="45" w:lineRule="exact"/>
        <w:rPr>
          <w:sz w:val="20"/>
          <w:szCs w:val="20"/>
          <w:color w:val="auto"/>
        </w:rPr>
      </w:pPr>
    </w:p>
    <w:p>
      <w:pPr>
        <w:jc w:val="center"/>
        <w:ind w:right="600"/>
        <w:spacing w:after="0"/>
        <w:rPr>
          <w:sz w:val="20"/>
          <w:szCs w:val="20"/>
          <w:color w:val="auto"/>
        </w:rPr>
      </w:pPr>
      <w:r>
        <w:rPr>
          <w:rFonts w:ascii="Calibri" w:cs="Calibri" w:eastAsia="Calibri" w:hAnsi="Calibri"/>
          <w:sz w:val="14"/>
          <w:szCs w:val="14"/>
          <w:color w:val="auto"/>
        </w:rPr>
        <w:t>Free Cash Flow</w:t>
      </w:r>
    </w:p>
    <w:p>
      <w:pPr>
        <w:spacing w:after="0" w:line="45" w:lineRule="exact"/>
        <w:rPr>
          <w:sz w:val="20"/>
          <w:szCs w:val="20"/>
          <w:color w:val="auto"/>
        </w:rPr>
      </w:pPr>
    </w:p>
    <w:p>
      <w:pPr>
        <w:jc w:val="center"/>
        <w:ind w:right="600"/>
        <w:spacing w:after="0"/>
        <w:rPr>
          <w:sz w:val="20"/>
          <w:szCs w:val="20"/>
          <w:color w:val="auto"/>
        </w:rPr>
      </w:pPr>
      <w:r>
        <w:rPr>
          <w:rFonts w:ascii="Calibri" w:cs="Calibri" w:eastAsia="Calibri" w:hAnsi="Calibri"/>
          <w:sz w:val="14"/>
          <w:szCs w:val="14"/>
          <w:color w:val="auto"/>
        </w:rPr>
        <w:t>ROIC</w:t>
      </w:r>
    </w:p>
    <w:p>
      <w:pPr>
        <w:spacing w:after="0" w:line="45" w:lineRule="exact"/>
        <w:rPr>
          <w:sz w:val="20"/>
          <w:szCs w:val="20"/>
          <w:color w:val="auto"/>
        </w:rPr>
      </w:pPr>
    </w:p>
    <w:p>
      <w:pPr>
        <w:jc w:val="center"/>
        <w:ind w:right="600"/>
        <w:spacing w:after="0"/>
        <w:rPr>
          <w:sz w:val="20"/>
          <w:szCs w:val="20"/>
          <w:color w:val="auto"/>
        </w:rPr>
      </w:pPr>
      <w:r>
        <w:rPr>
          <w:rFonts w:ascii="Calibri" w:cs="Calibri" w:eastAsia="Calibri" w:hAnsi="Calibri"/>
          <w:sz w:val="14"/>
          <w:szCs w:val="14"/>
          <w:color w:val="auto"/>
        </w:rPr>
        <w:t>Relatve TSR</w:t>
      </w:r>
    </w:p>
    <w:p>
      <w:pPr>
        <w:spacing w:after="0" w:line="200" w:lineRule="exact"/>
        <w:rPr>
          <w:sz w:val="20"/>
          <w:szCs w:val="20"/>
          <w:color w:val="auto"/>
        </w:rPr>
      </w:pPr>
    </w:p>
    <w:p>
      <w:pPr>
        <w:sectPr>
          <w:pgSz w:w="11900" w:h="16838" w:orient="portrait"/>
          <w:cols w:equalWidth="0" w:num="2">
            <w:col w:w="7720" w:space="720"/>
            <w:col w:w="2780"/>
          </w:cols>
          <w:pgMar w:left="320" w:top="230" w:right="35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3"/>
          <w:szCs w:val="43"/>
          <w:color w:val="003478"/>
        </w:rPr>
        <w:t>Director Compensation</w:t>
      </w:r>
    </w:p>
    <w:p>
      <w:pPr>
        <w:spacing w:after="0" w:line="141" w:lineRule="exact"/>
        <w:rPr>
          <w:sz w:val="20"/>
          <w:szCs w:val="20"/>
          <w:color w:val="auto"/>
        </w:rPr>
      </w:pPr>
    </w:p>
    <w:p>
      <w:pPr>
        <w:ind w:right="40"/>
        <w:spacing w:after="0" w:line="253" w:lineRule="auto"/>
        <w:rPr>
          <w:sz w:val="20"/>
          <w:szCs w:val="20"/>
          <w:color w:val="auto"/>
        </w:rPr>
      </w:pPr>
      <w:r>
        <w:rPr>
          <w:rFonts w:ascii="Calibri" w:cs="Calibri" w:eastAsia="Calibri" w:hAnsi="Calibri"/>
          <w:sz w:val="17"/>
          <w:szCs w:val="17"/>
          <w:color w:val="auto"/>
        </w:rPr>
        <w:t>Director compensaton is an important tool used to atract and retain qualifed directors and to address the tme, efort, expertse and accountability required of actve Board membership. The Governance Commitee annually reviews publicly available data for the companies in the comparator group we use for benchmarking executve compensaton disclosed in the Compensaton Discussion and Analysis and makes recommendatons to the Board regarding compensaton for non-employee directors.</w:t>
      </w:r>
    </w:p>
    <w:p>
      <w:pPr>
        <w:spacing w:after="0" w:line="110"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Although the Governance Commitee reviews director compensaton annually, it has been the practce of the Governance Commitee to recommend changes no more frequently than every two years and when making changes to set compensaton above the median with the expectaton that compensaton will decline relatve to the median over the two year cycle. In 2022, Meridian, actng as independent compensaton consultant to the Governance Commitee, assisted in its review of director compensaton and best practces in director compensaton design, which had not changed since January 1, 2020. Based upon that review and the market data, at its September 2022 meetng, the Board increased the annual equity and cash retainers by $7,500 each and the commitee chair (except for the Compensaton Commitee) and independent Lead Director retainers by $5,000, each efectve January 1, 2023, as shown below. Equity is granted once annually and the cash retainers are paid in quarterly installments.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106680</wp:posOffset>
            </wp:positionV>
            <wp:extent cx="6223635" cy="17145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22363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Amounts shown above are annual amounts</w:t>
      </w: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color w:val="003478"/>
        </w:rPr>
        <w:t>Equity Compensation</w:t>
      </w:r>
    </w:p>
    <w:p>
      <w:pPr>
        <w:spacing w:after="0" w:line="144" w:lineRule="exact"/>
        <w:rPr>
          <w:sz w:val="20"/>
          <w:szCs w:val="20"/>
          <w:color w:val="auto"/>
        </w:rPr>
      </w:pPr>
    </w:p>
    <w:p>
      <w:pPr>
        <w:ind w:right="80"/>
        <w:spacing w:after="0" w:line="252" w:lineRule="auto"/>
        <w:rPr>
          <w:sz w:val="20"/>
          <w:szCs w:val="20"/>
          <w:color w:val="auto"/>
        </w:rPr>
      </w:pPr>
      <w:r>
        <w:rPr>
          <w:rFonts w:ascii="Calibri" w:cs="Calibri" w:eastAsia="Calibri" w:hAnsi="Calibri"/>
          <w:sz w:val="17"/>
          <w:szCs w:val="17"/>
          <w:color w:val="auto"/>
        </w:rPr>
        <w:t>The annual equity retainer is paid in stock units under the Lockheed Martn Corporaton Amended and Restated Directors Equity Plan (Directors Equity Plan). Except in certain circumstances, stock units vest 50 percent on June 30 and 50 percent on December 31 following the grant date. Stock units become fully vested upon a change in control or a director’s retrement, death or disability. Vested stock units are distributed upon a director’s terminaton of service, at the director’s electon, in whole shares of stock or in cash, in a lump sum or in up to 20 annual installments. Prior to distributon, a director has no votng, dividend or other rights with respect to the stock units, but is credited with additonal stock units representng dividend equivalents (converted to stock units based on the closing price of our stock on the dividend payment dates).</w:t>
      </w:r>
    </w:p>
    <w:p>
      <w:pPr>
        <w:spacing w:after="0" w:line="110" w:lineRule="exact"/>
        <w:rPr>
          <w:sz w:val="20"/>
          <w:szCs w:val="20"/>
          <w:color w:val="auto"/>
        </w:rPr>
      </w:pPr>
    </w:p>
    <w:p>
      <w:pPr>
        <w:ind w:right="80"/>
        <w:spacing w:after="0" w:line="253" w:lineRule="auto"/>
        <w:rPr>
          <w:sz w:val="20"/>
          <w:szCs w:val="20"/>
          <w:color w:val="auto"/>
        </w:rPr>
      </w:pPr>
      <w:r>
        <w:rPr>
          <w:rFonts w:ascii="Calibri" w:cs="Calibri" w:eastAsia="Calibri" w:hAnsi="Calibri"/>
          <w:sz w:val="17"/>
          <w:szCs w:val="17"/>
          <w:color w:val="auto"/>
        </w:rPr>
        <w:t>A director who has satsfed the Board’s stock ownership guidelines may elect to have their annual award of stock units (together with any dividend equivalents thereon) paid in a lump sum in whole shares of stock or in cash on the frst business day of April following vestng of the award. Any director who has not elected early payments or has not satsfed the stock ownership guidelines will have vested stock units paid (along with any accumulated dividend equivalents) upon terminaton or retrement from the Board.</w:t>
      </w:r>
    </w:p>
    <w:p>
      <w:pPr>
        <w:spacing w:after="0" w:line="110" w:lineRule="exact"/>
        <w:rPr>
          <w:sz w:val="20"/>
          <w:szCs w:val="20"/>
          <w:color w:val="auto"/>
        </w:rPr>
      </w:pPr>
    </w:p>
    <w:p>
      <w:pPr>
        <w:ind w:right="160"/>
        <w:spacing w:after="0" w:line="247" w:lineRule="auto"/>
        <w:rPr>
          <w:sz w:val="20"/>
          <w:szCs w:val="20"/>
          <w:color w:val="auto"/>
        </w:rPr>
      </w:pPr>
      <w:r>
        <w:rPr>
          <w:rFonts w:ascii="Calibri" w:cs="Calibri" w:eastAsia="Calibri" w:hAnsi="Calibri"/>
          <w:sz w:val="17"/>
          <w:szCs w:val="17"/>
          <w:color w:val="auto"/>
        </w:rPr>
        <w:t>Although the Directors Equity Plan authorizes the grant of stock units or stock optons, in June 2014, the Board approved a resoluton to the efect that each non-employee director would elect to receive the annual equity retainer in the form of stock units for each year beginning with 2015 and would not elect optons to purchase shares unless the Board resoluton is further amended or revoked.</w:t>
      </w:r>
    </w:p>
    <w:p>
      <w:pPr>
        <w:spacing w:after="0" w:line="110" w:lineRule="exact"/>
        <w:rPr>
          <w:sz w:val="20"/>
          <w:szCs w:val="20"/>
          <w:color w:val="auto"/>
        </w:rPr>
      </w:pPr>
    </w:p>
    <w:p>
      <w:pPr>
        <w:spacing w:after="0"/>
        <w:rPr>
          <w:sz w:val="20"/>
          <w:szCs w:val="20"/>
          <w:color w:val="auto"/>
        </w:rPr>
      </w:pPr>
      <w:r>
        <w:rPr>
          <w:rFonts w:ascii="Arial" w:cs="Arial" w:eastAsia="Arial" w:hAnsi="Arial"/>
          <w:sz w:val="29"/>
          <w:szCs w:val="29"/>
          <w:color w:val="003478"/>
        </w:rPr>
        <w:t>Deferred Compensation</w:t>
      </w:r>
    </w:p>
    <w:p>
      <w:pPr>
        <w:spacing w:after="0" w:line="76" w:lineRule="exact"/>
        <w:rPr>
          <w:sz w:val="20"/>
          <w:szCs w:val="20"/>
          <w:color w:val="auto"/>
        </w:rPr>
      </w:pPr>
    </w:p>
    <w:p>
      <w:pPr>
        <w:jc w:val="both"/>
        <w:ind w:right="200"/>
        <w:spacing w:after="0" w:line="253" w:lineRule="auto"/>
        <w:rPr>
          <w:sz w:val="20"/>
          <w:szCs w:val="20"/>
          <w:color w:val="auto"/>
        </w:rPr>
      </w:pPr>
      <w:r>
        <w:rPr>
          <w:rFonts w:ascii="Calibri" w:cs="Calibri" w:eastAsia="Calibri" w:hAnsi="Calibri"/>
          <w:sz w:val="17"/>
          <w:szCs w:val="17"/>
          <w:color w:val="auto"/>
        </w:rPr>
        <w:t>Non-employee directors may defer the cash porton of their fees under the Lockheed Martn Corporaton Directors Deferred Compensaton Plan (Directors Deferred Compensaton Plan). At the director’s electon, deferred amounts track the performance of: (i) the investment optons available under the DMICP, the deferred compensaton plan for employees; or (ii) our common stock (with dividends reinvested). Deferred amounts are distributed in a lump sum or in up to 15 annual installments commencing at a tme designated by the director following terminaton of service.</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Director Compensation</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2022 Director Compensation Table</w:t>
      </w:r>
    </w:p>
    <w:p>
      <w:pPr>
        <w:spacing w:after="0" w:line="144" w:lineRule="exact"/>
        <w:rPr>
          <w:sz w:val="20"/>
          <w:szCs w:val="20"/>
          <w:color w:val="auto"/>
        </w:rPr>
      </w:pPr>
    </w:p>
    <w:p>
      <w:pPr>
        <w:ind w:right="540"/>
        <w:spacing w:after="0" w:line="245" w:lineRule="auto"/>
        <w:rPr>
          <w:sz w:val="20"/>
          <w:szCs w:val="20"/>
          <w:color w:val="auto"/>
        </w:rPr>
      </w:pPr>
      <w:r>
        <w:rPr>
          <w:rFonts w:ascii="Calibri" w:cs="Calibri" w:eastAsia="Calibri" w:hAnsi="Calibri"/>
          <w:sz w:val="17"/>
          <w:szCs w:val="17"/>
          <w:color w:val="auto"/>
        </w:rPr>
        <w:t>The following table provides informaton on the compensaton of our directors for the fscal year ended December 31, 2022. Mr. Taiclet did not receive separate compensaton for service as a director of the Company during 2022.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0" w:type="dxa"/>
            <w:vAlign w:val="bottom"/>
            <w:shd w:val="clear" w:color="auto" w:fill="E5E7EF"/>
          </w:tcPr>
          <w:p>
            <w:pPr>
              <w:spacing w:after="0"/>
              <w:rPr>
                <w:sz w:val="13"/>
                <w:szCs w:val="13"/>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Fees Earned or</w:t>
            </w:r>
          </w:p>
        </w:tc>
        <w:tc>
          <w:tcPr>
            <w:tcW w:w="1160" w:type="dxa"/>
            <w:vAlign w:val="bottom"/>
            <w:shd w:val="clear" w:color="auto" w:fill="E5E7EF"/>
          </w:tcPr>
          <w:p>
            <w:pPr>
              <w:spacing w:after="0"/>
              <w:rPr>
                <w:sz w:val="13"/>
                <w:szCs w:val="13"/>
                <w:color w:val="auto"/>
              </w:rPr>
            </w:pPr>
          </w:p>
        </w:tc>
        <w:tc>
          <w:tcPr>
            <w:tcW w:w="1520" w:type="dxa"/>
            <w:vAlign w:val="bottom"/>
            <w:shd w:val="clear" w:color="auto" w:fill="E5E7EF"/>
          </w:tcPr>
          <w:p>
            <w:pPr>
              <w:jc w:val="right"/>
              <w:ind w:right="230"/>
              <w:spacing w:after="0"/>
              <w:rPr>
                <w:sz w:val="20"/>
                <w:szCs w:val="20"/>
                <w:color w:val="auto"/>
              </w:rPr>
            </w:pPr>
            <w:r>
              <w:rPr>
                <w:rFonts w:ascii="Arial" w:cs="Arial" w:eastAsia="Arial" w:hAnsi="Arial"/>
                <w:sz w:val="13"/>
                <w:szCs w:val="13"/>
                <w:color w:val="auto"/>
              </w:rPr>
              <w:t>All Other</w:t>
            </w:r>
          </w:p>
        </w:tc>
        <w:tc>
          <w:tcPr>
            <w:tcW w:w="800" w:type="dxa"/>
            <w:vAlign w:val="bottom"/>
            <w:shd w:val="clear" w:color="auto" w:fill="E5E7EF"/>
          </w:tcPr>
          <w:p>
            <w:pPr>
              <w:spacing w:after="0"/>
              <w:rPr>
                <w:sz w:val="13"/>
                <w:szCs w:val="13"/>
                <w:color w:val="auto"/>
              </w:rPr>
            </w:pPr>
          </w:p>
        </w:tc>
      </w:tr>
      <w:tr>
        <w:trPr>
          <w:trHeight w:val="204"/>
        </w:trPr>
        <w:tc>
          <w:tcPr>
            <w:tcW w:w="6400" w:type="dxa"/>
            <w:vAlign w:val="bottom"/>
            <w:shd w:val="clear" w:color="auto" w:fill="E5E7EF"/>
          </w:tcPr>
          <w:p>
            <w:pPr>
              <w:spacing w:after="0"/>
              <w:rPr>
                <w:sz w:val="17"/>
                <w:szCs w:val="17"/>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Paid in Cash</w:t>
            </w:r>
            <w:r>
              <w:rPr>
                <w:rFonts w:ascii="Arial" w:cs="Arial" w:eastAsia="Arial" w:hAnsi="Arial"/>
                <w:sz w:val="16"/>
                <w:szCs w:val="16"/>
                <w:color w:val="auto"/>
                <w:vertAlign w:val="superscript"/>
              </w:rPr>
              <w:t>(1)</w:t>
            </w:r>
          </w:p>
        </w:tc>
        <w:tc>
          <w:tcPr>
            <w:tcW w:w="11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Stock Awards</w:t>
            </w:r>
            <w:r>
              <w:rPr>
                <w:rFonts w:ascii="Arial" w:cs="Arial" w:eastAsia="Arial" w:hAnsi="Arial"/>
                <w:sz w:val="16"/>
                <w:szCs w:val="16"/>
                <w:color w:val="auto"/>
                <w:vertAlign w:val="superscript"/>
              </w:rPr>
              <w:t>(2)</w:t>
            </w:r>
          </w:p>
        </w:tc>
        <w:tc>
          <w:tcPr>
            <w:tcW w:w="1520" w:type="dxa"/>
            <w:vAlign w:val="bottom"/>
            <w:shd w:val="clear" w:color="auto" w:fill="E5E7EF"/>
          </w:tcPr>
          <w:p>
            <w:pPr>
              <w:jc w:val="right"/>
              <w:ind w:right="230"/>
              <w:spacing w:after="0"/>
              <w:rPr>
                <w:sz w:val="20"/>
                <w:szCs w:val="20"/>
                <w:color w:val="auto"/>
              </w:rPr>
            </w:pPr>
            <w:r>
              <w:rPr>
                <w:rFonts w:ascii="Arial" w:cs="Arial" w:eastAsia="Arial" w:hAnsi="Arial"/>
                <w:sz w:val="13"/>
                <w:szCs w:val="13"/>
                <w:color w:val="auto"/>
              </w:rPr>
              <w:t>Compensation</w:t>
            </w:r>
            <w:r>
              <w:rPr>
                <w:rFonts w:ascii="Arial" w:cs="Arial" w:eastAsia="Arial" w:hAnsi="Arial"/>
                <w:sz w:val="16"/>
                <w:szCs w:val="16"/>
                <w:color w:val="auto"/>
                <w:vertAlign w:val="superscript"/>
              </w:rPr>
              <w:t>(3)</w:t>
            </w:r>
          </w:p>
        </w:tc>
        <w:tc>
          <w:tcPr>
            <w:tcW w:w="8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Total</w:t>
            </w:r>
          </w:p>
        </w:tc>
      </w:tr>
      <w:tr>
        <w:trPr>
          <w:trHeight w:val="208"/>
        </w:trPr>
        <w:tc>
          <w:tcPr>
            <w:tcW w:w="640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3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E5E7EF"/>
            </w:tcBorders>
            <w:shd w:val="clear" w:color="auto" w:fill="E5E7EF"/>
          </w:tcPr>
          <w:p>
            <w:pPr>
              <w:jc w:val="right"/>
              <w:ind w:right="23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6400" w:type="dxa"/>
            <w:vAlign w:val="bottom"/>
            <w:tcBorders>
              <w:top w:val="single" w:sz="8" w:color="003478"/>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136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116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(c)</w:t>
            </w:r>
          </w:p>
        </w:tc>
        <w:tc>
          <w:tcPr>
            <w:tcW w:w="1520" w:type="dxa"/>
            <w:vAlign w:val="bottom"/>
            <w:tcBorders>
              <w:top w:val="single" w:sz="8" w:color="003478"/>
              <w:bottom w:val="single" w:sz="8" w:color="E5E7EF"/>
            </w:tcBorders>
            <w:shd w:val="clear" w:color="auto" w:fill="E5E7EF"/>
          </w:tcPr>
          <w:p>
            <w:pPr>
              <w:jc w:val="right"/>
              <w:ind w:right="230"/>
              <w:spacing w:after="0"/>
              <w:rPr>
                <w:sz w:val="20"/>
                <w:szCs w:val="20"/>
                <w:color w:val="auto"/>
              </w:rPr>
            </w:pPr>
            <w:r>
              <w:rPr>
                <w:rFonts w:ascii="Arial" w:cs="Arial" w:eastAsia="Arial" w:hAnsi="Arial"/>
                <w:sz w:val="13"/>
                <w:szCs w:val="13"/>
                <w:color w:val="auto"/>
              </w:rPr>
              <w:t>(g)</w:t>
            </w:r>
          </w:p>
        </w:tc>
        <w:tc>
          <w:tcPr>
            <w:tcW w:w="80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(h)</w:t>
            </w:r>
          </w:p>
        </w:tc>
      </w:tr>
      <w:tr>
        <w:trPr>
          <w:trHeight w:val="196"/>
        </w:trPr>
        <w:tc>
          <w:tcPr>
            <w:tcW w:w="6400" w:type="dxa"/>
            <w:vAlign w:val="bottom"/>
            <w:tcBorders>
              <w:top w:val="single" w:sz="8" w:color="003478"/>
            </w:tcBorders>
          </w:tcPr>
          <w:p>
            <w:pPr>
              <w:ind w:left="20"/>
              <w:spacing w:after="0" w:line="164" w:lineRule="exact"/>
              <w:rPr>
                <w:sz w:val="20"/>
                <w:szCs w:val="20"/>
                <w:color w:val="auto"/>
              </w:rPr>
            </w:pPr>
            <w:r>
              <w:rPr>
                <w:rFonts w:ascii="Calibri" w:cs="Calibri" w:eastAsia="Calibri" w:hAnsi="Calibri"/>
                <w:sz w:val="14"/>
                <w:szCs w:val="14"/>
                <w:b w:val="1"/>
                <w:bCs w:val="1"/>
                <w:color w:val="003478"/>
              </w:rPr>
              <w:t>Daniel F. Akerson</w:t>
            </w:r>
          </w:p>
        </w:tc>
        <w:tc>
          <w:tcPr>
            <w:tcW w:w="1360" w:type="dxa"/>
            <w:vAlign w:val="bottom"/>
            <w:tcBorders>
              <w:top w:val="single" w:sz="8" w:color="003478"/>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232,500</w:t>
            </w:r>
          </w:p>
        </w:tc>
        <w:tc>
          <w:tcPr>
            <w:tcW w:w="1160" w:type="dxa"/>
            <w:vAlign w:val="bottom"/>
            <w:tcBorders>
              <w:top w:val="single" w:sz="8" w:color="003478"/>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top w:val="single" w:sz="8" w:color="003478"/>
              <w:bottom w:val="single" w:sz="8" w:color="E5E7EF"/>
            </w:tcBorders>
            <w:shd w:val="clear" w:color="auto" w:fill="E5E7EF"/>
          </w:tcPr>
          <w:p>
            <w:pPr>
              <w:jc w:val="right"/>
              <w:ind w:right="230"/>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top w:val="single" w:sz="8" w:color="003478"/>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395,000</w:t>
            </w:r>
          </w:p>
        </w:tc>
      </w:tr>
      <w:tr>
        <w:trPr>
          <w:trHeight w:val="163"/>
        </w:trPr>
        <w:tc>
          <w:tcPr>
            <w:tcW w:w="640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b w:val="1"/>
                <w:bCs w:val="1"/>
                <w:color w:val="003478"/>
              </w:rPr>
              <w:t>David B. Burrit</w:t>
            </w:r>
          </w:p>
        </w:tc>
        <w:tc>
          <w:tcPr>
            <w:tcW w:w="13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1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top w:val="single" w:sz="8" w:color="939598"/>
            </w:tcBorders>
          </w:tcPr>
          <w:p>
            <w:pPr>
              <w:jc w:val="right"/>
              <w:ind w:right="230"/>
              <w:spacing w:after="0" w:line="164" w:lineRule="exact"/>
              <w:rPr>
                <w:sz w:val="20"/>
                <w:szCs w:val="20"/>
                <w:color w:val="auto"/>
              </w:rPr>
            </w:pPr>
            <w:r>
              <w:rPr>
                <w:rFonts w:ascii="Calibri" w:cs="Calibri" w:eastAsia="Calibri" w:hAnsi="Calibri"/>
                <w:sz w:val="14"/>
                <w:szCs w:val="14"/>
                <w:color w:val="auto"/>
              </w:rPr>
              <w:t>10,000</w:t>
            </w:r>
          </w:p>
        </w:tc>
        <w:tc>
          <w:tcPr>
            <w:tcW w:w="80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335,000</w:t>
            </w:r>
          </w:p>
        </w:tc>
      </w:tr>
      <w:tr>
        <w:trPr>
          <w:trHeight w:val="33"/>
        </w:trPr>
        <w:tc>
          <w:tcPr>
            <w:tcW w:w="64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r>
      <w:tr>
        <w:trPr>
          <w:trHeight w:val="196"/>
        </w:trPr>
        <w:tc>
          <w:tcPr>
            <w:tcW w:w="64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Bruce A. Carlson</w:t>
            </w:r>
          </w:p>
        </w:tc>
        <w:tc>
          <w:tcPr>
            <w:tcW w:w="13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1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bottom w:val="single" w:sz="8" w:color="E4E6EF"/>
            </w:tcBorders>
            <w:shd w:val="clear" w:color="auto" w:fill="E4E6EF"/>
          </w:tcPr>
          <w:p>
            <w:pPr>
              <w:jc w:val="right"/>
              <w:ind w:right="230"/>
              <w:spacing w:after="0" w:line="164" w:lineRule="exact"/>
              <w:rPr>
                <w:sz w:val="20"/>
                <w:szCs w:val="20"/>
                <w:color w:val="auto"/>
              </w:rPr>
            </w:pPr>
            <w:r>
              <w:rPr>
                <w:rFonts w:ascii="Calibri" w:cs="Calibri" w:eastAsia="Calibri" w:hAnsi="Calibri"/>
                <w:sz w:val="14"/>
                <w:szCs w:val="14"/>
                <w:color w:val="auto"/>
              </w:rPr>
              <w:t>59</w:t>
            </w:r>
          </w:p>
        </w:tc>
        <w:tc>
          <w:tcPr>
            <w:tcW w:w="8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325,059</w:t>
            </w:r>
          </w:p>
        </w:tc>
      </w:tr>
      <w:tr>
        <w:trPr>
          <w:trHeight w:val="163"/>
        </w:trPr>
        <w:tc>
          <w:tcPr>
            <w:tcW w:w="640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b w:val="1"/>
                <w:bCs w:val="1"/>
                <w:color w:val="003478"/>
              </w:rPr>
              <w:t>John M. Donovan</w:t>
            </w:r>
          </w:p>
        </w:tc>
        <w:tc>
          <w:tcPr>
            <w:tcW w:w="13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1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top w:val="single" w:sz="8" w:color="939598"/>
            </w:tcBorders>
          </w:tcPr>
          <w:p>
            <w:pPr>
              <w:jc w:val="right"/>
              <w:ind w:right="230"/>
              <w:spacing w:after="0" w:line="164" w:lineRule="exact"/>
              <w:rPr>
                <w:sz w:val="20"/>
                <w:szCs w:val="20"/>
                <w:color w:val="auto"/>
              </w:rPr>
            </w:pPr>
            <w:r>
              <w:rPr>
                <w:rFonts w:ascii="Calibri" w:cs="Calibri" w:eastAsia="Calibri" w:hAnsi="Calibri"/>
                <w:sz w:val="14"/>
                <w:szCs w:val="14"/>
                <w:color w:val="auto"/>
              </w:rPr>
              <w:t>1,000</w:t>
            </w:r>
          </w:p>
        </w:tc>
        <w:tc>
          <w:tcPr>
            <w:tcW w:w="80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326,000</w:t>
            </w:r>
          </w:p>
        </w:tc>
      </w:tr>
      <w:tr>
        <w:trPr>
          <w:trHeight w:val="33"/>
        </w:trPr>
        <w:tc>
          <w:tcPr>
            <w:tcW w:w="64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r>
      <w:tr>
        <w:trPr>
          <w:trHeight w:val="196"/>
        </w:trPr>
        <w:tc>
          <w:tcPr>
            <w:tcW w:w="64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Joseph F. Dunford, Jr.</w:t>
            </w:r>
          </w:p>
        </w:tc>
        <w:tc>
          <w:tcPr>
            <w:tcW w:w="13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1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bottom w:val="single" w:sz="8" w:color="E4E6EF"/>
            </w:tcBorders>
            <w:shd w:val="clear" w:color="auto" w:fill="E4E6EF"/>
          </w:tcPr>
          <w:p>
            <w:pPr>
              <w:jc w:val="right"/>
              <w:ind w:right="230"/>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325,000</w:t>
            </w:r>
          </w:p>
        </w:tc>
      </w:tr>
      <w:tr>
        <w:trPr>
          <w:trHeight w:val="163"/>
        </w:trPr>
        <w:tc>
          <w:tcPr>
            <w:tcW w:w="640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b w:val="1"/>
                <w:bCs w:val="1"/>
                <w:color w:val="003478"/>
              </w:rPr>
              <w:t>James O. Ellis, Jr.</w:t>
            </w:r>
          </w:p>
        </w:tc>
        <w:tc>
          <w:tcPr>
            <w:tcW w:w="13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182,500</w:t>
            </w:r>
          </w:p>
        </w:tc>
        <w:tc>
          <w:tcPr>
            <w:tcW w:w="11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top w:val="single" w:sz="8" w:color="939598"/>
            </w:tcBorders>
          </w:tcPr>
          <w:p>
            <w:pPr>
              <w:jc w:val="right"/>
              <w:ind w:right="230"/>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345,000</w:t>
            </w:r>
          </w:p>
        </w:tc>
      </w:tr>
      <w:tr>
        <w:trPr>
          <w:trHeight w:val="33"/>
        </w:trPr>
        <w:tc>
          <w:tcPr>
            <w:tcW w:w="64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r>
      <w:tr>
        <w:trPr>
          <w:trHeight w:val="196"/>
        </w:trPr>
        <w:tc>
          <w:tcPr>
            <w:tcW w:w="64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Thomas J. Falk</w:t>
            </w:r>
          </w:p>
        </w:tc>
        <w:tc>
          <w:tcPr>
            <w:tcW w:w="13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192,500</w:t>
            </w:r>
          </w:p>
        </w:tc>
        <w:tc>
          <w:tcPr>
            <w:tcW w:w="11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bottom w:val="single" w:sz="8" w:color="E4E6EF"/>
            </w:tcBorders>
            <w:shd w:val="clear" w:color="auto" w:fill="E4E6EF"/>
          </w:tcPr>
          <w:p>
            <w:pPr>
              <w:jc w:val="right"/>
              <w:ind w:right="230"/>
              <w:spacing w:after="0" w:line="164" w:lineRule="exact"/>
              <w:rPr>
                <w:sz w:val="20"/>
                <w:szCs w:val="20"/>
                <w:color w:val="auto"/>
              </w:rPr>
            </w:pPr>
            <w:r>
              <w:rPr>
                <w:rFonts w:ascii="Calibri" w:cs="Calibri" w:eastAsia="Calibri" w:hAnsi="Calibri"/>
                <w:sz w:val="14"/>
                <w:szCs w:val="14"/>
                <w:color w:val="auto"/>
              </w:rPr>
              <w:t>10,059</w:t>
            </w:r>
          </w:p>
        </w:tc>
        <w:tc>
          <w:tcPr>
            <w:tcW w:w="8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365,059</w:t>
            </w:r>
          </w:p>
        </w:tc>
      </w:tr>
      <w:tr>
        <w:trPr>
          <w:trHeight w:val="163"/>
        </w:trPr>
        <w:tc>
          <w:tcPr>
            <w:tcW w:w="640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b w:val="1"/>
                <w:bCs w:val="1"/>
                <w:color w:val="003478"/>
              </w:rPr>
              <w:t>Ilene S. Gordon</w:t>
            </w:r>
          </w:p>
        </w:tc>
        <w:tc>
          <w:tcPr>
            <w:tcW w:w="13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192,500</w:t>
            </w:r>
          </w:p>
        </w:tc>
        <w:tc>
          <w:tcPr>
            <w:tcW w:w="11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top w:val="single" w:sz="8" w:color="939598"/>
            </w:tcBorders>
          </w:tcPr>
          <w:p>
            <w:pPr>
              <w:jc w:val="right"/>
              <w:ind w:right="230"/>
              <w:spacing w:after="0" w:line="164" w:lineRule="exact"/>
              <w:rPr>
                <w:sz w:val="20"/>
                <w:szCs w:val="20"/>
                <w:color w:val="auto"/>
              </w:rPr>
            </w:pPr>
            <w:r>
              <w:rPr>
                <w:rFonts w:ascii="Calibri" w:cs="Calibri" w:eastAsia="Calibri" w:hAnsi="Calibri"/>
                <w:sz w:val="14"/>
                <w:szCs w:val="14"/>
                <w:color w:val="auto"/>
              </w:rPr>
              <w:t>12,000</w:t>
            </w:r>
          </w:p>
        </w:tc>
        <w:tc>
          <w:tcPr>
            <w:tcW w:w="80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367,000</w:t>
            </w:r>
          </w:p>
        </w:tc>
      </w:tr>
      <w:tr>
        <w:trPr>
          <w:trHeight w:val="33"/>
        </w:trPr>
        <w:tc>
          <w:tcPr>
            <w:tcW w:w="64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r>
      <w:tr>
        <w:trPr>
          <w:trHeight w:val="196"/>
        </w:trPr>
        <w:tc>
          <w:tcPr>
            <w:tcW w:w="64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Vicki A. Hollub</w:t>
            </w:r>
          </w:p>
        </w:tc>
        <w:tc>
          <w:tcPr>
            <w:tcW w:w="13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1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bottom w:val="single" w:sz="8" w:color="E4E6EF"/>
            </w:tcBorders>
            <w:shd w:val="clear" w:color="auto" w:fill="E4E6EF"/>
          </w:tcPr>
          <w:p>
            <w:pPr>
              <w:jc w:val="right"/>
              <w:ind w:right="230"/>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325,000</w:t>
            </w:r>
          </w:p>
        </w:tc>
      </w:tr>
      <w:tr>
        <w:trPr>
          <w:trHeight w:val="163"/>
        </w:trPr>
        <w:tc>
          <w:tcPr>
            <w:tcW w:w="640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b w:val="1"/>
                <w:bCs w:val="1"/>
                <w:color w:val="003478"/>
              </w:rPr>
              <w:t>Jeh C. Johnson</w:t>
            </w:r>
          </w:p>
        </w:tc>
        <w:tc>
          <w:tcPr>
            <w:tcW w:w="13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1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top w:val="single" w:sz="8" w:color="939598"/>
            </w:tcBorders>
          </w:tcPr>
          <w:p>
            <w:pPr>
              <w:jc w:val="right"/>
              <w:ind w:right="230"/>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325,000</w:t>
            </w:r>
          </w:p>
        </w:tc>
      </w:tr>
      <w:tr>
        <w:trPr>
          <w:trHeight w:val="33"/>
        </w:trPr>
        <w:tc>
          <w:tcPr>
            <w:tcW w:w="64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r>
      <w:tr>
        <w:trPr>
          <w:trHeight w:val="196"/>
        </w:trPr>
        <w:tc>
          <w:tcPr>
            <w:tcW w:w="64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Debra L. Reed-Klages</w:t>
            </w:r>
          </w:p>
        </w:tc>
        <w:tc>
          <w:tcPr>
            <w:tcW w:w="13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1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bottom w:val="single" w:sz="8" w:color="E4E6EF"/>
            </w:tcBorders>
            <w:shd w:val="clear" w:color="auto" w:fill="E4E6EF"/>
          </w:tcPr>
          <w:p>
            <w:pPr>
              <w:jc w:val="right"/>
              <w:ind w:right="230"/>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325,000</w:t>
            </w:r>
          </w:p>
        </w:tc>
      </w:tr>
      <w:tr>
        <w:trPr>
          <w:trHeight w:val="163"/>
        </w:trPr>
        <w:tc>
          <w:tcPr>
            <w:tcW w:w="6400" w:type="dxa"/>
            <w:vAlign w:val="bottom"/>
            <w:tcBorders>
              <w:top w:val="single" w:sz="8" w:color="939598"/>
            </w:tcBorders>
          </w:tcPr>
          <w:p>
            <w:pPr>
              <w:ind w:left="20"/>
              <w:spacing w:after="0" w:line="164" w:lineRule="exact"/>
              <w:rPr>
                <w:sz w:val="20"/>
                <w:szCs w:val="20"/>
                <w:color w:val="auto"/>
              </w:rPr>
            </w:pPr>
            <w:r>
              <w:rPr>
                <w:rFonts w:ascii="Calibri" w:cs="Calibri" w:eastAsia="Calibri" w:hAnsi="Calibri"/>
                <w:sz w:val="14"/>
                <w:szCs w:val="14"/>
                <w:b w:val="1"/>
                <w:bCs w:val="1"/>
                <w:color w:val="003478"/>
              </w:rPr>
              <w:t>Vincent R. Stewart*</w:t>
            </w:r>
          </w:p>
        </w:tc>
        <w:tc>
          <w:tcPr>
            <w:tcW w:w="13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75,000</w:t>
            </w:r>
          </w:p>
        </w:tc>
        <w:tc>
          <w:tcPr>
            <w:tcW w:w="116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67,708</w:t>
            </w:r>
          </w:p>
        </w:tc>
        <w:tc>
          <w:tcPr>
            <w:tcW w:w="1520" w:type="dxa"/>
            <w:vAlign w:val="bottom"/>
            <w:tcBorders>
              <w:top w:val="single" w:sz="8" w:color="939598"/>
            </w:tcBorders>
          </w:tcPr>
          <w:p>
            <w:pPr>
              <w:jc w:val="right"/>
              <w:ind w:right="230"/>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top w:val="single" w:sz="8" w:color="939598"/>
            </w:tcBorders>
          </w:tcPr>
          <w:p>
            <w:pPr>
              <w:jc w:val="right"/>
              <w:spacing w:after="0" w:line="164" w:lineRule="exact"/>
              <w:rPr>
                <w:sz w:val="20"/>
                <w:szCs w:val="20"/>
                <w:color w:val="auto"/>
              </w:rPr>
            </w:pPr>
            <w:r>
              <w:rPr>
                <w:rFonts w:ascii="Calibri" w:cs="Calibri" w:eastAsia="Calibri" w:hAnsi="Calibri"/>
                <w:sz w:val="14"/>
                <w:szCs w:val="14"/>
                <w:color w:val="auto"/>
              </w:rPr>
              <w:t>142,708</w:t>
            </w:r>
          </w:p>
        </w:tc>
      </w:tr>
      <w:tr>
        <w:trPr>
          <w:trHeight w:val="33"/>
        </w:trPr>
        <w:tc>
          <w:tcPr>
            <w:tcW w:w="6400" w:type="dxa"/>
            <w:vAlign w:val="bottom"/>
            <w:tcBorders>
              <w:bottom w:val="single" w:sz="8" w:color="939598"/>
            </w:tcBorders>
          </w:tcPr>
          <w:p>
            <w:pPr>
              <w:spacing w:after="0"/>
              <w:rPr>
                <w:sz w:val="2"/>
                <w:szCs w:val="2"/>
                <w:color w:val="auto"/>
              </w:rPr>
            </w:pPr>
          </w:p>
        </w:tc>
        <w:tc>
          <w:tcPr>
            <w:tcW w:w="136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5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r>
      <w:tr>
        <w:trPr>
          <w:trHeight w:val="176"/>
        </w:trPr>
        <w:tc>
          <w:tcPr>
            <w:tcW w:w="640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003478"/>
              </w:rPr>
              <w:t>Patricia E. Yarrington</w:t>
            </w:r>
          </w:p>
        </w:tc>
        <w:tc>
          <w:tcPr>
            <w:tcW w:w="13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1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162,500</w:t>
            </w:r>
          </w:p>
        </w:tc>
        <w:tc>
          <w:tcPr>
            <w:tcW w:w="1520" w:type="dxa"/>
            <w:vAlign w:val="bottom"/>
            <w:tcBorders>
              <w:bottom w:val="single" w:sz="8" w:color="E4E6EF"/>
            </w:tcBorders>
            <w:shd w:val="clear" w:color="auto" w:fill="E4E6EF"/>
          </w:tcPr>
          <w:p>
            <w:pPr>
              <w:jc w:val="right"/>
              <w:ind w:right="230"/>
              <w:spacing w:after="0" w:line="164" w:lineRule="exact"/>
              <w:rPr>
                <w:sz w:val="20"/>
                <w:szCs w:val="20"/>
                <w:color w:val="auto"/>
              </w:rPr>
            </w:pPr>
            <w:r>
              <w:rPr>
                <w:rFonts w:ascii="Calibri" w:cs="Calibri" w:eastAsia="Calibri" w:hAnsi="Calibri"/>
                <w:sz w:val="14"/>
                <w:szCs w:val="14"/>
                <w:color w:val="auto"/>
              </w:rPr>
              <w:t>—</w:t>
            </w:r>
          </w:p>
        </w:tc>
        <w:tc>
          <w:tcPr>
            <w:tcW w:w="80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325,000</w:t>
            </w:r>
          </w:p>
        </w:tc>
      </w:tr>
      <w:tr>
        <w:trPr>
          <w:trHeight w:val="20"/>
        </w:trPr>
        <w:tc>
          <w:tcPr>
            <w:tcW w:w="6400" w:type="dxa"/>
            <w:vAlign w:val="bottom"/>
            <w:shd w:val="clear" w:color="auto" w:fill="959595"/>
          </w:tcPr>
          <w:p>
            <w:pPr>
              <w:spacing w:after="0" w:line="20" w:lineRule="exact"/>
              <w:rPr>
                <w:sz w:val="1"/>
                <w:szCs w:val="1"/>
                <w:color w:val="auto"/>
              </w:rPr>
            </w:pPr>
          </w:p>
        </w:tc>
        <w:tc>
          <w:tcPr>
            <w:tcW w:w="1360" w:type="dxa"/>
            <w:vAlign w:val="bottom"/>
            <w:shd w:val="clear" w:color="auto" w:fill="959595"/>
          </w:tcPr>
          <w:p>
            <w:pPr>
              <w:spacing w:after="0" w:line="20" w:lineRule="exact"/>
              <w:rPr>
                <w:sz w:val="1"/>
                <w:szCs w:val="1"/>
                <w:color w:val="auto"/>
              </w:rPr>
            </w:pPr>
          </w:p>
        </w:tc>
        <w:tc>
          <w:tcPr>
            <w:tcW w:w="1160" w:type="dxa"/>
            <w:vAlign w:val="bottom"/>
            <w:shd w:val="clear" w:color="auto" w:fill="959595"/>
          </w:tcPr>
          <w:p>
            <w:pPr>
              <w:spacing w:after="0" w:line="20" w:lineRule="exact"/>
              <w:rPr>
                <w:sz w:val="1"/>
                <w:szCs w:val="1"/>
                <w:color w:val="auto"/>
              </w:rPr>
            </w:pPr>
          </w:p>
        </w:tc>
        <w:tc>
          <w:tcPr>
            <w:tcW w:w="1520" w:type="dxa"/>
            <w:vAlign w:val="bottom"/>
            <w:shd w:val="clear" w:color="auto" w:fill="959595"/>
          </w:tcPr>
          <w:p>
            <w:pPr>
              <w:spacing w:after="0" w:line="20" w:lineRule="exact"/>
              <w:rPr>
                <w:sz w:val="1"/>
                <w:szCs w:val="1"/>
                <w:color w:val="auto"/>
              </w:rPr>
            </w:pPr>
          </w:p>
        </w:tc>
        <w:tc>
          <w:tcPr>
            <w:tcW w:w="800" w:type="dxa"/>
            <w:vAlign w:val="bottom"/>
            <w:shd w:val="clear" w:color="auto" w:fill="959595"/>
          </w:tcPr>
          <w:p>
            <w:pPr>
              <w:spacing w:after="0" w:line="20" w:lineRule="exact"/>
              <w:rPr>
                <w:sz w:val="1"/>
                <w:szCs w:val="1"/>
                <w:color w:val="auto"/>
              </w:rPr>
            </w:pPr>
          </w:p>
        </w:tc>
      </w:tr>
    </w:tbl>
    <w:p>
      <w:pPr>
        <w:spacing w:after="0" w:line="174" w:lineRule="exact"/>
        <w:rPr>
          <w:sz w:val="20"/>
          <w:szCs w:val="20"/>
          <w:color w:val="auto"/>
        </w:rPr>
      </w:pPr>
    </w:p>
    <w:p>
      <w:pPr>
        <w:ind w:left="260" w:hanging="252"/>
        <w:spacing w:after="0"/>
        <w:tabs>
          <w:tab w:leader="none" w:pos="260" w:val="left"/>
        </w:tabs>
        <w:numPr>
          <w:ilvl w:val="0"/>
          <w:numId w:val="100"/>
        </w:numPr>
        <w:rPr>
          <w:rFonts w:ascii="Calibri" w:cs="Calibri" w:eastAsia="Calibri" w:hAnsi="Calibri"/>
          <w:sz w:val="14"/>
          <w:szCs w:val="14"/>
          <w:color w:val="auto"/>
        </w:rPr>
      </w:pPr>
      <w:r>
        <w:rPr>
          <w:rFonts w:ascii="Calibri" w:cs="Calibri" w:eastAsia="Calibri" w:hAnsi="Calibri"/>
          <w:sz w:val="14"/>
          <w:szCs w:val="14"/>
          <w:color w:val="auto"/>
        </w:rPr>
        <w:t>Mr. Stewart joined the Board efectve July 15, 2022 and resigned efectve January 1, 2023.</w:t>
      </w:r>
    </w:p>
    <w:p>
      <w:pPr>
        <w:spacing w:after="0" w:line="73" w:lineRule="exact"/>
        <w:rPr>
          <w:sz w:val="20"/>
          <w:szCs w:val="20"/>
          <w:color w:val="auto"/>
        </w:rPr>
      </w:pPr>
    </w:p>
    <w:p>
      <w:pPr>
        <w:ind w:left="260" w:right="360" w:hanging="252"/>
        <w:spacing w:after="0" w:line="213" w:lineRule="auto"/>
        <w:tabs>
          <w:tab w:leader="none" w:pos="256" w:val="left"/>
        </w:tabs>
        <w:numPr>
          <w:ilvl w:val="0"/>
          <w:numId w:val="101"/>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The amounts reported in the </w:t>
      </w:r>
      <w:r>
        <w:rPr>
          <w:rFonts w:ascii="Calibri" w:cs="Calibri" w:eastAsia="Calibri" w:hAnsi="Calibri"/>
          <w:sz w:val="14"/>
          <w:szCs w:val="14"/>
          <w:b w:val="1"/>
          <w:bCs w:val="1"/>
          <w:color w:val="auto"/>
        </w:rPr>
        <w:t>Fees Earned or Paid in Cash</w:t>
      </w:r>
      <w:r>
        <w:rPr>
          <w:rFonts w:ascii="Calibri" w:cs="Calibri" w:eastAsia="Calibri" w:hAnsi="Calibri"/>
          <w:sz w:val="14"/>
          <w:szCs w:val="14"/>
          <w:color w:val="auto"/>
        </w:rPr>
        <w:t xml:space="preserve"> column represent the aggregate dollar amount of 2022 fees earned or paid in cash for services as a director, including annual retainer, commitee chairman retainer and independent Lead Director retainer.</w:t>
      </w:r>
    </w:p>
    <w:p>
      <w:pPr>
        <w:spacing w:after="0" w:line="74" w:lineRule="exact"/>
        <w:rPr>
          <w:rFonts w:ascii="Calibri" w:cs="Calibri" w:eastAsia="Calibri" w:hAnsi="Calibri"/>
          <w:sz w:val="19"/>
          <w:szCs w:val="19"/>
          <w:color w:val="auto"/>
          <w:vertAlign w:val="superscript"/>
        </w:rPr>
      </w:pPr>
    </w:p>
    <w:p>
      <w:pPr>
        <w:ind w:left="260" w:hanging="252"/>
        <w:spacing w:after="0" w:line="233" w:lineRule="auto"/>
        <w:tabs>
          <w:tab w:leader="none" w:pos="256" w:val="left"/>
        </w:tabs>
        <w:numPr>
          <w:ilvl w:val="0"/>
          <w:numId w:val="101"/>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The amounts reported in the </w:t>
      </w:r>
      <w:r>
        <w:rPr>
          <w:rFonts w:ascii="Calibri" w:cs="Calibri" w:eastAsia="Calibri" w:hAnsi="Calibri"/>
          <w:sz w:val="14"/>
          <w:szCs w:val="14"/>
          <w:b w:val="1"/>
          <w:bCs w:val="1"/>
          <w:color w:val="auto"/>
        </w:rPr>
        <w:t>Stock Awards</w:t>
      </w:r>
      <w:r>
        <w:rPr>
          <w:rFonts w:ascii="Calibri" w:cs="Calibri" w:eastAsia="Calibri" w:hAnsi="Calibri"/>
          <w:sz w:val="14"/>
          <w:szCs w:val="14"/>
          <w:color w:val="auto"/>
        </w:rPr>
        <w:t xml:space="preserve"> column represent the aggregate grant date fair value computed in accordance with ASC 718 for awards of stock units in 2022 under the Directors Equity Plan. For 2022, each independent director except Mr. Stewart was credited with 417.5982 stock units with an aggregate grant date fair value of $162,500. The grant date fair value of these awards was the closing price of our stock ($389.13) on the date of the grant (January 31, 2022). Mr. Stewart was credited with 161.4872 stock units with an aggregate grant date fair value of $67,708. The grant date fair value of his award was $419.28 per share on the date of the grant (August 1, 2022).</w:t>
      </w:r>
    </w:p>
    <w:p>
      <w:pPr>
        <w:spacing w:after="0" w:line="73" w:lineRule="exact"/>
        <w:rPr>
          <w:rFonts w:ascii="Calibri" w:cs="Calibri" w:eastAsia="Calibri" w:hAnsi="Calibri"/>
          <w:sz w:val="19"/>
          <w:szCs w:val="19"/>
          <w:color w:val="auto"/>
          <w:vertAlign w:val="superscript"/>
        </w:rPr>
      </w:pPr>
    </w:p>
    <w:p>
      <w:pPr>
        <w:ind w:left="260" w:right="220" w:hanging="252"/>
        <w:spacing w:after="0" w:line="237" w:lineRule="auto"/>
        <w:tabs>
          <w:tab w:leader="none" w:pos="256" w:val="left"/>
        </w:tabs>
        <w:numPr>
          <w:ilvl w:val="0"/>
          <w:numId w:val="101"/>
        </w:numPr>
        <w:rPr>
          <w:rFonts w:ascii="Calibri" w:cs="Calibri" w:eastAsia="Calibri" w:hAnsi="Calibri"/>
          <w:sz w:val="19"/>
          <w:szCs w:val="19"/>
          <w:color w:val="auto"/>
          <w:vertAlign w:val="superscript"/>
        </w:rPr>
      </w:pPr>
      <w:r>
        <w:rPr>
          <w:rFonts w:ascii="Calibri" w:cs="Calibri" w:eastAsia="Calibri" w:hAnsi="Calibri"/>
          <w:sz w:val="14"/>
          <w:szCs w:val="14"/>
          <w:color w:val="auto"/>
        </w:rPr>
        <w:t xml:space="preserve">The </w:t>
      </w:r>
      <w:r>
        <w:rPr>
          <w:rFonts w:ascii="Calibri" w:cs="Calibri" w:eastAsia="Calibri" w:hAnsi="Calibri"/>
          <w:sz w:val="14"/>
          <w:szCs w:val="14"/>
          <w:b w:val="1"/>
          <w:bCs w:val="1"/>
          <w:color w:val="auto"/>
        </w:rPr>
        <w:t>All Other Compensaton</w:t>
      </w:r>
      <w:r>
        <w:rPr>
          <w:rFonts w:ascii="Calibri" w:cs="Calibri" w:eastAsia="Calibri" w:hAnsi="Calibri"/>
          <w:sz w:val="14"/>
          <w:szCs w:val="14"/>
          <w:color w:val="auto"/>
        </w:rPr>
        <w:t xml:space="preserve"> column includes matching contributons made to eligible universites, colleges, and other non-proft organizatons under the Company’s matching gif programs that are generally available to all employees as follows: Mr. Burrit $10,000; Mr. Donovan $1,000; Mr. Falk $10,000; and Ms. Gordon $12,000. In the case of Mr. Carlson and Mr. Falk, the All Other Compensaton column also includes $59 of tax assistance for tckets for a business-related event. Perquisites and other personal benefts provided to directors did not exceed $10,000 for any individual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305435</wp:posOffset>
            </wp:positionV>
            <wp:extent cx="1071880" cy="1803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2" w:name="page83"/>
    <w:bookmarkEnd w:id="82"/>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spacing w:after="0" w:line="286" w:lineRule="auto"/>
        <w:rPr>
          <w:sz w:val="20"/>
          <w:szCs w:val="20"/>
          <w:color w:val="auto"/>
        </w:rPr>
      </w:pPr>
      <w:r>
        <w:rPr>
          <w:rFonts w:ascii="Arial" w:cs="Arial" w:eastAsia="Arial" w:hAnsi="Arial"/>
          <w:sz w:val="43"/>
          <w:szCs w:val="43"/>
          <w:color w:val="003478"/>
        </w:rPr>
        <w:t>Security Ownership of Management and Certain Beneficial Owners</w:t>
      </w:r>
    </w:p>
    <w:p>
      <w:pPr>
        <w:spacing w:after="0" w:line="73" w:lineRule="exact"/>
        <w:rPr>
          <w:sz w:val="20"/>
          <w:szCs w:val="20"/>
          <w:color w:val="auto"/>
        </w:rPr>
      </w:pPr>
    </w:p>
    <w:p>
      <w:pPr>
        <w:spacing w:after="0"/>
        <w:rPr>
          <w:sz w:val="20"/>
          <w:szCs w:val="20"/>
          <w:color w:val="auto"/>
        </w:rPr>
      </w:pPr>
      <w:r>
        <w:rPr>
          <w:rFonts w:ascii="Arial" w:cs="Arial" w:eastAsia="Arial" w:hAnsi="Arial"/>
          <w:sz w:val="29"/>
          <w:szCs w:val="29"/>
          <w:color w:val="003478"/>
        </w:rPr>
        <w:t>Directors and Executive Officers</w:t>
      </w:r>
    </w:p>
    <w:p>
      <w:pPr>
        <w:spacing w:after="0" w:line="130" w:lineRule="exact"/>
        <w:rPr>
          <w:sz w:val="20"/>
          <w:szCs w:val="20"/>
          <w:color w:val="auto"/>
        </w:rPr>
      </w:pPr>
    </w:p>
    <w:p>
      <w:pPr>
        <w:ind w:right="40"/>
        <w:spacing w:after="0" w:line="256" w:lineRule="auto"/>
        <w:rPr>
          <w:sz w:val="20"/>
          <w:szCs w:val="20"/>
          <w:color w:val="auto"/>
        </w:rPr>
      </w:pPr>
      <w:r>
        <w:rPr>
          <w:rFonts w:ascii="Calibri" w:cs="Calibri" w:eastAsia="Calibri" w:hAnsi="Calibri"/>
          <w:sz w:val="17"/>
          <w:szCs w:val="17"/>
          <w:color w:val="auto"/>
        </w:rPr>
        <w:t>The following table shows Lockheed Martn common stock benefcially owned by and stock units credited to each NEO, director, nominee and all NEOs, directors, nominees and other executve ofcers as a group as of February 24, 2023. Except as otherwise noted, the named individuals have sole votng and investment power with respect to such securites. No director, nominee or NEO, individually or as a group, benefcially owned more than one percent of our outstanding common stock. All amounts are rounded to the nearest whole share and may cause totals not to sum. No shares have been pledged. The address of each director, nominee and executve ofcer is c/o Lockheed Martn Corporaton, 6801 Rockledge Drive, Bethesda, MD 20817.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Borders>
              <w:bottom w:val="single" w:sz="8" w:color="003478"/>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620" w:type="dxa"/>
            <w:vAlign w:val="bottom"/>
            <w:tcBorders>
              <w:bottom w:val="single" w:sz="8" w:color="003478"/>
            </w:tcBorders>
            <w:gridSpan w:val="2"/>
            <w:shd w:val="clear" w:color="auto" w:fill="E5E7EF"/>
          </w:tcPr>
          <w:p>
            <w:pPr>
              <w:jc w:val="right"/>
              <w:ind w:right="186"/>
              <w:spacing w:after="0"/>
              <w:rPr>
                <w:sz w:val="20"/>
                <w:szCs w:val="20"/>
                <w:color w:val="auto"/>
              </w:rPr>
            </w:pPr>
            <w:r>
              <w:rPr>
                <w:rFonts w:ascii="Arial" w:cs="Arial" w:eastAsia="Arial" w:hAnsi="Arial"/>
                <w:sz w:val="13"/>
                <w:szCs w:val="13"/>
                <w:color w:val="auto"/>
              </w:rPr>
              <w:t xml:space="preserve">Common Stock </w:t>
            </w:r>
            <w:r>
              <w:rPr>
                <w:rFonts w:ascii="Arial" w:cs="Arial" w:eastAsia="Arial" w:hAnsi="Arial"/>
                <w:sz w:val="16"/>
                <w:szCs w:val="16"/>
                <w:color w:val="auto"/>
                <w:vertAlign w:val="superscript"/>
              </w:rPr>
              <w:t>(1) (2)</w:t>
            </w:r>
          </w:p>
        </w:tc>
        <w:tc>
          <w:tcPr>
            <w:tcW w:w="1480" w:type="dxa"/>
            <w:vAlign w:val="bottom"/>
            <w:tcBorders>
              <w:bottom w:val="single" w:sz="8" w:color="003478"/>
            </w:tcBorders>
            <w:gridSpan w:val="2"/>
            <w:shd w:val="clear" w:color="auto" w:fill="E5E7EF"/>
          </w:tcPr>
          <w:p>
            <w:pPr>
              <w:ind w:left="220"/>
              <w:spacing w:after="0"/>
              <w:rPr>
                <w:sz w:val="20"/>
                <w:szCs w:val="20"/>
                <w:color w:val="auto"/>
              </w:rPr>
            </w:pPr>
            <w:r>
              <w:rPr>
                <w:rFonts w:ascii="Arial" w:cs="Arial" w:eastAsia="Arial" w:hAnsi="Arial"/>
                <w:sz w:val="13"/>
                <w:szCs w:val="13"/>
                <w:color w:val="auto"/>
              </w:rPr>
              <w:t xml:space="preserve">Stock Units </w:t>
            </w:r>
            <w:r>
              <w:rPr>
                <w:rFonts w:ascii="Arial" w:cs="Arial" w:eastAsia="Arial" w:hAnsi="Arial"/>
                <w:sz w:val="16"/>
                <w:szCs w:val="16"/>
                <w:color w:val="auto"/>
                <w:vertAlign w:val="superscript"/>
              </w:rPr>
              <w:t>(3)</w:t>
            </w:r>
          </w:p>
        </w:tc>
        <w:tc>
          <w:tcPr>
            <w:tcW w:w="780" w:type="dxa"/>
            <w:vAlign w:val="bottom"/>
            <w:tcBorders>
              <w:bottom w:val="single" w:sz="8" w:color="003478"/>
            </w:tcBorders>
            <w:shd w:val="clear" w:color="auto" w:fill="E5E7EF"/>
          </w:tcPr>
          <w:p>
            <w:pPr>
              <w:jc w:val="right"/>
              <w:spacing w:after="0"/>
              <w:rPr>
                <w:sz w:val="20"/>
                <w:szCs w:val="20"/>
                <w:color w:val="auto"/>
              </w:rPr>
            </w:pPr>
            <w:r>
              <w:rPr>
                <w:rFonts w:ascii="Arial" w:cs="Arial" w:eastAsia="Arial" w:hAnsi="Arial"/>
                <w:sz w:val="13"/>
                <w:szCs w:val="13"/>
                <w:color w:val="auto"/>
              </w:rPr>
              <w:t>Total</w:t>
            </w:r>
          </w:p>
        </w:tc>
      </w:tr>
      <w:tr>
        <w:trPr>
          <w:trHeight w:val="201"/>
        </w:trPr>
        <w:tc>
          <w:tcPr>
            <w:tcW w:w="7360" w:type="dxa"/>
            <w:vAlign w:val="bottom"/>
            <w:tcBorders>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b w:val="1"/>
                <w:bCs w:val="1"/>
                <w:color w:val="003478"/>
              </w:rPr>
              <w:t>Daniel F. Akerson</w:t>
            </w:r>
          </w:p>
        </w:tc>
        <w:tc>
          <w:tcPr>
            <w:tcW w:w="112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7,503</w:t>
            </w:r>
          </w:p>
        </w:tc>
        <w:tc>
          <w:tcPr>
            <w:tcW w:w="500" w:type="dxa"/>
            <w:vAlign w:val="bottom"/>
            <w:tcBorders>
              <w:bottom w:val="single" w:sz="8" w:color="E5E7EF"/>
            </w:tcBorders>
            <w:shd w:val="clear" w:color="auto" w:fill="E5E7EF"/>
          </w:tcPr>
          <w:p>
            <w:pPr>
              <w:jc w:val="right"/>
              <w:ind w:right="346"/>
              <w:spacing w:after="0" w:line="128" w:lineRule="exact"/>
              <w:rPr>
                <w:sz w:val="20"/>
                <w:szCs w:val="20"/>
                <w:color w:val="auto"/>
              </w:rPr>
            </w:pPr>
            <w:r>
              <w:rPr>
                <w:rFonts w:ascii="Calibri" w:cs="Calibri" w:eastAsia="Calibri" w:hAnsi="Calibri"/>
                <w:sz w:val="11"/>
                <w:szCs w:val="11"/>
                <w:color w:val="auto"/>
              </w:rPr>
              <w:t>4</w:t>
            </w:r>
          </w:p>
        </w:tc>
        <w:tc>
          <w:tcPr>
            <w:tcW w:w="8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6,014</w:t>
            </w:r>
          </w:p>
        </w:tc>
        <w:tc>
          <w:tcPr>
            <w:tcW w:w="62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7</w:t>
            </w:r>
          </w:p>
        </w:tc>
        <w:tc>
          <w:tcPr>
            <w:tcW w:w="78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13,517</w:t>
            </w:r>
          </w:p>
        </w:tc>
      </w:tr>
      <w:tr>
        <w:trPr>
          <w:trHeight w:val="163"/>
        </w:trPr>
        <w:tc>
          <w:tcPr>
            <w:tcW w:w="7360" w:type="dxa"/>
            <w:vAlign w:val="bottom"/>
            <w:tcBorders>
              <w:top w:val="single" w:sz="8" w:color="959595"/>
            </w:tcBorders>
          </w:tcPr>
          <w:p>
            <w:pPr>
              <w:ind w:left="20"/>
              <w:spacing w:after="0" w:line="164" w:lineRule="exact"/>
              <w:rPr>
                <w:sz w:val="20"/>
                <w:szCs w:val="20"/>
                <w:color w:val="auto"/>
              </w:rPr>
            </w:pPr>
            <w:r>
              <w:rPr>
                <w:rFonts w:ascii="Calibri" w:cs="Calibri" w:eastAsia="Calibri" w:hAnsi="Calibri"/>
                <w:sz w:val="14"/>
                <w:szCs w:val="14"/>
                <w:b w:val="1"/>
                <w:bCs w:val="1"/>
                <w:color w:val="003478"/>
              </w:rPr>
              <w:t>David B. Burrit</w:t>
            </w:r>
          </w:p>
        </w:tc>
        <w:tc>
          <w:tcPr>
            <w:tcW w:w="112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6,541</w:t>
            </w:r>
          </w:p>
        </w:tc>
        <w:tc>
          <w:tcPr>
            <w:tcW w:w="500" w:type="dxa"/>
            <w:vAlign w:val="bottom"/>
            <w:tcBorders>
              <w:top w:val="single" w:sz="8" w:color="959595"/>
            </w:tcBorders>
          </w:tcPr>
          <w:p>
            <w:pPr>
              <w:jc w:val="right"/>
              <w:ind w:right="346"/>
              <w:spacing w:after="0" w:line="128" w:lineRule="exact"/>
              <w:rPr>
                <w:sz w:val="20"/>
                <w:szCs w:val="20"/>
                <w:color w:val="auto"/>
              </w:rPr>
            </w:pPr>
            <w:r>
              <w:rPr>
                <w:rFonts w:ascii="Calibri" w:cs="Calibri" w:eastAsia="Calibri" w:hAnsi="Calibri"/>
                <w:sz w:val="11"/>
                <w:szCs w:val="11"/>
                <w:color w:val="auto"/>
              </w:rPr>
              <w:t>5</w:t>
            </w:r>
          </w:p>
        </w:tc>
        <w:tc>
          <w:tcPr>
            <w:tcW w:w="86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20,637</w:t>
            </w:r>
          </w:p>
        </w:tc>
        <w:tc>
          <w:tcPr>
            <w:tcW w:w="620" w:type="dxa"/>
            <w:vAlign w:val="bottom"/>
            <w:tcBorders>
              <w:top w:val="single" w:sz="8" w:color="959595"/>
            </w:tcBorders>
          </w:tcPr>
          <w:p>
            <w:pPr>
              <w:ind w:left="40"/>
              <w:spacing w:after="0" w:line="128" w:lineRule="exact"/>
              <w:rPr>
                <w:sz w:val="20"/>
                <w:szCs w:val="20"/>
                <w:color w:val="auto"/>
              </w:rPr>
            </w:pPr>
            <w:r>
              <w:rPr>
                <w:rFonts w:ascii="Calibri" w:cs="Calibri" w:eastAsia="Calibri" w:hAnsi="Calibri"/>
                <w:sz w:val="11"/>
                <w:szCs w:val="11"/>
                <w:color w:val="auto"/>
              </w:rPr>
              <w:t>7,8</w:t>
            </w:r>
          </w:p>
        </w:tc>
        <w:tc>
          <w:tcPr>
            <w:tcW w:w="78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27,178</w:t>
            </w:r>
          </w:p>
        </w:tc>
      </w:tr>
      <w:tr>
        <w:trPr>
          <w:trHeight w:val="33"/>
        </w:trPr>
        <w:tc>
          <w:tcPr>
            <w:tcW w:w="736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r>
      <w:tr>
        <w:trPr>
          <w:trHeight w:val="201"/>
        </w:trPr>
        <w:tc>
          <w:tcPr>
            <w:tcW w:w="7360" w:type="dxa"/>
            <w:vAlign w:val="bottom"/>
            <w:tcBorders>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b w:val="1"/>
                <w:bCs w:val="1"/>
                <w:color w:val="003478"/>
              </w:rPr>
              <w:t>Bruce A. Carlson</w:t>
            </w:r>
          </w:p>
        </w:tc>
        <w:tc>
          <w:tcPr>
            <w:tcW w:w="112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2,197</w:t>
            </w:r>
          </w:p>
        </w:tc>
        <w:tc>
          <w:tcPr>
            <w:tcW w:w="500" w:type="dxa"/>
            <w:vAlign w:val="bottom"/>
            <w:tcBorders>
              <w:bottom w:val="single" w:sz="8" w:color="E5E7EF"/>
            </w:tcBorders>
            <w:shd w:val="clear" w:color="auto" w:fill="E5E7EF"/>
          </w:tcPr>
          <w:p>
            <w:pPr>
              <w:spacing w:after="0"/>
              <w:rPr>
                <w:sz w:val="17"/>
                <w:szCs w:val="17"/>
                <w:color w:val="auto"/>
              </w:rPr>
            </w:pPr>
          </w:p>
        </w:tc>
        <w:tc>
          <w:tcPr>
            <w:tcW w:w="8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2,918</w:t>
            </w:r>
          </w:p>
        </w:tc>
        <w:tc>
          <w:tcPr>
            <w:tcW w:w="62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7,8</w:t>
            </w:r>
          </w:p>
        </w:tc>
        <w:tc>
          <w:tcPr>
            <w:tcW w:w="78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5,115</w:t>
            </w:r>
          </w:p>
        </w:tc>
      </w:tr>
      <w:tr>
        <w:trPr>
          <w:trHeight w:val="163"/>
        </w:trPr>
        <w:tc>
          <w:tcPr>
            <w:tcW w:w="7360" w:type="dxa"/>
            <w:vAlign w:val="bottom"/>
            <w:tcBorders>
              <w:top w:val="single" w:sz="8" w:color="959595"/>
            </w:tcBorders>
          </w:tcPr>
          <w:p>
            <w:pPr>
              <w:ind w:left="20"/>
              <w:spacing w:after="0" w:line="164" w:lineRule="exact"/>
              <w:rPr>
                <w:sz w:val="20"/>
                <w:szCs w:val="20"/>
                <w:color w:val="auto"/>
              </w:rPr>
            </w:pPr>
            <w:r>
              <w:rPr>
                <w:rFonts w:ascii="Calibri" w:cs="Calibri" w:eastAsia="Calibri" w:hAnsi="Calibri"/>
                <w:sz w:val="14"/>
                <w:szCs w:val="14"/>
                <w:b w:val="1"/>
                <w:bCs w:val="1"/>
                <w:color w:val="003478"/>
              </w:rPr>
              <w:t>John M. Donovan</w:t>
            </w:r>
          </w:p>
        </w:tc>
        <w:tc>
          <w:tcPr>
            <w:tcW w:w="112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2,281</w:t>
            </w:r>
          </w:p>
        </w:tc>
        <w:tc>
          <w:tcPr>
            <w:tcW w:w="500" w:type="dxa"/>
            <w:vAlign w:val="bottom"/>
            <w:tcBorders>
              <w:top w:val="single" w:sz="8" w:color="959595"/>
            </w:tcBorders>
          </w:tcPr>
          <w:p>
            <w:pPr>
              <w:spacing w:after="0"/>
              <w:rPr>
                <w:sz w:val="14"/>
                <w:szCs w:val="14"/>
                <w:color w:val="auto"/>
              </w:rPr>
            </w:pPr>
          </w:p>
        </w:tc>
        <w:tc>
          <w:tcPr>
            <w:tcW w:w="86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802</w:t>
            </w:r>
          </w:p>
        </w:tc>
        <w:tc>
          <w:tcPr>
            <w:tcW w:w="620" w:type="dxa"/>
            <w:vAlign w:val="bottom"/>
            <w:tcBorders>
              <w:top w:val="single" w:sz="8" w:color="959595"/>
            </w:tcBorders>
          </w:tcPr>
          <w:p>
            <w:pPr>
              <w:ind w:left="40"/>
              <w:spacing w:after="0" w:line="128" w:lineRule="exact"/>
              <w:rPr>
                <w:sz w:val="20"/>
                <w:szCs w:val="20"/>
                <w:color w:val="auto"/>
              </w:rPr>
            </w:pPr>
            <w:r>
              <w:rPr>
                <w:rFonts w:ascii="Calibri" w:cs="Calibri" w:eastAsia="Calibri" w:hAnsi="Calibri"/>
                <w:sz w:val="11"/>
                <w:szCs w:val="11"/>
                <w:color w:val="auto"/>
              </w:rPr>
              <w:t>7,8</w:t>
            </w:r>
          </w:p>
        </w:tc>
        <w:tc>
          <w:tcPr>
            <w:tcW w:w="78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3,083</w:t>
            </w:r>
          </w:p>
        </w:tc>
      </w:tr>
      <w:tr>
        <w:trPr>
          <w:trHeight w:val="33"/>
        </w:trPr>
        <w:tc>
          <w:tcPr>
            <w:tcW w:w="736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r>
      <w:tr>
        <w:trPr>
          <w:trHeight w:val="201"/>
        </w:trPr>
        <w:tc>
          <w:tcPr>
            <w:tcW w:w="7360" w:type="dxa"/>
            <w:vAlign w:val="bottom"/>
            <w:tcBorders>
              <w:bottom w:val="single" w:sz="8" w:color="E5E7EF"/>
            </w:tcBorders>
            <w:shd w:val="clear" w:color="auto" w:fill="E5E7EF"/>
          </w:tcPr>
          <w:p>
            <w:pPr>
              <w:ind w:left="20"/>
              <w:spacing w:after="0" w:line="164" w:lineRule="exact"/>
              <w:rPr>
                <w:sz w:val="20"/>
                <w:szCs w:val="20"/>
                <w:color w:val="auto"/>
              </w:rPr>
            </w:pPr>
            <w:r>
              <w:rPr>
                <w:rFonts w:ascii="Calibri" w:cs="Calibri" w:eastAsia="Calibri" w:hAnsi="Calibri"/>
                <w:sz w:val="14"/>
                <w:szCs w:val="14"/>
                <w:b w:val="1"/>
                <w:bCs w:val="1"/>
                <w:color w:val="003478"/>
              </w:rPr>
              <w:t>Joseph F. Dunford, Jr.</w:t>
            </w:r>
          </w:p>
        </w:tc>
        <w:tc>
          <w:tcPr>
            <w:tcW w:w="112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1,341</w:t>
            </w:r>
          </w:p>
        </w:tc>
        <w:tc>
          <w:tcPr>
            <w:tcW w:w="500" w:type="dxa"/>
            <w:vAlign w:val="bottom"/>
            <w:tcBorders>
              <w:bottom w:val="single" w:sz="8" w:color="E5E7EF"/>
            </w:tcBorders>
            <w:shd w:val="clear" w:color="auto" w:fill="E5E7EF"/>
          </w:tcPr>
          <w:p>
            <w:pPr>
              <w:spacing w:after="0"/>
              <w:rPr>
                <w:sz w:val="17"/>
                <w:szCs w:val="17"/>
                <w:color w:val="auto"/>
              </w:rPr>
            </w:pPr>
          </w:p>
        </w:tc>
        <w:tc>
          <w:tcPr>
            <w:tcW w:w="8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354</w:t>
            </w:r>
          </w:p>
        </w:tc>
        <w:tc>
          <w:tcPr>
            <w:tcW w:w="62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7</w:t>
            </w:r>
          </w:p>
        </w:tc>
        <w:tc>
          <w:tcPr>
            <w:tcW w:w="78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1,695</w:t>
            </w:r>
          </w:p>
        </w:tc>
      </w:tr>
      <w:tr>
        <w:trPr>
          <w:trHeight w:val="163"/>
        </w:trPr>
        <w:tc>
          <w:tcPr>
            <w:tcW w:w="7360" w:type="dxa"/>
            <w:vAlign w:val="bottom"/>
            <w:tcBorders>
              <w:top w:val="single" w:sz="8" w:color="959595"/>
            </w:tcBorders>
          </w:tcPr>
          <w:p>
            <w:pPr>
              <w:ind w:left="20"/>
              <w:spacing w:after="0" w:line="164" w:lineRule="exact"/>
              <w:rPr>
                <w:sz w:val="20"/>
                <w:szCs w:val="20"/>
                <w:color w:val="auto"/>
              </w:rPr>
            </w:pPr>
            <w:r>
              <w:rPr>
                <w:rFonts w:ascii="Calibri" w:cs="Calibri" w:eastAsia="Calibri" w:hAnsi="Calibri"/>
                <w:sz w:val="14"/>
                <w:szCs w:val="14"/>
                <w:b w:val="1"/>
                <w:bCs w:val="1"/>
                <w:color w:val="003478"/>
              </w:rPr>
              <w:t>James O. Ellis, Jr.</w:t>
            </w:r>
          </w:p>
        </w:tc>
        <w:tc>
          <w:tcPr>
            <w:tcW w:w="112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21,134</w:t>
            </w:r>
          </w:p>
        </w:tc>
        <w:tc>
          <w:tcPr>
            <w:tcW w:w="500" w:type="dxa"/>
            <w:vAlign w:val="bottom"/>
            <w:tcBorders>
              <w:top w:val="single" w:sz="8" w:color="959595"/>
            </w:tcBorders>
          </w:tcPr>
          <w:p>
            <w:pPr>
              <w:spacing w:after="0"/>
              <w:rPr>
                <w:sz w:val="14"/>
                <w:szCs w:val="14"/>
                <w:color w:val="auto"/>
              </w:rPr>
            </w:pPr>
          </w:p>
        </w:tc>
        <w:tc>
          <w:tcPr>
            <w:tcW w:w="86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1,535</w:t>
            </w:r>
          </w:p>
        </w:tc>
        <w:tc>
          <w:tcPr>
            <w:tcW w:w="620" w:type="dxa"/>
            <w:vAlign w:val="bottom"/>
            <w:tcBorders>
              <w:top w:val="single" w:sz="8" w:color="959595"/>
            </w:tcBorders>
          </w:tcPr>
          <w:p>
            <w:pPr>
              <w:ind w:left="40"/>
              <w:spacing w:after="0" w:line="128" w:lineRule="exact"/>
              <w:rPr>
                <w:sz w:val="20"/>
                <w:szCs w:val="20"/>
                <w:color w:val="auto"/>
              </w:rPr>
            </w:pPr>
            <w:r>
              <w:rPr>
                <w:rFonts w:ascii="Calibri" w:cs="Calibri" w:eastAsia="Calibri" w:hAnsi="Calibri"/>
                <w:sz w:val="11"/>
                <w:szCs w:val="11"/>
                <w:color w:val="auto"/>
              </w:rPr>
              <w:t>7</w:t>
            </w:r>
          </w:p>
        </w:tc>
        <w:tc>
          <w:tcPr>
            <w:tcW w:w="78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22,670</w:t>
            </w:r>
          </w:p>
        </w:tc>
      </w:tr>
      <w:tr>
        <w:trPr>
          <w:trHeight w:val="33"/>
        </w:trPr>
        <w:tc>
          <w:tcPr>
            <w:tcW w:w="736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r>
      <w:tr>
        <w:trPr>
          <w:trHeight w:val="201"/>
        </w:trPr>
        <w:tc>
          <w:tcPr>
            <w:tcW w:w="7360" w:type="dxa"/>
            <w:vAlign w:val="bottom"/>
            <w:tcBorders>
              <w:bottom w:val="single" w:sz="8" w:color="E5E7EF"/>
            </w:tcBorders>
            <w:shd w:val="clear" w:color="auto" w:fill="E5E7EF"/>
          </w:tcPr>
          <w:p>
            <w:pPr>
              <w:ind w:left="20"/>
              <w:spacing w:after="0" w:line="164" w:lineRule="exact"/>
              <w:rPr>
                <w:sz w:val="20"/>
                <w:szCs w:val="20"/>
                <w:color w:val="auto"/>
              </w:rPr>
            </w:pPr>
            <w:r>
              <w:rPr>
                <w:rFonts w:ascii="Calibri" w:cs="Calibri" w:eastAsia="Calibri" w:hAnsi="Calibri"/>
                <w:sz w:val="14"/>
                <w:szCs w:val="14"/>
                <w:b w:val="1"/>
                <w:bCs w:val="1"/>
                <w:color w:val="003478"/>
              </w:rPr>
              <w:t>Thomas J. Falk</w:t>
            </w:r>
          </w:p>
        </w:tc>
        <w:tc>
          <w:tcPr>
            <w:tcW w:w="112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5,250</w:t>
            </w:r>
          </w:p>
        </w:tc>
        <w:tc>
          <w:tcPr>
            <w:tcW w:w="500" w:type="dxa"/>
            <w:vAlign w:val="bottom"/>
            <w:tcBorders>
              <w:bottom w:val="single" w:sz="8" w:color="E5E7EF"/>
            </w:tcBorders>
            <w:shd w:val="clear" w:color="auto" w:fill="E5E7EF"/>
          </w:tcPr>
          <w:p>
            <w:pPr>
              <w:jc w:val="right"/>
              <w:ind w:right="346"/>
              <w:spacing w:after="0" w:line="128" w:lineRule="exact"/>
              <w:rPr>
                <w:sz w:val="20"/>
                <w:szCs w:val="20"/>
                <w:color w:val="auto"/>
              </w:rPr>
            </w:pPr>
            <w:r>
              <w:rPr>
                <w:rFonts w:ascii="Calibri" w:cs="Calibri" w:eastAsia="Calibri" w:hAnsi="Calibri"/>
                <w:sz w:val="11"/>
                <w:szCs w:val="11"/>
                <w:color w:val="auto"/>
              </w:rPr>
              <w:t>6</w:t>
            </w:r>
          </w:p>
        </w:tc>
        <w:tc>
          <w:tcPr>
            <w:tcW w:w="86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13,237</w:t>
            </w:r>
          </w:p>
        </w:tc>
        <w:tc>
          <w:tcPr>
            <w:tcW w:w="620" w:type="dxa"/>
            <w:vAlign w:val="bottom"/>
            <w:tcBorders>
              <w:bottom w:val="single" w:sz="8" w:color="E5E7EF"/>
            </w:tcBorders>
            <w:shd w:val="clear" w:color="auto" w:fill="E5E7EF"/>
          </w:tcPr>
          <w:p>
            <w:pPr>
              <w:ind w:left="40"/>
              <w:spacing w:after="0" w:line="128" w:lineRule="exact"/>
              <w:rPr>
                <w:sz w:val="20"/>
                <w:szCs w:val="20"/>
                <w:color w:val="auto"/>
              </w:rPr>
            </w:pPr>
            <w:r>
              <w:rPr>
                <w:rFonts w:ascii="Calibri" w:cs="Calibri" w:eastAsia="Calibri" w:hAnsi="Calibri"/>
                <w:sz w:val="11"/>
                <w:szCs w:val="11"/>
                <w:color w:val="auto"/>
              </w:rPr>
              <w:t>7</w:t>
            </w:r>
          </w:p>
        </w:tc>
        <w:tc>
          <w:tcPr>
            <w:tcW w:w="780" w:type="dxa"/>
            <w:vAlign w:val="bottom"/>
            <w:tcBorders>
              <w:bottom w:val="single" w:sz="8" w:color="E5E7EF"/>
            </w:tcBorders>
            <w:shd w:val="clear" w:color="auto" w:fill="E5E7EF"/>
          </w:tcPr>
          <w:p>
            <w:pPr>
              <w:jc w:val="right"/>
              <w:spacing w:after="0" w:line="164" w:lineRule="exact"/>
              <w:rPr>
                <w:sz w:val="20"/>
                <w:szCs w:val="20"/>
                <w:color w:val="auto"/>
              </w:rPr>
            </w:pPr>
            <w:r>
              <w:rPr>
                <w:rFonts w:ascii="Calibri" w:cs="Calibri" w:eastAsia="Calibri" w:hAnsi="Calibri"/>
                <w:sz w:val="14"/>
                <w:szCs w:val="14"/>
                <w:color w:val="auto"/>
              </w:rPr>
              <w:t>18,487</w:t>
            </w:r>
          </w:p>
        </w:tc>
      </w:tr>
      <w:tr>
        <w:trPr>
          <w:trHeight w:val="163"/>
        </w:trPr>
        <w:tc>
          <w:tcPr>
            <w:tcW w:w="7360" w:type="dxa"/>
            <w:vAlign w:val="bottom"/>
            <w:tcBorders>
              <w:top w:val="single" w:sz="8" w:color="959595"/>
            </w:tcBorders>
          </w:tcPr>
          <w:p>
            <w:pPr>
              <w:ind w:left="20"/>
              <w:spacing w:after="0" w:line="164" w:lineRule="exact"/>
              <w:rPr>
                <w:sz w:val="20"/>
                <w:szCs w:val="20"/>
                <w:color w:val="auto"/>
              </w:rPr>
            </w:pPr>
            <w:r>
              <w:rPr>
                <w:rFonts w:ascii="Calibri" w:cs="Calibri" w:eastAsia="Calibri" w:hAnsi="Calibri"/>
                <w:sz w:val="14"/>
                <w:szCs w:val="14"/>
                <w:b w:val="1"/>
                <w:bCs w:val="1"/>
                <w:color w:val="003478"/>
              </w:rPr>
              <w:t>Ilene S. Gordon</w:t>
            </w:r>
          </w:p>
        </w:tc>
        <w:tc>
          <w:tcPr>
            <w:tcW w:w="112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2,530</w:t>
            </w:r>
          </w:p>
        </w:tc>
        <w:tc>
          <w:tcPr>
            <w:tcW w:w="500" w:type="dxa"/>
            <w:vAlign w:val="bottom"/>
            <w:tcBorders>
              <w:top w:val="single" w:sz="8" w:color="959595"/>
            </w:tcBorders>
          </w:tcPr>
          <w:p>
            <w:pPr>
              <w:spacing w:after="0"/>
              <w:rPr>
                <w:sz w:val="14"/>
                <w:szCs w:val="14"/>
                <w:color w:val="auto"/>
              </w:rPr>
            </w:pPr>
          </w:p>
        </w:tc>
        <w:tc>
          <w:tcPr>
            <w:tcW w:w="86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2,638</w:t>
            </w:r>
          </w:p>
        </w:tc>
        <w:tc>
          <w:tcPr>
            <w:tcW w:w="620" w:type="dxa"/>
            <w:vAlign w:val="bottom"/>
            <w:tcBorders>
              <w:top w:val="single" w:sz="8" w:color="959595"/>
            </w:tcBorders>
          </w:tcPr>
          <w:p>
            <w:pPr>
              <w:ind w:left="40"/>
              <w:spacing w:after="0" w:line="128" w:lineRule="exact"/>
              <w:rPr>
                <w:sz w:val="20"/>
                <w:szCs w:val="20"/>
                <w:color w:val="auto"/>
              </w:rPr>
            </w:pPr>
            <w:r>
              <w:rPr>
                <w:rFonts w:ascii="Calibri" w:cs="Calibri" w:eastAsia="Calibri" w:hAnsi="Calibri"/>
                <w:sz w:val="11"/>
                <w:szCs w:val="11"/>
                <w:color w:val="auto"/>
              </w:rPr>
              <w:t>7</w:t>
            </w:r>
          </w:p>
        </w:tc>
        <w:tc>
          <w:tcPr>
            <w:tcW w:w="78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5,168</w:t>
            </w:r>
          </w:p>
        </w:tc>
      </w:tr>
      <w:tr>
        <w:trPr>
          <w:trHeight w:val="33"/>
        </w:trPr>
        <w:tc>
          <w:tcPr>
            <w:tcW w:w="736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r>
      <w:tr>
        <w:trPr>
          <w:trHeight w:val="201"/>
        </w:trPr>
        <w:tc>
          <w:tcPr>
            <w:tcW w:w="7360" w:type="dxa"/>
            <w:vAlign w:val="bottom"/>
            <w:tcBorders>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b w:val="1"/>
                <w:bCs w:val="1"/>
                <w:color w:val="003478"/>
              </w:rPr>
              <w:t>Scot T. Greene</w:t>
            </w:r>
          </w:p>
        </w:tc>
        <w:tc>
          <w:tcPr>
            <w:tcW w:w="11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6,696</w:t>
            </w:r>
          </w:p>
        </w:tc>
        <w:tc>
          <w:tcPr>
            <w:tcW w:w="500" w:type="dxa"/>
            <w:vAlign w:val="bottom"/>
            <w:tcBorders>
              <w:bottom w:val="single" w:sz="8" w:color="E4E6EF"/>
            </w:tcBorders>
            <w:shd w:val="clear" w:color="auto" w:fill="E4E6EF"/>
          </w:tcPr>
          <w:p>
            <w:pPr>
              <w:spacing w:after="0"/>
              <w:rPr>
                <w:sz w:val="17"/>
                <w:szCs w:val="17"/>
                <w:color w:val="auto"/>
              </w:rPr>
            </w:pP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9,778</w:t>
            </w:r>
          </w:p>
        </w:tc>
        <w:tc>
          <w:tcPr>
            <w:tcW w:w="620" w:type="dxa"/>
            <w:vAlign w:val="bottom"/>
            <w:tcBorders>
              <w:bottom w:val="single" w:sz="8" w:color="E4E6EF"/>
            </w:tcBorders>
            <w:shd w:val="clear" w:color="auto" w:fill="E4E6EF"/>
          </w:tcPr>
          <w:p>
            <w:pPr>
              <w:spacing w:after="0"/>
              <w:rPr>
                <w:sz w:val="17"/>
                <w:szCs w:val="17"/>
                <w:color w:val="auto"/>
              </w:rPr>
            </w:pPr>
          </w:p>
        </w:tc>
        <w:tc>
          <w:tcPr>
            <w:tcW w:w="7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16,474</w:t>
            </w:r>
          </w:p>
        </w:tc>
      </w:tr>
      <w:tr>
        <w:trPr>
          <w:trHeight w:val="163"/>
        </w:trPr>
        <w:tc>
          <w:tcPr>
            <w:tcW w:w="7360" w:type="dxa"/>
            <w:vAlign w:val="bottom"/>
            <w:tcBorders>
              <w:top w:val="single" w:sz="8" w:color="959595"/>
            </w:tcBorders>
          </w:tcPr>
          <w:p>
            <w:pPr>
              <w:ind w:left="20"/>
              <w:spacing w:after="0" w:line="164" w:lineRule="exact"/>
              <w:rPr>
                <w:sz w:val="20"/>
                <w:szCs w:val="20"/>
                <w:color w:val="auto"/>
              </w:rPr>
            </w:pPr>
            <w:r>
              <w:rPr>
                <w:rFonts w:ascii="Calibri" w:cs="Calibri" w:eastAsia="Calibri" w:hAnsi="Calibri"/>
                <w:sz w:val="14"/>
                <w:szCs w:val="14"/>
                <w:b w:val="1"/>
                <w:bCs w:val="1"/>
                <w:color w:val="003478"/>
              </w:rPr>
              <w:t>Vicki A. Hollub</w:t>
            </w:r>
          </w:p>
        </w:tc>
        <w:tc>
          <w:tcPr>
            <w:tcW w:w="112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2,228</w:t>
            </w:r>
          </w:p>
        </w:tc>
        <w:tc>
          <w:tcPr>
            <w:tcW w:w="500" w:type="dxa"/>
            <w:vAlign w:val="bottom"/>
            <w:tcBorders>
              <w:top w:val="single" w:sz="8" w:color="959595"/>
            </w:tcBorders>
          </w:tcPr>
          <w:p>
            <w:pPr>
              <w:spacing w:after="0"/>
              <w:rPr>
                <w:sz w:val="14"/>
                <w:szCs w:val="14"/>
                <w:color w:val="auto"/>
              </w:rPr>
            </w:pPr>
          </w:p>
        </w:tc>
        <w:tc>
          <w:tcPr>
            <w:tcW w:w="86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1,966</w:t>
            </w:r>
          </w:p>
        </w:tc>
        <w:tc>
          <w:tcPr>
            <w:tcW w:w="620" w:type="dxa"/>
            <w:vAlign w:val="bottom"/>
            <w:tcBorders>
              <w:top w:val="single" w:sz="8" w:color="959595"/>
            </w:tcBorders>
          </w:tcPr>
          <w:p>
            <w:pPr>
              <w:ind w:left="40"/>
              <w:spacing w:after="0" w:line="128" w:lineRule="exact"/>
              <w:rPr>
                <w:sz w:val="20"/>
                <w:szCs w:val="20"/>
                <w:color w:val="auto"/>
              </w:rPr>
            </w:pPr>
            <w:r>
              <w:rPr>
                <w:rFonts w:ascii="Calibri" w:cs="Calibri" w:eastAsia="Calibri" w:hAnsi="Calibri"/>
                <w:sz w:val="11"/>
                <w:szCs w:val="11"/>
                <w:color w:val="auto"/>
              </w:rPr>
              <w:t>7,8</w:t>
            </w:r>
          </w:p>
        </w:tc>
        <w:tc>
          <w:tcPr>
            <w:tcW w:w="78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4,193</w:t>
            </w:r>
          </w:p>
        </w:tc>
      </w:tr>
      <w:tr>
        <w:trPr>
          <w:trHeight w:val="33"/>
        </w:trPr>
        <w:tc>
          <w:tcPr>
            <w:tcW w:w="736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r>
      <w:tr>
        <w:trPr>
          <w:trHeight w:val="201"/>
        </w:trPr>
        <w:tc>
          <w:tcPr>
            <w:tcW w:w="7360" w:type="dxa"/>
            <w:vAlign w:val="bottom"/>
            <w:tcBorders>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b w:val="1"/>
                <w:bCs w:val="1"/>
                <w:color w:val="003478"/>
              </w:rPr>
              <w:t>Jeh C. Johnson</w:t>
            </w:r>
          </w:p>
        </w:tc>
        <w:tc>
          <w:tcPr>
            <w:tcW w:w="11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2,458</w:t>
            </w:r>
          </w:p>
        </w:tc>
        <w:tc>
          <w:tcPr>
            <w:tcW w:w="500" w:type="dxa"/>
            <w:vAlign w:val="bottom"/>
            <w:tcBorders>
              <w:bottom w:val="single" w:sz="8" w:color="E4E6EF"/>
            </w:tcBorders>
            <w:shd w:val="clear" w:color="auto" w:fill="E4E6EF"/>
          </w:tcPr>
          <w:p>
            <w:pPr>
              <w:spacing w:after="0"/>
              <w:rPr>
                <w:sz w:val="17"/>
                <w:szCs w:val="17"/>
                <w:color w:val="auto"/>
              </w:rPr>
            </w:pP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354</w:t>
            </w:r>
          </w:p>
        </w:tc>
        <w:tc>
          <w:tcPr>
            <w:tcW w:w="620" w:type="dxa"/>
            <w:vAlign w:val="bottom"/>
            <w:tcBorders>
              <w:bottom w:val="single" w:sz="8" w:color="E4E6EF"/>
            </w:tcBorders>
            <w:shd w:val="clear" w:color="auto" w:fill="E4E6EF"/>
          </w:tcPr>
          <w:p>
            <w:pPr>
              <w:ind w:left="40"/>
              <w:spacing w:after="0" w:line="128" w:lineRule="exact"/>
              <w:rPr>
                <w:sz w:val="20"/>
                <w:szCs w:val="20"/>
                <w:color w:val="auto"/>
              </w:rPr>
            </w:pPr>
            <w:r>
              <w:rPr>
                <w:rFonts w:ascii="Calibri" w:cs="Calibri" w:eastAsia="Calibri" w:hAnsi="Calibri"/>
                <w:sz w:val="11"/>
                <w:szCs w:val="11"/>
                <w:color w:val="auto"/>
              </w:rPr>
              <w:t>7</w:t>
            </w:r>
          </w:p>
        </w:tc>
        <w:tc>
          <w:tcPr>
            <w:tcW w:w="7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2,812</w:t>
            </w:r>
          </w:p>
        </w:tc>
      </w:tr>
      <w:tr>
        <w:trPr>
          <w:trHeight w:val="163"/>
        </w:trPr>
        <w:tc>
          <w:tcPr>
            <w:tcW w:w="7360" w:type="dxa"/>
            <w:vAlign w:val="bottom"/>
            <w:tcBorders>
              <w:top w:val="single" w:sz="8" w:color="959595"/>
            </w:tcBorders>
          </w:tcPr>
          <w:p>
            <w:pPr>
              <w:ind w:left="20"/>
              <w:spacing w:after="0" w:line="164" w:lineRule="exact"/>
              <w:rPr>
                <w:sz w:val="20"/>
                <w:szCs w:val="20"/>
                <w:color w:val="auto"/>
              </w:rPr>
            </w:pPr>
            <w:r>
              <w:rPr>
                <w:rFonts w:ascii="Calibri" w:cs="Calibri" w:eastAsia="Calibri" w:hAnsi="Calibri"/>
                <w:sz w:val="14"/>
                <w:szCs w:val="14"/>
                <w:b w:val="1"/>
                <w:bCs w:val="1"/>
                <w:color w:val="003478"/>
              </w:rPr>
              <w:t>Maryanne R. Lavan</w:t>
            </w:r>
          </w:p>
        </w:tc>
        <w:tc>
          <w:tcPr>
            <w:tcW w:w="112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40</w:t>
            </w:r>
          </w:p>
        </w:tc>
        <w:tc>
          <w:tcPr>
            <w:tcW w:w="500" w:type="dxa"/>
            <w:vAlign w:val="bottom"/>
            <w:tcBorders>
              <w:top w:val="single" w:sz="8" w:color="959595"/>
            </w:tcBorders>
          </w:tcPr>
          <w:p>
            <w:pPr>
              <w:spacing w:after="0"/>
              <w:rPr>
                <w:sz w:val="14"/>
                <w:szCs w:val="14"/>
                <w:color w:val="auto"/>
              </w:rPr>
            </w:pPr>
          </w:p>
        </w:tc>
        <w:tc>
          <w:tcPr>
            <w:tcW w:w="86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20,991</w:t>
            </w:r>
          </w:p>
        </w:tc>
        <w:tc>
          <w:tcPr>
            <w:tcW w:w="620" w:type="dxa"/>
            <w:vAlign w:val="bottom"/>
            <w:tcBorders>
              <w:top w:val="single" w:sz="8" w:color="959595"/>
            </w:tcBorders>
          </w:tcPr>
          <w:p>
            <w:pPr>
              <w:spacing w:after="0"/>
              <w:rPr>
                <w:sz w:val="14"/>
                <w:szCs w:val="14"/>
                <w:color w:val="auto"/>
              </w:rPr>
            </w:pPr>
          </w:p>
        </w:tc>
        <w:tc>
          <w:tcPr>
            <w:tcW w:w="78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21,031</w:t>
            </w:r>
          </w:p>
        </w:tc>
      </w:tr>
      <w:tr>
        <w:trPr>
          <w:trHeight w:val="33"/>
        </w:trPr>
        <w:tc>
          <w:tcPr>
            <w:tcW w:w="736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r>
      <w:tr>
        <w:trPr>
          <w:trHeight w:val="201"/>
        </w:trPr>
        <w:tc>
          <w:tcPr>
            <w:tcW w:w="7360" w:type="dxa"/>
            <w:vAlign w:val="bottom"/>
            <w:tcBorders>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b w:val="1"/>
                <w:bCs w:val="1"/>
                <w:color w:val="003478"/>
              </w:rPr>
              <w:t>Jesus Malave</w:t>
            </w:r>
          </w:p>
        </w:tc>
        <w:tc>
          <w:tcPr>
            <w:tcW w:w="11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5,381</w:t>
            </w:r>
          </w:p>
        </w:tc>
        <w:tc>
          <w:tcPr>
            <w:tcW w:w="500" w:type="dxa"/>
            <w:vAlign w:val="bottom"/>
            <w:tcBorders>
              <w:bottom w:val="single" w:sz="8" w:color="E4E6EF"/>
            </w:tcBorders>
            <w:shd w:val="clear" w:color="auto" w:fill="E4E6EF"/>
          </w:tcPr>
          <w:p>
            <w:pPr>
              <w:spacing w:after="0"/>
              <w:rPr>
                <w:sz w:val="17"/>
                <w:szCs w:val="17"/>
                <w:color w:val="auto"/>
              </w:rPr>
            </w:pP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9,299</w:t>
            </w:r>
          </w:p>
        </w:tc>
        <w:tc>
          <w:tcPr>
            <w:tcW w:w="620" w:type="dxa"/>
            <w:vAlign w:val="bottom"/>
            <w:tcBorders>
              <w:bottom w:val="single" w:sz="8" w:color="E4E6EF"/>
            </w:tcBorders>
            <w:shd w:val="clear" w:color="auto" w:fill="E4E6EF"/>
          </w:tcPr>
          <w:p>
            <w:pPr>
              <w:spacing w:after="0"/>
              <w:rPr>
                <w:sz w:val="17"/>
                <w:szCs w:val="17"/>
                <w:color w:val="auto"/>
              </w:rPr>
            </w:pPr>
          </w:p>
        </w:tc>
        <w:tc>
          <w:tcPr>
            <w:tcW w:w="7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14,680</w:t>
            </w:r>
          </w:p>
        </w:tc>
      </w:tr>
      <w:tr>
        <w:trPr>
          <w:trHeight w:val="163"/>
        </w:trPr>
        <w:tc>
          <w:tcPr>
            <w:tcW w:w="7360" w:type="dxa"/>
            <w:vAlign w:val="bottom"/>
            <w:tcBorders>
              <w:top w:val="single" w:sz="8" w:color="959595"/>
            </w:tcBorders>
          </w:tcPr>
          <w:p>
            <w:pPr>
              <w:ind w:left="20"/>
              <w:spacing w:after="0" w:line="164" w:lineRule="exact"/>
              <w:rPr>
                <w:sz w:val="20"/>
                <w:szCs w:val="20"/>
                <w:color w:val="auto"/>
              </w:rPr>
            </w:pPr>
            <w:r>
              <w:rPr>
                <w:rFonts w:ascii="Calibri" w:cs="Calibri" w:eastAsia="Calibri" w:hAnsi="Calibri"/>
                <w:sz w:val="14"/>
                <w:szCs w:val="14"/>
                <w:b w:val="1"/>
                <w:bCs w:val="1"/>
                <w:color w:val="003478"/>
              </w:rPr>
              <w:t>John W. Mollard</w:t>
            </w:r>
          </w:p>
        </w:tc>
        <w:tc>
          <w:tcPr>
            <w:tcW w:w="112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4,040</w:t>
            </w:r>
          </w:p>
        </w:tc>
        <w:tc>
          <w:tcPr>
            <w:tcW w:w="500" w:type="dxa"/>
            <w:vAlign w:val="bottom"/>
            <w:tcBorders>
              <w:top w:val="single" w:sz="8" w:color="959595"/>
            </w:tcBorders>
          </w:tcPr>
          <w:p>
            <w:pPr>
              <w:spacing w:after="0"/>
              <w:rPr>
                <w:sz w:val="14"/>
                <w:szCs w:val="14"/>
                <w:color w:val="auto"/>
              </w:rPr>
            </w:pPr>
          </w:p>
        </w:tc>
        <w:tc>
          <w:tcPr>
            <w:tcW w:w="86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4,350</w:t>
            </w:r>
          </w:p>
        </w:tc>
        <w:tc>
          <w:tcPr>
            <w:tcW w:w="620" w:type="dxa"/>
            <w:vAlign w:val="bottom"/>
            <w:tcBorders>
              <w:top w:val="single" w:sz="8" w:color="959595"/>
            </w:tcBorders>
          </w:tcPr>
          <w:p>
            <w:pPr>
              <w:ind w:left="40"/>
              <w:spacing w:after="0" w:line="128" w:lineRule="exact"/>
              <w:rPr>
                <w:sz w:val="20"/>
                <w:szCs w:val="20"/>
                <w:color w:val="auto"/>
              </w:rPr>
            </w:pPr>
            <w:r>
              <w:rPr>
                <w:rFonts w:ascii="Calibri" w:cs="Calibri" w:eastAsia="Calibri" w:hAnsi="Calibri"/>
                <w:sz w:val="11"/>
                <w:szCs w:val="11"/>
                <w:color w:val="auto"/>
              </w:rPr>
              <w:t>10,11</w:t>
            </w:r>
          </w:p>
        </w:tc>
        <w:tc>
          <w:tcPr>
            <w:tcW w:w="78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8,390</w:t>
            </w:r>
          </w:p>
        </w:tc>
      </w:tr>
      <w:tr>
        <w:trPr>
          <w:trHeight w:val="33"/>
        </w:trPr>
        <w:tc>
          <w:tcPr>
            <w:tcW w:w="736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r>
      <w:tr>
        <w:trPr>
          <w:trHeight w:val="201"/>
        </w:trPr>
        <w:tc>
          <w:tcPr>
            <w:tcW w:w="7360" w:type="dxa"/>
            <w:vAlign w:val="bottom"/>
            <w:tcBorders>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b w:val="1"/>
                <w:bCs w:val="1"/>
                <w:color w:val="003478"/>
              </w:rPr>
              <w:t>Debra L. Reed-Klages</w:t>
            </w:r>
          </w:p>
        </w:tc>
        <w:tc>
          <w:tcPr>
            <w:tcW w:w="11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1,591</w:t>
            </w:r>
          </w:p>
        </w:tc>
        <w:tc>
          <w:tcPr>
            <w:tcW w:w="500" w:type="dxa"/>
            <w:vAlign w:val="bottom"/>
            <w:tcBorders>
              <w:bottom w:val="single" w:sz="8" w:color="E4E6EF"/>
            </w:tcBorders>
            <w:shd w:val="clear" w:color="auto" w:fill="E4E6EF"/>
          </w:tcPr>
          <w:p>
            <w:pPr>
              <w:spacing w:after="0"/>
              <w:rPr>
                <w:sz w:val="17"/>
                <w:szCs w:val="17"/>
                <w:color w:val="auto"/>
              </w:rPr>
            </w:pP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354</w:t>
            </w:r>
          </w:p>
        </w:tc>
        <w:tc>
          <w:tcPr>
            <w:tcW w:w="620" w:type="dxa"/>
            <w:vAlign w:val="bottom"/>
            <w:tcBorders>
              <w:bottom w:val="single" w:sz="8" w:color="E4E6EF"/>
            </w:tcBorders>
            <w:shd w:val="clear" w:color="auto" w:fill="E4E6EF"/>
          </w:tcPr>
          <w:p>
            <w:pPr>
              <w:ind w:left="40"/>
              <w:spacing w:after="0" w:line="128" w:lineRule="exact"/>
              <w:rPr>
                <w:sz w:val="20"/>
                <w:szCs w:val="20"/>
                <w:color w:val="auto"/>
              </w:rPr>
            </w:pPr>
            <w:r>
              <w:rPr>
                <w:rFonts w:ascii="Calibri" w:cs="Calibri" w:eastAsia="Calibri" w:hAnsi="Calibri"/>
                <w:sz w:val="11"/>
                <w:szCs w:val="11"/>
                <w:color w:val="auto"/>
              </w:rPr>
              <w:t>7</w:t>
            </w:r>
          </w:p>
        </w:tc>
        <w:tc>
          <w:tcPr>
            <w:tcW w:w="7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1,945</w:t>
            </w:r>
          </w:p>
        </w:tc>
      </w:tr>
      <w:tr>
        <w:trPr>
          <w:trHeight w:val="163"/>
        </w:trPr>
        <w:tc>
          <w:tcPr>
            <w:tcW w:w="7360" w:type="dxa"/>
            <w:vAlign w:val="bottom"/>
            <w:tcBorders>
              <w:top w:val="single" w:sz="8" w:color="959595"/>
            </w:tcBorders>
          </w:tcPr>
          <w:p>
            <w:pPr>
              <w:ind w:left="20"/>
              <w:spacing w:after="0" w:line="164" w:lineRule="exact"/>
              <w:rPr>
                <w:sz w:val="20"/>
                <w:szCs w:val="20"/>
                <w:color w:val="auto"/>
              </w:rPr>
            </w:pPr>
            <w:r>
              <w:rPr>
                <w:rFonts w:ascii="Calibri" w:cs="Calibri" w:eastAsia="Calibri" w:hAnsi="Calibri"/>
                <w:sz w:val="14"/>
                <w:szCs w:val="14"/>
                <w:b w:val="1"/>
                <w:bCs w:val="1"/>
                <w:color w:val="003478"/>
              </w:rPr>
              <w:t>Frank A. St. John</w:t>
            </w:r>
          </w:p>
        </w:tc>
        <w:tc>
          <w:tcPr>
            <w:tcW w:w="112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8</w:t>
            </w:r>
          </w:p>
        </w:tc>
        <w:tc>
          <w:tcPr>
            <w:tcW w:w="500" w:type="dxa"/>
            <w:vAlign w:val="bottom"/>
            <w:tcBorders>
              <w:top w:val="single" w:sz="8" w:color="959595"/>
            </w:tcBorders>
          </w:tcPr>
          <w:p>
            <w:pPr>
              <w:spacing w:after="0"/>
              <w:rPr>
                <w:sz w:val="14"/>
                <w:szCs w:val="14"/>
                <w:color w:val="auto"/>
              </w:rPr>
            </w:pPr>
          </w:p>
        </w:tc>
        <w:tc>
          <w:tcPr>
            <w:tcW w:w="86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16,821</w:t>
            </w:r>
          </w:p>
        </w:tc>
        <w:tc>
          <w:tcPr>
            <w:tcW w:w="620" w:type="dxa"/>
            <w:vAlign w:val="bottom"/>
            <w:tcBorders>
              <w:top w:val="single" w:sz="8" w:color="959595"/>
            </w:tcBorders>
          </w:tcPr>
          <w:p>
            <w:pPr>
              <w:ind w:left="40"/>
              <w:spacing w:after="0" w:line="128" w:lineRule="exact"/>
              <w:rPr>
                <w:sz w:val="20"/>
                <w:szCs w:val="20"/>
                <w:color w:val="auto"/>
              </w:rPr>
            </w:pPr>
            <w:r>
              <w:rPr>
                <w:rFonts w:ascii="Calibri" w:cs="Calibri" w:eastAsia="Calibri" w:hAnsi="Calibri"/>
                <w:sz w:val="11"/>
                <w:szCs w:val="11"/>
                <w:color w:val="auto"/>
              </w:rPr>
              <w:t>9,10,11</w:t>
            </w:r>
          </w:p>
        </w:tc>
        <w:tc>
          <w:tcPr>
            <w:tcW w:w="78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16,829</w:t>
            </w:r>
          </w:p>
        </w:tc>
      </w:tr>
      <w:tr>
        <w:trPr>
          <w:trHeight w:val="33"/>
        </w:trPr>
        <w:tc>
          <w:tcPr>
            <w:tcW w:w="736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r>
      <w:tr>
        <w:trPr>
          <w:trHeight w:val="201"/>
        </w:trPr>
        <w:tc>
          <w:tcPr>
            <w:tcW w:w="7360" w:type="dxa"/>
            <w:vAlign w:val="bottom"/>
            <w:tcBorders>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b w:val="1"/>
                <w:bCs w:val="1"/>
                <w:color w:val="003478"/>
              </w:rPr>
              <w:t>James D. Taiclet</w:t>
            </w:r>
          </w:p>
        </w:tc>
        <w:tc>
          <w:tcPr>
            <w:tcW w:w="11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10,828</w:t>
            </w:r>
          </w:p>
        </w:tc>
        <w:tc>
          <w:tcPr>
            <w:tcW w:w="500" w:type="dxa"/>
            <w:vAlign w:val="bottom"/>
            <w:tcBorders>
              <w:bottom w:val="single" w:sz="8" w:color="E4E6EF"/>
            </w:tcBorders>
            <w:shd w:val="clear" w:color="auto" w:fill="E4E6EF"/>
          </w:tcPr>
          <w:p>
            <w:pPr>
              <w:spacing w:after="0"/>
              <w:rPr>
                <w:sz w:val="17"/>
                <w:szCs w:val="17"/>
                <w:color w:val="auto"/>
              </w:rPr>
            </w:pP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45,226</w:t>
            </w:r>
          </w:p>
        </w:tc>
        <w:tc>
          <w:tcPr>
            <w:tcW w:w="620" w:type="dxa"/>
            <w:vAlign w:val="bottom"/>
            <w:tcBorders>
              <w:bottom w:val="single" w:sz="8" w:color="E4E6EF"/>
            </w:tcBorders>
            <w:shd w:val="clear" w:color="auto" w:fill="E4E6EF"/>
          </w:tcPr>
          <w:p>
            <w:pPr>
              <w:ind w:left="40"/>
              <w:spacing w:after="0" w:line="128" w:lineRule="exact"/>
              <w:rPr>
                <w:sz w:val="20"/>
                <w:szCs w:val="20"/>
                <w:color w:val="auto"/>
              </w:rPr>
            </w:pPr>
            <w:r>
              <w:rPr>
                <w:rFonts w:ascii="Calibri" w:cs="Calibri" w:eastAsia="Calibri" w:hAnsi="Calibri"/>
                <w:sz w:val="11"/>
                <w:szCs w:val="11"/>
                <w:color w:val="auto"/>
              </w:rPr>
              <w:t>10,11</w:t>
            </w:r>
          </w:p>
        </w:tc>
        <w:tc>
          <w:tcPr>
            <w:tcW w:w="7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56,054</w:t>
            </w:r>
          </w:p>
        </w:tc>
      </w:tr>
      <w:tr>
        <w:trPr>
          <w:trHeight w:val="163"/>
        </w:trPr>
        <w:tc>
          <w:tcPr>
            <w:tcW w:w="7360" w:type="dxa"/>
            <w:vAlign w:val="bottom"/>
            <w:tcBorders>
              <w:top w:val="single" w:sz="8" w:color="959595"/>
            </w:tcBorders>
          </w:tcPr>
          <w:p>
            <w:pPr>
              <w:ind w:left="20"/>
              <w:spacing w:after="0" w:line="164" w:lineRule="exact"/>
              <w:rPr>
                <w:sz w:val="20"/>
                <w:szCs w:val="20"/>
                <w:color w:val="auto"/>
              </w:rPr>
            </w:pPr>
            <w:r>
              <w:rPr>
                <w:rFonts w:ascii="Calibri" w:cs="Calibri" w:eastAsia="Calibri" w:hAnsi="Calibri"/>
                <w:sz w:val="14"/>
                <w:szCs w:val="14"/>
                <w:b w:val="1"/>
                <w:bCs w:val="1"/>
                <w:color w:val="003478"/>
              </w:rPr>
              <w:t>Gregory M. Ulmer</w:t>
            </w:r>
          </w:p>
        </w:tc>
        <w:tc>
          <w:tcPr>
            <w:tcW w:w="112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51</w:t>
            </w:r>
          </w:p>
        </w:tc>
        <w:tc>
          <w:tcPr>
            <w:tcW w:w="500" w:type="dxa"/>
            <w:vAlign w:val="bottom"/>
            <w:tcBorders>
              <w:top w:val="single" w:sz="8" w:color="959595"/>
            </w:tcBorders>
          </w:tcPr>
          <w:p>
            <w:pPr>
              <w:spacing w:after="0"/>
              <w:rPr>
                <w:sz w:val="14"/>
                <w:szCs w:val="14"/>
                <w:color w:val="auto"/>
              </w:rPr>
            </w:pPr>
          </w:p>
        </w:tc>
        <w:tc>
          <w:tcPr>
            <w:tcW w:w="86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12,031</w:t>
            </w:r>
          </w:p>
        </w:tc>
        <w:tc>
          <w:tcPr>
            <w:tcW w:w="620" w:type="dxa"/>
            <w:vAlign w:val="bottom"/>
            <w:tcBorders>
              <w:top w:val="single" w:sz="8" w:color="959595"/>
            </w:tcBorders>
          </w:tcPr>
          <w:p>
            <w:pPr>
              <w:spacing w:after="0"/>
              <w:rPr>
                <w:sz w:val="14"/>
                <w:szCs w:val="14"/>
                <w:color w:val="auto"/>
              </w:rPr>
            </w:pPr>
          </w:p>
        </w:tc>
        <w:tc>
          <w:tcPr>
            <w:tcW w:w="780" w:type="dxa"/>
            <w:vAlign w:val="bottom"/>
            <w:tcBorders>
              <w:top w:val="single" w:sz="8" w:color="959595"/>
            </w:tcBorders>
          </w:tcPr>
          <w:p>
            <w:pPr>
              <w:jc w:val="right"/>
              <w:spacing w:after="0" w:line="164" w:lineRule="exact"/>
              <w:rPr>
                <w:sz w:val="20"/>
                <w:szCs w:val="20"/>
                <w:color w:val="auto"/>
              </w:rPr>
            </w:pPr>
            <w:r>
              <w:rPr>
                <w:rFonts w:ascii="Calibri" w:cs="Calibri" w:eastAsia="Calibri" w:hAnsi="Calibri"/>
                <w:sz w:val="14"/>
                <w:szCs w:val="14"/>
                <w:color w:val="auto"/>
              </w:rPr>
              <w:t>12,082</w:t>
            </w:r>
          </w:p>
        </w:tc>
      </w:tr>
      <w:tr>
        <w:trPr>
          <w:trHeight w:val="33"/>
        </w:trPr>
        <w:tc>
          <w:tcPr>
            <w:tcW w:w="7360" w:type="dxa"/>
            <w:vAlign w:val="bottom"/>
            <w:tcBorders>
              <w:bottom w:val="single" w:sz="8" w:color="959595"/>
            </w:tcBorders>
          </w:tcPr>
          <w:p>
            <w:pPr>
              <w:spacing w:after="0"/>
              <w:rPr>
                <w:sz w:val="2"/>
                <w:szCs w:val="2"/>
                <w:color w:val="auto"/>
              </w:rPr>
            </w:pPr>
          </w:p>
        </w:tc>
        <w:tc>
          <w:tcPr>
            <w:tcW w:w="1120" w:type="dxa"/>
            <w:vAlign w:val="bottom"/>
            <w:tcBorders>
              <w:bottom w:val="single" w:sz="8" w:color="959595"/>
            </w:tcBorders>
          </w:tcPr>
          <w:p>
            <w:pPr>
              <w:spacing w:after="0"/>
              <w:rPr>
                <w:sz w:val="2"/>
                <w:szCs w:val="2"/>
                <w:color w:val="auto"/>
              </w:rPr>
            </w:pPr>
          </w:p>
        </w:tc>
        <w:tc>
          <w:tcPr>
            <w:tcW w:w="5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620" w:type="dxa"/>
            <w:vAlign w:val="bottom"/>
            <w:tcBorders>
              <w:bottom w:val="single" w:sz="8" w:color="959595"/>
            </w:tcBorders>
          </w:tcPr>
          <w:p>
            <w:pPr>
              <w:spacing w:after="0"/>
              <w:rPr>
                <w:sz w:val="2"/>
                <w:szCs w:val="2"/>
                <w:color w:val="auto"/>
              </w:rPr>
            </w:pPr>
          </w:p>
        </w:tc>
        <w:tc>
          <w:tcPr>
            <w:tcW w:w="780" w:type="dxa"/>
            <w:vAlign w:val="bottom"/>
            <w:tcBorders>
              <w:bottom w:val="single" w:sz="8" w:color="959595"/>
            </w:tcBorders>
          </w:tcPr>
          <w:p>
            <w:pPr>
              <w:spacing w:after="0"/>
              <w:rPr>
                <w:sz w:val="2"/>
                <w:szCs w:val="2"/>
                <w:color w:val="auto"/>
              </w:rPr>
            </w:pPr>
          </w:p>
        </w:tc>
      </w:tr>
      <w:tr>
        <w:trPr>
          <w:trHeight w:val="201"/>
        </w:trPr>
        <w:tc>
          <w:tcPr>
            <w:tcW w:w="7360" w:type="dxa"/>
            <w:vAlign w:val="bottom"/>
            <w:tcBorders>
              <w:bottom w:val="single" w:sz="8" w:color="E4E6EF"/>
            </w:tcBorders>
            <w:shd w:val="clear" w:color="auto" w:fill="E4E6EF"/>
          </w:tcPr>
          <w:p>
            <w:pPr>
              <w:ind w:left="20"/>
              <w:spacing w:after="0" w:line="164" w:lineRule="exact"/>
              <w:rPr>
                <w:sz w:val="20"/>
                <w:szCs w:val="20"/>
                <w:color w:val="auto"/>
              </w:rPr>
            </w:pPr>
            <w:r>
              <w:rPr>
                <w:rFonts w:ascii="Calibri" w:cs="Calibri" w:eastAsia="Calibri" w:hAnsi="Calibri"/>
                <w:sz w:val="14"/>
                <w:szCs w:val="14"/>
                <w:b w:val="1"/>
                <w:bCs w:val="1"/>
                <w:color w:val="003478"/>
              </w:rPr>
              <w:t>Patricia E. Yarrington</w:t>
            </w:r>
          </w:p>
        </w:tc>
        <w:tc>
          <w:tcPr>
            <w:tcW w:w="112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688</w:t>
            </w:r>
          </w:p>
        </w:tc>
        <w:tc>
          <w:tcPr>
            <w:tcW w:w="500" w:type="dxa"/>
            <w:vAlign w:val="bottom"/>
            <w:tcBorders>
              <w:bottom w:val="single" w:sz="8" w:color="E4E6EF"/>
            </w:tcBorders>
            <w:shd w:val="clear" w:color="auto" w:fill="E4E6EF"/>
          </w:tcPr>
          <w:p>
            <w:pPr>
              <w:spacing w:after="0"/>
              <w:rPr>
                <w:sz w:val="17"/>
                <w:szCs w:val="17"/>
                <w:color w:val="auto"/>
              </w:rPr>
            </w:pPr>
          </w:p>
        </w:tc>
        <w:tc>
          <w:tcPr>
            <w:tcW w:w="86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354</w:t>
            </w:r>
          </w:p>
        </w:tc>
        <w:tc>
          <w:tcPr>
            <w:tcW w:w="620" w:type="dxa"/>
            <w:vAlign w:val="bottom"/>
            <w:tcBorders>
              <w:bottom w:val="single" w:sz="8" w:color="E4E6EF"/>
            </w:tcBorders>
            <w:shd w:val="clear" w:color="auto" w:fill="E4E6EF"/>
          </w:tcPr>
          <w:p>
            <w:pPr>
              <w:ind w:left="40"/>
              <w:spacing w:after="0" w:line="128" w:lineRule="exact"/>
              <w:rPr>
                <w:sz w:val="20"/>
                <w:szCs w:val="20"/>
                <w:color w:val="auto"/>
              </w:rPr>
            </w:pPr>
            <w:r>
              <w:rPr>
                <w:rFonts w:ascii="Calibri" w:cs="Calibri" w:eastAsia="Calibri" w:hAnsi="Calibri"/>
                <w:sz w:val="11"/>
                <w:szCs w:val="11"/>
                <w:color w:val="auto"/>
              </w:rPr>
              <w:t>7</w:t>
            </w:r>
          </w:p>
        </w:tc>
        <w:tc>
          <w:tcPr>
            <w:tcW w:w="780" w:type="dxa"/>
            <w:vAlign w:val="bottom"/>
            <w:tcBorders>
              <w:bottom w:val="single" w:sz="8" w:color="E4E6EF"/>
            </w:tcBorders>
            <w:shd w:val="clear" w:color="auto" w:fill="E4E6EF"/>
          </w:tcPr>
          <w:p>
            <w:pPr>
              <w:jc w:val="right"/>
              <w:spacing w:after="0" w:line="164" w:lineRule="exact"/>
              <w:rPr>
                <w:sz w:val="20"/>
                <w:szCs w:val="20"/>
                <w:color w:val="auto"/>
              </w:rPr>
            </w:pPr>
            <w:r>
              <w:rPr>
                <w:rFonts w:ascii="Calibri" w:cs="Calibri" w:eastAsia="Calibri" w:hAnsi="Calibri"/>
                <w:sz w:val="14"/>
                <w:szCs w:val="14"/>
                <w:color w:val="auto"/>
              </w:rPr>
              <w:t>1,042</w:t>
            </w:r>
          </w:p>
        </w:tc>
      </w:tr>
      <w:tr>
        <w:trPr>
          <w:trHeight w:val="168"/>
        </w:trPr>
        <w:tc>
          <w:tcPr>
            <w:tcW w:w="7360" w:type="dxa"/>
            <w:vAlign w:val="bottom"/>
            <w:tcBorders>
              <w:top w:val="single" w:sz="8" w:color="959595"/>
            </w:tcBorders>
          </w:tcPr>
          <w:p>
            <w:pPr>
              <w:ind w:left="20"/>
              <w:spacing w:after="0" w:line="169" w:lineRule="exact"/>
              <w:rPr>
                <w:sz w:val="20"/>
                <w:szCs w:val="20"/>
                <w:color w:val="auto"/>
              </w:rPr>
            </w:pPr>
            <w:r>
              <w:rPr>
                <w:rFonts w:ascii="Calibri" w:cs="Calibri" w:eastAsia="Calibri" w:hAnsi="Calibri"/>
                <w:sz w:val="14"/>
                <w:szCs w:val="14"/>
                <w:b w:val="1"/>
                <w:bCs w:val="1"/>
                <w:color w:val="003478"/>
              </w:rPr>
              <w:t>All NEOs, directors, nominees and other executve ofcers as a group</w:t>
            </w:r>
          </w:p>
        </w:tc>
        <w:tc>
          <w:tcPr>
            <w:tcW w:w="1120" w:type="dxa"/>
            <w:vAlign w:val="bottom"/>
            <w:tcBorders>
              <w:top w:val="single" w:sz="8" w:color="959595"/>
            </w:tcBorders>
          </w:tcPr>
          <w:p>
            <w:pPr>
              <w:spacing w:after="0"/>
              <w:rPr>
                <w:sz w:val="14"/>
                <w:szCs w:val="14"/>
                <w:color w:val="auto"/>
              </w:rPr>
            </w:pPr>
          </w:p>
        </w:tc>
        <w:tc>
          <w:tcPr>
            <w:tcW w:w="500" w:type="dxa"/>
            <w:vAlign w:val="bottom"/>
            <w:tcBorders>
              <w:top w:val="single" w:sz="8" w:color="959595"/>
            </w:tcBorders>
          </w:tcPr>
          <w:p>
            <w:pPr>
              <w:spacing w:after="0"/>
              <w:rPr>
                <w:sz w:val="14"/>
                <w:szCs w:val="14"/>
                <w:color w:val="auto"/>
              </w:rPr>
            </w:pPr>
          </w:p>
        </w:tc>
        <w:tc>
          <w:tcPr>
            <w:tcW w:w="860" w:type="dxa"/>
            <w:vAlign w:val="bottom"/>
            <w:tcBorders>
              <w:top w:val="single" w:sz="8" w:color="959595"/>
            </w:tcBorders>
          </w:tcPr>
          <w:p>
            <w:pPr>
              <w:spacing w:after="0"/>
              <w:rPr>
                <w:sz w:val="14"/>
                <w:szCs w:val="14"/>
                <w:color w:val="auto"/>
              </w:rPr>
            </w:pPr>
          </w:p>
        </w:tc>
        <w:tc>
          <w:tcPr>
            <w:tcW w:w="620" w:type="dxa"/>
            <w:vAlign w:val="bottom"/>
            <w:tcBorders>
              <w:top w:val="single" w:sz="8" w:color="959595"/>
            </w:tcBorders>
          </w:tcPr>
          <w:p>
            <w:pPr>
              <w:spacing w:after="0"/>
              <w:rPr>
                <w:sz w:val="14"/>
                <w:szCs w:val="14"/>
                <w:color w:val="auto"/>
              </w:rPr>
            </w:pPr>
          </w:p>
        </w:tc>
        <w:tc>
          <w:tcPr>
            <w:tcW w:w="780" w:type="dxa"/>
            <w:vAlign w:val="bottom"/>
            <w:tcBorders>
              <w:top w:val="single" w:sz="8" w:color="959595"/>
            </w:tcBorders>
          </w:tcPr>
          <w:p>
            <w:pPr>
              <w:spacing w:after="0"/>
              <w:rPr>
                <w:sz w:val="14"/>
                <w:szCs w:val="14"/>
                <w:color w:val="auto"/>
              </w:rPr>
            </w:pPr>
          </w:p>
        </w:tc>
      </w:tr>
      <w:tr>
        <w:trPr>
          <w:trHeight w:val="170"/>
        </w:trPr>
        <w:tc>
          <w:tcPr>
            <w:tcW w:w="7360" w:type="dxa"/>
            <w:vAlign w:val="bottom"/>
          </w:tcPr>
          <w:p>
            <w:pPr>
              <w:ind w:left="20"/>
              <w:spacing w:after="0"/>
              <w:rPr>
                <w:sz w:val="20"/>
                <w:szCs w:val="20"/>
                <w:color w:val="auto"/>
              </w:rPr>
            </w:pPr>
            <w:r>
              <w:rPr>
                <w:rFonts w:ascii="Calibri" w:cs="Calibri" w:eastAsia="Calibri" w:hAnsi="Calibri"/>
                <w:sz w:val="14"/>
                <w:szCs w:val="14"/>
                <w:b w:val="1"/>
                <w:bCs w:val="1"/>
                <w:color w:val="003478"/>
              </w:rPr>
              <w:t>(24 individuals)</w:t>
            </w:r>
          </w:p>
        </w:tc>
        <w:tc>
          <w:tcPr>
            <w:tcW w:w="1120" w:type="dxa"/>
            <w:vAlign w:val="bottom"/>
          </w:tcPr>
          <w:p>
            <w:pPr>
              <w:jc w:val="right"/>
              <w:spacing w:after="0"/>
              <w:rPr>
                <w:sz w:val="20"/>
                <w:szCs w:val="20"/>
                <w:color w:val="auto"/>
              </w:rPr>
            </w:pPr>
            <w:r>
              <w:rPr>
                <w:rFonts w:ascii="Calibri" w:cs="Calibri" w:eastAsia="Calibri" w:hAnsi="Calibri"/>
                <w:sz w:val="14"/>
                <w:szCs w:val="14"/>
                <w:color w:val="auto"/>
              </w:rPr>
              <w:t>115,104</w:t>
            </w: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auto"/>
              </w:rPr>
              <w:t>203,221</w:t>
            </w:r>
          </w:p>
        </w:tc>
        <w:tc>
          <w:tcPr>
            <w:tcW w:w="6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318,325</w:t>
            </w:r>
          </w:p>
        </w:tc>
      </w:tr>
      <w:tr>
        <w:trPr>
          <w:trHeight w:val="47"/>
        </w:trPr>
        <w:tc>
          <w:tcPr>
            <w:tcW w:w="7360" w:type="dxa"/>
            <w:vAlign w:val="bottom"/>
            <w:tcBorders>
              <w:bottom w:val="single" w:sz="8" w:color="959595"/>
            </w:tcBorders>
          </w:tcPr>
          <w:p>
            <w:pPr>
              <w:spacing w:after="0"/>
              <w:rPr>
                <w:sz w:val="4"/>
                <w:szCs w:val="4"/>
                <w:color w:val="auto"/>
              </w:rPr>
            </w:pPr>
          </w:p>
        </w:tc>
        <w:tc>
          <w:tcPr>
            <w:tcW w:w="1120" w:type="dxa"/>
            <w:vAlign w:val="bottom"/>
            <w:tcBorders>
              <w:bottom w:val="single" w:sz="8" w:color="959595"/>
            </w:tcBorders>
          </w:tcPr>
          <w:p>
            <w:pPr>
              <w:spacing w:after="0"/>
              <w:rPr>
                <w:sz w:val="4"/>
                <w:szCs w:val="4"/>
                <w:color w:val="auto"/>
              </w:rPr>
            </w:pPr>
          </w:p>
        </w:tc>
        <w:tc>
          <w:tcPr>
            <w:tcW w:w="500" w:type="dxa"/>
            <w:vAlign w:val="bottom"/>
            <w:tcBorders>
              <w:bottom w:val="single" w:sz="8" w:color="959595"/>
            </w:tcBorders>
          </w:tcPr>
          <w:p>
            <w:pPr>
              <w:spacing w:after="0"/>
              <w:rPr>
                <w:sz w:val="4"/>
                <w:szCs w:val="4"/>
                <w:color w:val="auto"/>
              </w:rPr>
            </w:pPr>
          </w:p>
        </w:tc>
        <w:tc>
          <w:tcPr>
            <w:tcW w:w="860" w:type="dxa"/>
            <w:vAlign w:val="bottom"/>
            <w:tcBorders>
              <w:bottom w:val="single" w:sz="8" w:color="959595"/>
            </w:tcBorders>
          </w:tcPr>
          <w:p>
            <w:pPr>
              <w:spacing w:after="0"/>
              <w:rPr>
                <w:sz w:val="4"/>
                <w:szCs w:val="4"/>
                <w:color w:val="auto"/>
              </w:rPr>
            </w:pPr>
          </w:p>
        </w:tc>
        <w:tc>
          <w:tcPr>
            <w:tcW w:w="620" w:type="dxa"/>
            <w:vAlign w:val="bottom"/>
            <w:tcBorders>
              <w:bottom w:val="single" w:sz="8" w:color="959595"/>
            </w:tcBorders>
          </w:tcPr>
          <w:p>
            <w:pPr>
              <w:spacing w:after="0"/>
              <w:rPr>
                <w:sz w:val="4"/>
                <w:szCs w:val="4"/>
                <w:color w:val="auto"/>
              </w:rPr>
            </w:pPr>
          </w:p>
        </w:tc>
        <w:tc>
          <w:tcPr>
            <w:tcW w:w="780" w:type="dxa"/>
            <w:vAlign w:val="bottom"/>
            <w:tcBorders>
              <w:bottom w:val="single" w:sz="8" w:color="959595"/>
            </w:tcBorders>
          </w:tcPr>
          <w:p>
            <w:pPr>
              <w:spacing w:after="0"/>
              <w:rPr>
                <w:sz w:val="4"/>
                <w:szCs w:val="4"/>
                <w:color w:val="auto"/>
              </w:rPr>
            </w:pPr>
          </w:p>
        </w:tc>
      </w:tr>
    </w:tbl>
    <w:p>
      <w:pPr>
        <w:spacing w:after="0" w:line="175" w:lineRule="exact"/>
        <w:rPr>
          <w:sz w:val="20"/>
          <w:szCs w:val="20"/>
          <w:color w:val="auto"/>
        </w:rPr>
      </w:pPr>
    </w:p>
    <w:p>
      <w:pPr>
        <w:ind w:left="260" w:right="140" w:hanging="252"/>
        <w:spacing w:after="0" w:line="229" w:lineRule="auto"/>
        <w:tabs>
          <w:tab w:leader="none" w:pos="256" w:val="left"/>
        </w:tabs>
        <w:numPr>
          <w:ilvl w:val="0"/>
          <w:numId w:val="102"/>
        </w:numPr>
        <w:rPr>
          <w:rFonts w:ascii="Calibri" w:cs="Calibri" w:eastAsia="Calibri" w:hAnsi="Calibri"/>
          <w:sz w:val="19"/>
          <w:szCs w:val="19"/>
          <w:color w:val="auto"/>
          <w:vertAlign w:val="superscript"/>
        </w:rPr>
      </w:pPr>
      <w:r>
        <w:rPr>
          <w:rFonts w:ascii="Calibri" w:cs="Calibri" w:eastAsia="Calibri" w:hAnsi="Calibri"/>
          <w:sz w:val="14"/>
          <w:szCs w:val="14"/>
          <w:color w:val="auto"/>
        </w:rPr>
        <w:t>Includes shares payable at terminaton with respect to vested stock units credited under the Directors Equity Plan for which a director has elected payment in stock for Mr. Burrit 538; Mr. Carlson 2,197; Mr. Donovan 513; Mr. Dunford 1,341; Mr. Ellis 20,934; Ms. Gordon 257; Ms. Hollub 2,228; Mr. Johnson 2,458; Ms. Reed-Klages 1,436; Mr. Taiclet 1,095; and Ms. Yarrington 688. Units for which a director has elected payment in cash are reported in the “Stock Units” column.</w:t>
      </w:r>
    </w:p>
    <w:p>
      <w:pPr>
        <w:spacing w:after="0" w:line="73" w:lineRule="exact"/>
        <w:rPr>
          <w:rFonts w:ascii="Calibri" w:cs="Calibri" w:eastAsia="Calibri" w:hAnsi="Calibri"/>
          <w:sz w:val="19"/>
          <w:szCs w:val="19"/>
          <w:color w:val="auto"/>
          <w:vertAlign w:val="superscript"/>
        </w:rPr>
      </w:pPr>
    </w:p>
    <w:p>
      <w:pPr>
        <w:ind w:left="260" w:right="180" w:hanging="252"/>
        <w:spacing w:after="0" w:line="213" w:lineRule="auto"/>
        <w:tabs>
          <w:tab w:leader="none" w:pos="256" w:val="left"/>
        </w:tabs>
        <w:numPr>
          <w:ilvl w:val="0"/>
          <w:numId w:val="102"/>
        </w:numPr>
        <w:rPr>
          <w:rFonts w:ascii="Calibri" w:cs="Calibri" w:eastAsia="Calibri" w:hAnsi="Calibri"/>
          <w:sz w:val="19"/>
          <w:szCs w:val="19"/>
          <w:color w:val="auto"/>
          <w:vertAlign w:val="superscript"/>
        </w:rPr>
      </w:pPr>
      <w:r>
        <w:rPr>
          <w:rFonts w:ascii="Calibri" w:cs="Calibri" w:eastAsia="Calibri" w:hAnsi="Calibri"/>
          <w:sz w:val="14"/>
          <w:szCs w:val="14"/>
          <w:color w:val="auto"/>
        </w:rPr>
        <w:t>Includes shares atributable to the partcipant’s account in the Lockheed Martn Salaried Savings Plan for Mr. Greene 52; Ms. Lavan 40; Mr. Malave 37; Mr. Mollard 289; Mr. St. John 8; Mr. Taiclet 42; and Mr. Ulmer 51. Partcipants have votng power and investment power over the shares.</w:t>
      </w:r>
    </w:p>
    <w:p>
      <w:pPr>
        <w:spacing w:after="0" w:line="12" w:lineRule="exact"/>
        <w:rPr>
          <w:rFonts w:ascii="Calibri" w:cs="Calibri" w:eastAsia="Calibri" w:hAnsi="Calibri"/>
          <w:sz w:val="19"/>
          <w:szCs w:val="19"/>
          <w:color w:val="auto"/>
          <w:vertAlign w:val="superscript"/>
        </w:rPr>
      </w:pPr>
    </w:p>
    <w:p>
      <w:pPr>
        <w:ind w:left="240" w:hanging="232"/>
        <w:spacing w:after="0"/>
        <w:tabs>
          <w:tab w:leader="none" w:pos="240" w:val="left"/>
        </w:tabs>
        <w:numPr>
          <w:ilvl w:val="0"/>
          <w:numId w:val="102"/>
        </w:numPr>
        <w:rPr>
          <w:rFonts w:ascii="Calibri" w:cs="Calibri" w:eastAsia="Calibri" w:hAnsi="Calibri"/>
          <w:sz w:val="19"/>
          <w:szCs w:val="19"/>
          <w:color w:val="auto"/>
          <w:vertAlign w:val="superscript"/>
        </w:rPr>
      </w:pPr>
      <w:r>
        <w:rPr>
          <w:rFonts w:ascii="Calibri" w:cs="Calibri" w:eastAsia="Calibri" w:hAnsi="Calibri"/>
          <w:sz w:val="14"/>
          <w:szCs w:val="14"/>
          <w:color w:val="auto"/>
        </w:rPr>
        <w:t>Does not include PSUs. There are no votng rights associated with stock units or RSUs.</w:t>
      </w:r>
    </w:p>
    <w:p>
      <w:pPr>
        <w:spacing w:after="0" w:line="39" w:lineRule="exact"/>
        <w:rPr>
          <w:rFonts w:ascii="Calibri" w:cs="Calibri" w:eastAsia="Calibri" w:hAnsi="Calibri"/>
          <w:sz w:val="19"/>
          <w:szCs w:val="19"/>
          <w:color w:val="auto"/>
          <w:vertAlign w:val="superscript"/>
        </w:rPr>
      </w:pPr>
    </w:p>
    <w:p>
      <w:pPr>
        <w:ind w:left="240" w:hanging="232"/>
        <w:spacing w:after="0" w:line="196" w:lineRule="auto"/>
        <w:tabs>
          <w:tab w:leader="none" w:pos="240" w:val="left"/>
        </w:tabs>
        <w:numPr>
          <w:ilvl w:val="0"/>
          <w:numId w:val="102"/>
        </w:numPr>
        <w:rPr>
          <w:rFonts w:ascii="Calibri" w:cs="Calibri" w:eastAsia="Calibri" w:hAnsi="Calibri"/>
          <w:sz w:val="19"/>
          <w:szCs w:val="19"/>
          <w:color w:val="auto"/>
          <w:vertAlign w:val="superscript"/>
        </w:rPr>
      </w:pPr>
      <w:r>
        <w:rPr>
          <w:rFonts w:ascii="Calibri" w:cs="Calibri" w:eastAsia="Calibri" w:hAnsi="Calibri"/>
          <w:sz w:val="14"/>
          <w:szCs w:val="14"/>
          <w:color w:val="auto"/>
        </w:rPr>
        <w:t>For Mr. Akerson, includes 3 shares held by his spouse.</w:t>
      </w:r>
    </w:p>
    <w:p>
      <w:pPr>
        <w:spacing w:after="0" w:line="53" w:lineRule="exact"/>
        <w:rPr>
          <w:rFonts w:ascii="Calibri" w:cs="Calibri" w:eastAsia="Calibri" w:hAnsi="Calibri"/>
          <w:sz w:val="19"/>
          <w:szCs w:val="19"/>
          <w:color w:val="auto"/>
          <w:vertAlign w:val="superscript"/>
        </w:rPr>
      </w:pPr>
    </w:p>
    <w:p>
      <w:pPr>
        <w:ind w:left="240" w:hanging="232"/>
        <w:spacing w:after="0" w:line="196" w:lineRule="auto"/>
        <w:tabs>
          <w:tab w:leader="none" w:pos="240" w:val="left"/>
        </w:tabs>
        <w:numPr>
          <w:ilvl w:val="0"/>
          <w:numId w:val="102"/>
        </w:numPr>
        <w:rPr>
          <w:rFonts w:ascii="Calibri" w:cs="Calibri" w:eastAsia="Calibri" w:hAnsi="Calibri"/>
          <w:sz w:val="19"/>
          <w:szCs w:val="19"/>
          <w:color w:val="auto"/>
          <w:vertAlign w:val="superscript"/>
        </w:rPr>
      </w:pPr>
      <w:r>
        <w:rPr>
          <w:rFonts w:ascii="Calibri" w:cs="Calibri" w:eastAsia="Calibri" w:hAnsi="Calibri"/>
          <w:sz w:val="14"/>
          <w:szCs w:val="14"/>
          <w:color w:val="auto"/>
        </w:rPr>
        <w:t>For Mr. Burrit, includes 1,796 shares held by an irrevocable trust for the beneft of members of his immediate family.</w:t>
      </w:r>
    </w:p>
    <w:p>
      <w:pPr>
        <w:spacing w:after="0" w:line="53" w:lineRule="exact"/>
        <w:rPr>
          <w:rFonts w:ascii="Calibri" w:cs="Calibri" w:eastAsia="Calibri" w:hAnsi="Calibri"/>
          <w:sz w:val="19"/>
          <w:szCs w:val="19"/>
          <w:color w:val="auto"/>
          <w:vertAlign w:val="superscript"/>
        </w:rPr>
      </w:pPr>
    </w:p>
    <w:p>
      <w:pPr>
        <w:ind w:left="240" w:hanging="232"/>
        <w:spacing w:after="0" w:line="196" w:lineRule="auto"/>
        <w:tabs>
          <w:tab w:leader="none" w:pos="240" w:val="left"/>
        </w:tabs>
        <w:numPr>
          <w:ilvl w:val="0"/>
          <w:numId w:val="102"/>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shares benefcially owned by Mr. Falk and his spouse through a family limited partnership.</w:t>
      </w:r>
    </w:p>
    <w:p>
      <w:pPr>
        <w:spacing w:after="0" w:line="73" w:lineRule="exact"/>
        <w:rPr>
          <w:rFonts w:ascii="Calibri" w:cs="Calibri" w:eastAsia="Calibri" w:hAnsi="Calibri"/>
          <w:sz w:val="19"/>
          <w:szCs w:val="19"/>
          <w:color w:val="auto"/>
          <w:vertAlign w:val="superscript"/>
        </w:rPr>
      </w:pPr>
    </w:p>
    <w:p>
      <w:pPr>
        <w:jc w:val="both"/>
        <w:ind w:left="260" w:right="200" w:hanging="252"/>
        <w:spacing w:after="0" w:line="229" w:lineRule="auto"/>
        <w:tabs>
          <w:tab w:leader="none" w:pos="256" w:val="left"/>
        </w:tabs>
        <w:numPr>
          <w:ilvl w:val="0"/>
          <w:numId w:val="102"/>
        </w:numPr>
        <w:rPr>
          <w:rFonts w:ascii="Calibri" w:cs="Calibri" w:eastAsia="Calibri" w:hAnsi="Calibri"/>
          <w:sz w:val="19"/>
          <w:szCs w:val="19"/>
          <w:color w:val="auto"/>
          <w:vertAlign w:val="superscript"/>
        </w:rPr>
      </w:pPr>
      <w:r>
        <w:rPr>
          <w:rFonts w:ascii="Calibri" w:cs="Calibri" w:eastAsia="Calibri" w:hAnsi="Calibri"/>
          <w:sz w:val="14"/>
          <w:szCs w:val="14"/>
          <w:color w:val="auto"/>
        </w:rPr>
        <w:t>Includes vested stock units under the Directors Equity Plan for which directors have elected to receive distributons of units in the form of cash as well as unvested stock units credited on February 15, 2023 for the annual equity award (354 shares). Mr. Akerson 6,014; Mr. Burrit 11,368; Mr. Carlson 2,504; Mr. Donovan 354; Mr. Dunford 354; Mr. Ellis 1,535; Mr. Falk 13,237; Ms. Gordon 2,638; Ms. Hollub 354; Mr. Johnson 354; Ms. Reed-Klages 354; and Ms. Yarrington 354.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3" w:name="page84"/>
    <w:bookmarkEnd w:id="83"/>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Security Ownership of Management and Certain Beneficial Owners</w:t>
      </w:r>
    </w:p>
    <w:p>
      <w:pPr>
        <w:spacing w:after="0" w:line="200" w:lineRule="exact"/>
        <w:rPr>
          <w:sz w:val="20"/>
          <w:szCs w:val="20"/>
          <w:color w:val="auto"/>
        </w:rPr>
      </w:pPr>
    </w:p>
    <w:p>
      <w:pPr>
        <w:spacing w:after="0" w:line="373" w:lineRule="exact"/>
        <w:rPr>
          <w:sz w:val="20"/>
          <w:szCs w:val="20"/>
          <w:color w:val="auto"/>
        </w:rPr>
      </w:pPr>
    </w:p>
    <w:p>
      <w:pPr>
        <w:ind w:left="260" w:right="300" w:hanging="252"/>
        <w:spacing w:after="0" w:line="213" w:lineRule="auto"/>
        <w:tabs>
          <w:tab w:leader="none" w:pos="256" w:val="left"/>
        </w:tabs>
        <w:numPr>
          <w:ilvl w:val="0"/>
          <w:numId w:val="103"/>
        </w:numPr>
        <w:rPr>
          <w:rFonts w:ascii="Calibri" w:cs="Calibri" w:eastAsia="Calibri" w:hAnsi="Calibri"/>
          <w:sz w:val="19"/>
          <w:szCs w:val="19"/>
          <w:color w:val="auto"/>
          <w:vertAlign w:val="superscript"/>
        </w:rPr>
      </w:pPr>
      <w:r>
        <w:rPr>
          <w:rFonts w:ascii="Calibri" w:cs="Calibri" w:eastAsia="Calibri" w:hAnsi="Calibri"/>
          <w:sz w:val="14"/>
          <w:szCs w:val="14"/>
          <w:color w:val="auto"/>
        </w:rPr>
        <w:t>Includes stock units under the Directors Deferred Compensaton Plan representng deferred cash compensaton for Mr. Burrit 9,269; Mr. Carlson 414; Mr. Donovan 448; and Ms. Hollub 1,612. The stock units (including dividend equivalents credited as stock units) are distributed in the form of cash.</w:t>
      </w:r>
    </w:p>
    <w:p>
      <w:pPr>
        <w:spacing w:after="0" w:line="74" w:lineRule="exact"/>
        <w:rPr>
          <w:rFonts w:ascii="Calibri" w:cs="Calibri" w:eastAsia="Calibri" w:hAnsi="Calibri"/>
          <w:sz w:val="19"/>
          <w:szCs w:val="19"/>
          <w:color w:val="auto"/>
          <w:vertAlign w:val="superscript"/>
        </w:rPr>
      </w:pPr>
    </w:p>
    <w:p>
      <w:pPr>
        <w:ind w:left="260" w:right="220" w:hanging="252"/>
        <w:spacing w:after="0" w:line="213" w:lineRule="auto"/>
        <w:tabs>
          <w:tab w:leader="none" w:pos="256" w:val="left"/>
        </w:tabs>
        <w:numPr>
          <w:ilvl w:val="0"/>
          <w:numId w:val="103"/>
        </w:numPr>
        <w:rPr>
          <w:rFonts w:ascii="Calibri" w:cs="Calibri" w:eastAsia="Calibri" w:hAnsi="Calibri"/>
          <w:sz w:val="19"/>
          <w:szCs w:val="19"/>
          <w:color w:val="auto"/>
          <w:vertAlign w:val="superscript"/>
        </w:rPr>
      </w:pPr>
      <w:r>
        <w:rPr>
          <w:rFonts w:ascii="Calibri" w:cs="Calibri" w:eastAsia="Calibri" w:hAnsi="Calibri"/>
          <w:sz w:val="14"/>
          <w:szCs w:val="14"/>
          <w:color w:val="auto"/>
        </w:rPr>
        <w:t>Includes stock units atributable to the partcipant’s account under the DMICP for Ms. Lavan 10,163; Mr. St. John 148; and Mr. Ulmer 1,124. Although most of the units will be distributed following terminaton or retrement in shares of stock, none of the units are convertble into shares of stock within 60 days of February 24, 2023.</w:t>
      </w:r>
    </w:p>
    <w:p>
      <w:pPr>
        <w:spacing w:after="0" w:line="60" w:lineRule="exact"/>
        <w:rPr>
          <w:rFonts w:ascii="Calibri" w:cs="Calibri" w:eastAsia="Calibri" w:hAnsi="Calibri"/>
          <w:sz w:val="19"/>
          <w:szCs w:val="19"/>
          <w:color w:val="auto"/>
          <w:vertAlign w:val="superscript"/>
        </w:rPr>
      </w:pPr>
    </w:p>
    <w:p>
      <w:pPr>
        <w:ind w:left="260" w:right="240" w:hanging="252"/>
        <w:spacing w:after="0" w:line="213" w:lineRule="auto"/>
        <w:tabs>
          <w:tab w:leader="none" w:pos="249" w:val="left"/>
        </w:tabs>
        <w:numPr>
          <w:ilvl w:val="0"/>
          <w:numId w:val="103"/>
        </w:numPr>
        <w:rPr>
          <w:rFonts w:ascii="Calibri" w:cs="Calibri" w:eastAsia="Calibri" w:hAnsi="Calibri"/>
          <w:sz w:val="19"/>
          <w:szCs w:val="19"/>
          <w:color w:val="auto"/>
          <w:vertAlign w:val="superscript"/>
        </w:rPr>
      </w:pPr>
      <w:r>
        <w:rPr>
          <w:rFonts w:ascii="Calibri" w:cs="Calibri" w:eastAsia="Calibri" w:hAnsi="Calibri"/>
          <w:sz w:val="14"/>
          <w:szCs w:val="14"/>
          <w:color w:val="auto"/>
        </w:rPr>
        <w:t>Includes stock units atributable to the partcipant’s account under the NQSSP for Mr. Greene 320; Ms. Lavan 178; Mr. Mollard 1,260; Mr. St. John 84; Mr. Taiclet 363; and Mr. Ulmer 689. Amounts credited to a partcipant’s account in the NQSSP are distributed in cash following terminaton of employment.</w:t>
      </w:r>
    </w:p>
    <w:p>
      <w:pPr>
        <w:spacing w:after="0" w:line="74" w:lineRule="exact"/>
        <w:rPr>
          <w:rFonts w:ascii="Calibri" w:cs="Calibri" w:eastAsia="Calibri" w:hAnsi="Calibri"/>
          <w:sz w:val="19"/>
          <w:szCs w:val="19"/>
          <w:color w:val="auto"/>
          <w:vertAlign w:val="superscript"/>
        </w:rPr>
      </w:pPr>
    </w:p>
    <w:p>
      <w:pPr>
        <w:ind w:left="260" w:right="80" w:hanging="252"/>
        <w:spacing w:after="0" w:line="213" w:lineRule="auto"/>
        <w:tabs>
          <w:tab w:leader="none" w:pos="249" w:val="left"/>
        </w:tabs>
        <w:numPr>
          <w:ilvl w:val="0"/>
          <w:numId w:val="103"/>
        </w:numPr>
        <w:rPr>
          <w:rFonts w:ascii="Calibri" w:cs="Calibri" w:eastAsia="Calibri" w:hAnsi="Calibri"/>
          <w:sz w:val="19"/>
          <w:szCs w:val="19"/>
          <w:color w:val="auto"/>
          <w:vertAlign w:val="superscript"/>
        </w:rPr>
      </w:pPr>
      <w:r>
        <w:rPr>
          <w:rFonts w:ascii="Calibri" w:cs="Calibri" w:eastAsia="Calibri" w:hAnsi="Calibri"/>
          <w:sz w:val="14"/>
          <w:szCs w:val="14"/>
          <w:color w:val="auto"/>
        </w:rPr>
        <w:t>Includes unvested RSUs for Mr. Greene 9,458, Ms. Lavan 10,650; Mr. Malave 9,299; Mr. Mollard 3,090; Mr. St. John 16,589; Mr. Taiclet 44,863; and Mr. Ulmer 10,218. Each RSU represents a contngent right to receive one share of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29"/>
          <w:szCs w:val="29"/>
          <w:color w:val="003478"/>
        </w:rPr>
        <w:t>Security Ownership of Certain Beneficial Owners</w:t>
      </w:r>
    </w:p>
    <w:p>
      <w:pPr>
        <w:spacing w:after="0" w:line="130" w:lineRule="exact"/>
        <w:rPr>
          <w:sz w:val="20"/>
          <w:szCs w:val="20"/>
          <w:color w:val="auto"/>
        </w:rPr>
      </w:pPr>
    </w:p>
    <w:p>
      <w:pPr>
        <w:ind w:right="120"/>
        <w:spacing w:after="0" w:line="258" w:lineRule="auto"/>
        <w:rPr>
          <w:sz w:val="20"/>
          <w:szCs w:val="20"/>
          <w:color w:val="auto"/>
        </w:rPr>
      </w:pPr>
      <w:r>
        <w:rPr>
          <w:rFonts w:ascii="Calibri" w:cs="Calibri" w:eastAsia="Calibri" w:hAnsi="Calibri"/>
          <w:sz w:val="17"/>
          <w:szCs w:val="17"/>
          <w:color w:val="auto"/>
        </w:rPr>
        <w:t>The following table shows informaton regarding each person known to be a “benefcial owner” of more than 5% of our common stock. For purposes of this table, benefcial ownership of securites generally means the power to vote or dispose of securites, or the right to acquire securites within 60 days that may be voted or disposed of, regardless of any economic interest in the securites. All informaton shown is based on informaton reported by the fler on a Schedule 13G fled with the SEC on the dates indicated in the footnotes to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20" w:type="dxa"/>
            <w:vAlign w:val="bottom"/>
            <w:shd w:val="clear" w:color="auto" w:fill="E5E7EF"/>
          </w:tcPr>
          <w:p>
            <w:pPr>
              <w:spacing w:after="0"/>
              <w:rPr>
                <w:sz w:val="17"/>
                <w:szCs w:val="17"/>
                <w:color w:val="auto"/>
              </w:rPr>
            </w:pPr>
          </w:p>
        </w:tc>
        <w:tc>
          <w:tcPr>
            <w:tcW w:w="4640" w:type="dxa"/>
            <w:vAlign w:val="bottom"/>
            <w:shd w:val="clear" w:color="auto" w:fill="E5E7EF"/>
          </w:tcPr>
          <w:p>
            <w:pPr>
              <w:jc w:val="right"/>
              <w:ind w:right="212"/>
              <w:spacing w:after="0"/>
              <w:rPr>
                <w:sz w:val="20"/>
                <w:szCs w:val="20"/>
                <w:color w:val="auto"/>
              </w:rPr>
            </w:pPr>
            <w:r>
              <w:rPr>
                <w:rFonts w:ascii="Arial" w:cs="Arial" w:eastAsia="Arial" w:hAnsi="Arial"/>
                <w:sz w:val="13"/>
                <w:szCs w:val="13"/>
                <w:color w:val="auto"/>
              </w:rPr>
              <w:t>Amount of</w:t>
            </w:r>
          </w:p>
        </w:tc>
        <w:tc>
          <w:tcPr>
            <w:tcW w:w="13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Percent of</w:t>
            </w:r>
          </w:p>
        </w:tc>
      </w:tr>
      <w:tr>
        <w:trPr>
          <w:trHeight w:val="198"/>
        </w:trPr>
        <w:tc>
          <w:tcPr>
            <w:tcW w:w="52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 and Address</w:t>
            </w:r>
          </w:p>
        </w:tc>
        <w:tc>
          <w:tcPr>
            <w:tcW w:w="4640" w:type="dxa"/>
            <w:vAlign w:val="bottom"/>
            <w:tcBorders>
              <w:bottom w:val="single" w:sz="8" w:color="E5E7EF"/>
            </w:tcBorders>
            <w:shd w:val="clear" w:color="auto" w:fill="E5E7EF"/>
          </w:tcPr>
          <w:p>
            <w:pPr>
              <w:jc w:val="right"/>
              <w:ind w:right="172"/>
              <w:spacing w:after="0"/>
              <w:rPr>
                <w:sz w:val="20"/>
                <w:szCs w:val="20"/>
                <w:color w:val="auto"/>
              </w:rPr>
            </w:pPr>
            <w:r>
              <w:rPr>
                <w:rFonts w:ascii="Arial" w:cs="Arial" w:eastAsia="Arial" w:hAnsi="Arial"/>
                <w:sz w:val="13"/>
                <w:szCs w:val="13"/>
                <w:color w:val="auto"/>
              </w:rPr>
              <w:t>Common Stock</w:t>
            </w:r>
          </w:p>
        </w:tc>
        <w:tc>
          <w:tcPr>
            <w:tcW w:w="13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Outstanding Shares</w:t>
            </w:r>
          </w:p>
        </w:tc>
      </w:tr>
      <w:tr>
        <w:trPr>
          <w:trHeight w:val="195"/>
        </w:trPr>
        <w:tc>
          <w:tcPr>
            <w:tcW w:w="5220" w:type="dxa"/>
            <w:vAlign w:val="bottom"/>
            <w:tcBorders>
              <w:top w:val="single" w:sz="8" w:color="003478"/>
            </w:tcBorders>
          </w:tcPr>
          <w:p>
            <w:pPr>
              <w:ind w:left="20"/>
              <w:spacing w:after="0" w:line="196" w:lineRule="exact"/>
              <w:rPr>
                <w:sz w:val="20"/>
                <w:szCs w:val="20"/>
                <w:color w:val="auto"/>
              </w:rPr>
            </w:pPr>
            <w:r>
              <w:rPr>
                <w:rFonts w:ascii="Calibri" w:cs="Calibri" w:eastAsia="Calibri" w:hAnsi="Calibri"/>
                <w:sz w:val="14"/>
                <w:szCs w:val="14"/>
                <w:color w:val="auto"/>
              </w:rPr>
              <w:t>State Street Corporaton</w:t>
            </w:r>
            <w:r>
              <w:rPr>
                <w:rFonts w:ascii="Calibri" w:cs="Calibri" w:eastAsia="Calibri" w:hAnsi="Calibri"/>
                <w:sz w:val="18"/>
                <w:szCs w:val="18"/>
                <w:color w:val="auto"/>
                <w:vertAlign w:val="superscript"/>
              </w:rPr>
              <w:t>(1)</w:t>
            </w:r>
          </w:p>
        </w:tc>
        <w:tc>
          <w:tcPr>
            <w:tcW w:w="4640" w:type="dxa"/>
            <w:vAlign w:val="bottom"/>
            <w:tcBorders>
              <w:top w:val="single" w:sz="8" w:color="003478"/>
            </w:tcBorders>
          </w:tcPr>
          <w:p>
            <w:pPr>
              <w:jc w:val="right"/>
              <w:ind w:right="212"/>
              <w:spacing w:after="0"/>
              <w:rPr>
                <w:sz w:val="20"/>
                <w:szCs w:val="20"/>
                <w:color w:val="auto"/>
              </w:rPr>
            </w:pPr>
            <w:r>
              <w:rPr>
                <w:rFonts w:ascii="Calibri" w:cs="Calibri" w:eastAsia="Calibri" w:hAnsi="Calibri"/>
                <w:sz w:val="14"/>
                <w:szCs w:val="14"/>
                <w:color w:val="auto"/>
              </w:rPr>
              <w:t>37,797,517</w:t>
            </w:r>
          </w:p>
        </w:tc>
        <w:tc>
          <w:tcPr>
            <w:tcW w:w="1380" w:type="dxa"/>
            <w:vAlign w:val="bottom"/>
            <w:tcBorders>
              <w:top w:val="single" w:sz="8" w:color="003478"/>
            </w:tcBorders>
          </w:tcPr>
          <w:p>
            <w:pPr>
              <w:jc w:val="right"/>
              <w:spacing w:after="0"/>
              <w:rPr>
                <w:sz w:val="20"/>
                <w:szCs w:val="20"/>
                <w:color w:val="auto"/>
              </w:rPr>
            </w:pPr>
            <w:r>
              <w:rPr>
                <w:rFonts w:ascii="Calibri" w:cs="Calibri" w:eastAsia="Calibri" w:hAnsi="Calibri"/>
                <w:sz w:val="14"/>
                <w:szCs w:val="14"/>
                <w:color w:val="auto"/>
              </w:rPr>
              <w:t>14.4 %</w:t>
            </w:r>
          </w:p>
        </w:tc>
      </w:tr>
      <w:tr>
        <w:trPr>
          <w:trHeight w:val="170"/>
        </w:trPr>
        <w:tc>
          <w:tcPr>
            <w:tcW w:w="5220" w:type="dxa"/>
            <w:vAlign w:val="bottom"/>
          </w:tcPr>
          <w:p>
            <w:pPr>
              <w:ind w:left="20"/>
              <w:spacing w:after="0"/>
              <w:rPr>
                <w:sz w:val="20"/>
                <w:szCs w:val="20"/>
                <w:color w:val="auto"/>
              </w:rPr>
            </w:pPr>
            <w:r>
              <w:rPr>
                <w:rFonts w:ascii="Calibri" w:cs="Calibri" w:eastAsia="Calibri" w:hAnsi="Calibri"/>
                <w:sz w:val="14"/>
                <w:szCs w:val="14"/>
                <w:color w:val="auto"/>
              </w:rPr>
              <w:t>State Street Financial Center</w:t>
            </w:r>
          </w:p>
        </w:tc>
        <w:tc>
          <w:tcPr>
            <w:tcW w:w="46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5220" w:type="dxa"/>
            <w:vAlign w:val="bottom"/>
          </w:tcPr>
          <w:p>
            <w:pPr>
              <w:ind w:left="20"/>
              <w:spacing w:after="0"/>
              <w:rPr>
                <w:sz w:val="20"/>
                <w:szCs w:val="20"/>
                <w:color w:val="auto"/>
              </w:rPr>
            </w:pPr>
            <w:r>
              <w:rPr>
                <w:rFonts w:ascii="Calibri" w:cs="Calibri" w:eastAsia="Calibri" w:hAnsi="Calibri"/>
                <w:sz w:val="14"/>
                <w:szCs w:val="14"/>
                <w:color w:val="auto"/>
              </w:rPr>
              <w:t>One Lincoln Street</w:t>
            </w:r>
          </w:p>
        </w:tc>
        <w:tc>
          <w:tcPr>
            <w:tcW w:w="46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5220" w:type="dxa"/>
            <w:vAlign w:val="bottom"/>
          </w:tcPr>
          <w:p>
            <w:pPr>
              <w:ind w:left="20"/>
              <w:spacing w:after="0"/>
              <w:rPr>
                <w:sz w:val="20"/>
                <w:szCs w:val="20"/>
                <w:color w:val="auto"/>
              </w:rPr>
            </w:pPr>
            <w:r>
              <w:rPr>
                <w:rFonts w:ascii="Calibri" w:cs="Calibri" w:eastAsia="Calibri" w:hAnsi="Calibri"/>
                <w:sz w:val="14"/>
                <w:szCs w:val="14"/>
                <w:color w:val="auto"/>
              </w:rPr>
              <w:t>Boston, MA 02111</w:t>
            </w:r>
          </w:p>
        </w:tc>
        <w:tc>
          <w:tcPr>
            <w:tcW w:w="46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47"/>
        </w:trPr>
        <w:tc>
          <w:tcPr>
            <w:tcW w:w="5220" w:type="dxa"/>
            <w:vAlign w:val="bottom"/>
            <w:tcBorders>
              <w:bottom w:val="single" w:sz="8" w:color="959595"/>
            </w:tcBorders>
          </w:tcPr>
          <w:p>
            <w:pPr>
              <w:spacing w:after="0"/>
              <w:rPr>
                <w:sz w:val="4"/>
                <w:szCs w:val="4"/>
                <w:color w:val="auto"/>
              </w:rPr>
            </w:pPr>
          </w:p>
        </w:tc>
        <w:tc>
          <w:tcPr>
            <w:tcW w:w="4640" w:type="dxa"/>
            <w:vAlign w:val="bottom"/>
            <w:tcBorders>
              <w:bottom w:val="single" w:sz="8" w:color="959595"/>
            </w:tcBorders>
          </w:tcPr>
          <w:p>
            <w:pPr>
              <w:spacing w:after="0"/>
              <w:rPr>
                <w:sz w:val="4"/>
                <w:szCs w:val="4"/>
                <w:color w:val="auto"/>
              </w:rPr>
            </w:pPr>
          </w:p>
        </w:tc>
        <w:tc>
          <w:tcPr>
            <w:tcW w:w="1380" w:type="dxa"/>
            <w:vAlign w:val="bottom"/>
            <w:tcBorders>
              <w:bottom w:val="single" w:sz="8" w:color="959595"/>
            </w:tcBorders>
          </w:tcPr>
          <w:p>
            <w:pPr>
              <w:spacing w:after="0"/>
              <w:rPr>
                <w:sz w:val="4"/>
                <w:szCs w:val="4"/>
                <w:color w:val="auto"/>
              </w:rPr>
            </w:pPr>
          </w:p>
        </w:tc>
      </w:tr>
      <w:tr>
        <w:trPr>
          <w:trHeight w:val="195"/>
        </w:trPr>
        <w:tc>
          <w:tcPr>
            <w:tcW w:w="5220" w:type="dxa"/>
            <w:vAlign w:val="bottom"/>
            <w:shd w:val="clear" w:color="auto" w:fill="E5E7EF"/>
          </w:tcPr>
          <w:p>
            <w:pPr>
              <w:ind w:left="20"/>
              <w:spacing w:after="0" w:line="196" w:lineRule="exact"/>
              <w:rPr>
                <w:sz w:val="20"/>
                <w:szCs w:val="20"/>
                <w:color w:val="auto"/>
              </w:rPr>
            </w:pPr>
            <w:r>
              <w:rPr>
                <w:rFonts w:ascii="Calibri" w:cs="Calibri" w:eastAsia="Calibri" w:hAnsi="Calibri"/>
                <w:sz w:val="14"/>
                <w:szCs w:val="14"/>
                <w:color w:val="auto"/>
              </w:rPr>
              <w:t>The Vanguard Group</w:t>
            </w:r>
            <w:r>
              <w:rPr>
                <w:rFonts w:ascii="Calibri" w:cs="Calibri" w:eastAsia="Calibri" w:hAnsi="Calibri"/>
                <w:sz w:val="18"/>
                <w:szCs w:val="18"/>
                <w:color w:val="auto"/>
                <w:vertAlign w:val="superscript"/>
              </w:rPr>
              <w:t>(2)</w:t>
            </w:r>
          </w:p>
        </w:tc>
        <w:tc>
          <w:tcPr>
            <w:tcW w:w="4640" w:type="dxa"/>
            <w:vAlign w:val="bottom"/>
            <w:shd w:val="clear" w:color="auto" w:fill="E5E7EF"/>
          </w:tcPr>
          <w:p>
            <w:pPr>
              <w:jc w:val="right"/>
              <w:ind w:right="212"/>
              <w:spacing w:after="0"/>
              <w:rPr>
                <w:sz w:val="20"/>
                <w:szCs w:val="20"/>
                <w:color w:val="auto"/>
              </w:rPr>
            </w:pPr>
            <w:r>
              <w:rPr>
                <w:rFonts w:ascii="Calibri" w:cs="Calibri" w:eastAsia="Calibri" w:hAnsi="Calibri"/>
                <w:sz w:val="14"/>
                <w:szCs w:val="14"/>
                <w:color w:val="auto"/>
              </w:rPr>
              <w:t>22,748,440</w:t>
            </w:r>
          </w:p>
        </w:tc>
        <w:tc>
          <w:tcPr>
            <w:tcW w:w="1380" w:type="dxa"/>
            <w:vAlign w:val="bottom"/>
            <w:shd w:val="clear" w:color="auto" w:fill="E5E7EF"/>
          </w:tcPr>
          <w:p>
            <w:pPr>
              <w:jc w:val="right"/>
              <w:spacing w:after="0"/>
              <w:rPr>
                <w:sz w:val="20"/>
                <w:szCs w:val="20"/>
                <w:color w:val="auto"/>
              </w:rPr>
            </w:pPr>
            <w:r>
              <w:rPr>
                <w:rFonts w:ascii="Calibri" w:cs="Calibri" w:eastAsia="Calibri" w:hAnsi="Calibri"/>
                <w:sz w:val="14"/>
                <w:szCs w:val="14"/>
                <w:color w:val="auto"/>
              </w:rPr>
              <w:t>8.7 %</w:t>
            </w:r>
          </w:p>
        </w:tc>
      </w:tr>
      <w:tr>
        <w:trPr>
          <w:trHeight w:val="170"/>
        </w:trPr>
        <w:tc>
          <w:tcPr>
            <w:tcW w:w="5220" w:type="dxa"/>
            <w:vAlign w:val="bottom"/>
            <w:shd w:val="clear" w:color="auto" w:fill="E5E7EF"/>
          </w:tcPr>
          <w:p>
            <w:pPr>
              <w:ind w:left="20"/>
              <w:spacing w:after="0"/>
              <w:rPr>
                <w:sz w:val="20"/>
                <w:szCs w:val="20"/>
                <w:color w:val="auto"/>
              </w:rPr>
            </w:pPr>
            <w:r>
              <w:rPr>
                <w:rFonts w:ascii="Calibri" w:cs="Calibri" w:eastAsia="Calibri" w:hAnsi="Calibri"/>
                <w:sz w:val="14"/>
                <w:szCs w:val="14"/>
                <w:color w:val="auto"/>
              </w:rPr>
              <w:t>100 Vanguard Boulevard</w:t>
            </w:r>
          </w:p>
        </w:tc>
        <w:tc>
          <w:tcPr>
            <w:tcW w:w="4640" w:type="dxa"/>
            <w:vAlign w:val="bottom"/>
            <w:shd w:val="clear" w:color="auto" w:fill="E5E7EF"/>
          </w:tcPr>
          <w:p>
            <w:pPr>
              <w:spacing w:after="0"/>
              <w:rPr>
                <w:sz w:val="14"/>
                <w:szCs w:val="14"/>
                <w:color w:val="auto"/>
              </w:rPr>
            </w:pPr>
          </w:p>
        </w:tc>
        <w:tc>
          <w:tcPr>
            <w:tcW w:w="1380" w:type="dxa"/>
            <w:vAlign w:val="bottom"/>
            <w:shd w:val="clear" w:color="auto" w:fill="E5E7EF"/>
          </w:tcPr>
          <w:p>
            <w:pPr>
              <w:spacing w:after="0"/>
              <w:rPr>
                <w:sz w:val="14"/>
                <w:szCs w:val="14"/>
                <w:color w:val="auto"/>
              </w:rPr>
            </w:pPr>
          </w:p>
        </w:tc>
      </w:tr>
      <w:tr>
        <w:trPr>
          <w:trHeight w:val="189"/>
        </w:trPr>
        <w:tc>
          <w:tcPr>
            <w:tcW w:w="5220" w:type="dxa"/>
            <w:vAlign w:val="bottom"/>
            <w:shd w:val="clear" w:color="auto" w:fill="E5E7EF"/>
          </w:tcPr>
          <w:p>
            <w:pPr>
              <w:ind w:left="20"/>
              <w:spacing w:after="0"/>
              <w:rPr>
                <w:sz w:val="20"/>
                <w:szCs w:val="20"/>
                <w:color w:val="auto"/>
              </w:rPr>
            </w:pPr>
            <w:r>
              <w:rPr>
                <w:rFonts w:ascii="Calibri" w:cs="Calibri" w:eastAsia="Calibri" w:hAnsi="Calibri"/>
                <w:sz w:val="14"/>
                <w:szCs w:val="14"/>
                <w:color w:val="auto"/>
              </w:rPr>
              <w:t>Malvern, PA 19355</w:t>
            </w:r>
          </w:p>
        </w:tc>
        <w:tc>
          <w:tcPr>
            <w:tcW w:w="4640" w:type="dxa"/>
            <w:vAlign w:val="bottom"/>
            <w:shd w:val="clear" w:color="auto" w:fill="E5E7EF"/>
          </w:tcPr>
          <w:p>
            <w:pPr>
              <w:spacing w:after="0"/>
              <w:rPr>
                <w:sz w:val="16"/>
                <w:szCs w:val="16"/>
                <w:color w:val="auto"/>
              </w:rPr>
            </w:pPr>
          </w:p>
        </w:tc>
        <w:tc>
          <w:tcPr>
            <w:tcW w:w="1380" w:type="dxa"/>
            <w:vAlign w:val="bottom"/>
            <w:shd w:val="clear" w:color="auto" w:fill="E5E7EF"/>
          </w:tcPr>
          <w:p>
            <w:pPr>
              <w:spacing w:after="0"/>
              <w:rPr>
                <w:sz w:val="16"/>
                <w:szCs w:val="16"/>
                <w:color w:val="auto"/>
              </w:rPr>
            </w:pPr>
          </w:p>
        </w:tc>
      </w:tr>
      <w:tr>
        <w:trPr>
          <w:trHeight w:val="61"/>
        </w:trPr>
        <w:tc>
          <w:tcPr>
            <w:tcW w:w="5220" w:type="dxa"/>
            <w:vAlign w:val="bottom"/>
            <w:tcBorders>
              <w:bottom w:val="single" w:sz="8" w:color="959595"/>
            </w:tcBorders>
            <w:shd w:val="clear" w:color="auto" w:fill="E5E7EF"/>
          </w:tcPr>
          <w:p>
            <w:pPr>
              <w:spacing w:after="0"/>
              <w:rPr>
                <w:sz w:val="5"/>
                <w:szCs w:val="5"/>
                <w:color w:val="auto"/>
              </w:rPr>
            </w:pPr>
          </w:p>
        </w:tc>
        <w:tc>
          <w:tcPr>
            <w:tcW w:w="4640" w:type="dxa"/>
            <w:vAlign w:val="bottom"/>
            <w:tcBorders>
              <w:bottom w:val="single" w:sz="8" w:color="959595"/>
            </w:tcBorders>
            <w:shd w:val="clear" w:color="auto" w:fill="E5E7EF"/>
          </w:tcPr>
          <w:p>
            <w:pPr>
              <w:spacing w:after="0"/>
              <w:rPr>
                <w:sz w:val="5"/>
                <w:szCs w:val="5"/>
                <w:color w:val="auto"/>
              </w:rPr>
            </w:pPr>
          </w:p>
        </w:tc>
        <w:tc>
          <w:tcPr>
            <w:tcW w:w="1380" w:type="dxa"/>
            <w:vAlign w:val="bottom"/>
            <w:tcBorders>
              <w:bottom w:val="single" w:sz="8" w:color="959595"/>
            </w:tcBorders>
            <w:shd w:val="clear" w:color="auto" w:fill="E5E7EF"/>
          </w:tcPr>
          <w:p>
            <w:pPr>
              <w:spacing w:after="0"/>
              <w:rPr>
                <w:sz w:val="5"/>
                <w:szCs w:val="5"/>
                <w:color w:val="auto"/>
              </w:rPr>
            </w:pPr>
          </w:p>
        </w:tc>
      </w:tr>
      <w:tr>
        <w:trPr>
          <w:trHeight w:val="195"/>
        </w:trPr>
        <w:tc>
          <w:tcPr>
            <w:tcW w:w="5220" w:type="dxa"/>
            <w:vAlign w:val="bottom"/>
          </w:tcPr>
          <w:p>
            <w:pPr>
              <w:ind w:left="20"/>
              <w:spacing w:after="0" w:line="196" w:lineRule="exact"/>
              <w:rPr>
                <w:sz w:val="20"/>
                <w:szCs w:val="20"/>
                <w:color w:val="auto"/>
              </w:rPr>
            </w:pPr>
            <w:r>
              <w:rPr>
                <w:rFonts w:ascii="Calibri" w:cs="Calibri" w:eastAsia="Calibri" w:hAnsi="Calibri"/>
                <w:sz w:val="14"/>
                <w:szCs w:val="14"/>
                <w:color w:val="auto"/>
              </w:rPr>
              <w:t>BlackRock, Inc.</w:t>
            </w:r>
            <w:r>
              <w:rPr>
                <w:rFonts w:ascii="Calibri" w:cs="Calibri" w:eastAsia="Calibri" w:hAnsi="Calibri"/>
                <w:sz w:val="18"/>
                <w:szCs w:val="18"/>
                <w:color w:val="auto"/>
                <w:vertAlign w:val="superscript"/>
              </w:rPr>
              <w:t>(3)</w:t>
            </w:r>
          </w:p>
        </w:tc>
        <w:tc>
          <w:tcPr>
            <w:tcW w:w="4640" w:type="dxa"/>
            <w:vAlign w:val="bottom"/>
          </w:tcPr>
          <w:p>
            <w:pPr>
              <w:jc w:val="right"/>
              <w:ind w:right="212"/>
              <w:spacing w:after="0"/>
              <w:rPr>
                <w:sz w:val="20"/>
                <w:szCs w:val="20"/>
                <w:color w:val="auto"/>
              </w:rPr>
            </w:pPr>
            <w:r>
              <w:rPr>
                <w:rFonts w:ascii="Calibri" w:cs="Calibri" w:eastAsia="Calibri" w:hAnsi="Calibri"/>
                <w:sz w:val="14"/>
                <w:szCs w:val="14"/>
                <w:color w:val="auto"/>
              </w:rPr>
              <w:t>17,834,881</w:t>
            </w:r>
          </w:p>
        </w:tc>
        <w:tc>
          <w:tcPr>
            <w:tcW w:w="1380" w:type="dxa"/>
            <w:vAlign w:val="bottom"/>
          </w:tcPr>
          <w:p>
            <w:pPr>
              <w:jc w:val="right"/>
              <w:spacing w:after="0"/>
              <w:rPr>
                <w:sz w:val="20"/>
                <w:szCs w:val="20"/>
                <w:color w:val="auto"/>
              </w:rPr>
            </w:pPr>
            <w:r>
              <w:rPr>
                <w:rFonts w:ascii="Calibri" w:cs="Calibri" w:eastAsia="Calibri" w:hAnsi="Calibri"/>
                <w:sz w:val="14"/>
                <w:szCs w:val="14"/>
                <w:color w:val="auto"/>
              </w:rPr>
              <w:t>6.8 %</w:t>
            </w:r>
          </w:p>
        </w:tc>
      </w:tr>
      <w:tr>
        <w:trPr>
          <w:trHeight w:val="170"/>
        </w:trPr>
        <w:tc>
          <w:tcPr>
            <w:tcW w:w="5220" w:type="dxa"/>
            <w:vAlign w:val="bottom"/>
          </w:tcPr>
          <w:p>
            <w:pPr>
              <w:ind w:left="20"/>
              <w:spacing w:after="0"/>
              <w:rPr>
                <w:sz w:val="20"/>
                <w:szCs w:val="20"/>
                <w:color w:val="auto"/>
              </w:rPr>
            </w:pPr>
            <w:r>
              <w:rPr>
                <w:rFonts w:ascii="Calibri" w:cs="Calibri" w:eastAsia="Calibri" w:hAnsi="Calibri"/>
                <w:sz w:val="14"/>
                <w:szCs w:val="14"/>
                <w:color w:val="auto"/>
              </w:rPr>
              <w:t>55 East 52nd Street</w:t>
            </w:r>
          </w:p>
        </w:tc>
        <w:tc>
          <w:tcPr>
            <w:tcW w:w="46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5220" w:type="dxa"/>
            <w:vAlign w:val="bottom"/>
          </w:tcPr>
          <w:p>
            <w:pPr>
              <w:ind w:left="20"/>
              <w:spacing w:after="0"/>
              <w:rPr>
                <w:sz w:val="20"/>
                <w:szCs w:val="20"/>
                <w:color w:val="auto"/>
              </w:rPr>
            </w:pPr>
            <w:r>
              <w:rPr>
                <w:rFonts w:ascii="Calibri" w:cs="Calibri" w:eastAsia="Calibri" w:hAnsi="Calibri"/>
                <w:sz w:val="14"/>
                <w:szCs w:val="14"/>
                <w:color w:val="auto"/>
              </w:rPr>
              <w:t>New York, NY 10055</w:t>
            </w:r>
          </w:p>
        </w:tc>
        <w:tc>
          <w:tcPr>
            <w:tcW w:w="46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60"/>
        </w:trPr>
        <w:tc>
          <w:tcPr>
            <w:tcW w:w="5220" w:type="dxa"/>
            <w:vAlign w:val="bottom"/>
            <w:tcBorders>
              <w:bottom w:val="single" w:sz="8" w:color="959595"/>
            </w:tcBorders>
          </w:tcPr>
          <w:p>
            <w:pPr>
              <w:spacing w:after="0"/>
              <w:rPr>
                <w:sz w:val="5"/>
                <w:szCs w:val="5"/>
                <w:color w:val="auto"/>
              </w:rPr>
            </w:pPr>
          </w:p>
        </w:tc>
        <w:tc>
          <w:tcPr>
            <w:tcW w:w="4640" w:type="dxa"/>
            <w:vAlign w:val="bottom"/>
            <w:tcBorders>
              <w:bottom w:val="single" w:sz="8" w:color="959595"/>
            </w:tcBorders>
          </w:tcPr>
          <w:p>
            <w:pPr>
              <w:spacing w:after="0"/>
              <w:rPr>
                <w:sz w:val="5"/>
                <w:szCs w:val="5"/>
                <w:color w:val="auto"/>
              </w:rPr>
            </w:pPr>
          </w:p>
        </w:tc>
        <w:tc>
          <w:tcPr>
            <w:tcW w:w="1380" w:type="dxa"/>
            <w:vAlign w:val="bottom"/>
            <w:tcBorders>
              <w:bottom w:val="single" w:sz="8" w:color="959595"/>
            </w:tcBorders>
          </w:tcPr>
          <w:p>
            <w:pPr>
              <w:spacing w:after="0"/>
              <w:rPr>
                <w:sz w:val="5"/>
                <w:szCs w:val="5"/>
                <w:color w:val="auto"/>
              </w:rPr>
            </w:pPr>
          </w:p>
        </w:tc>
      </w:tr>
    </w:tbl>
    <w:p>
      <w:pPr>
        <w:spacing w:after="0" w:line="188" w:lineRule="exact"/>
        <w:rPr>
          <w:sz w:val="20"/>
          <w:szCs w:val="20"/>
          <w:color w:val="auto"/>
        </w:rPr>
      </w:pPr>
    </w:p>
    <w:p>
      <w:pPr>
        <w:ind w:left="260" w:right="60" w:hanging="252"/>
        <w:spacing w:after="0" w:line="229" w:lineRule="auto"/>
        <w:tabs>
          <w:tab w:leader="none" w:pos="256" w:val="left"/>
        </w:tabs>
        <w:numPr>
          <w:ilvl w:val="0"/>
          <w:numId w:val="104"/>
        </w:numPr>
        <w:rPr>
          <w:rFonts w:ascii="Calibri" w:cs="Calibri" w:eastAsia="Calibri" w:hAnsi="Calibri"/>
          <w:sz w:val="19"/>
          <w:szCs w:val="19"/>
          <w:color w:val="auto"/>
          <w:vertAlign w:val="superscript"/>
        </w:rPr>
      </w:pPr>
      <w:r>
        <w:rPr>
          <w:rFonts w:ascii="Calibri" w:cs="Calibri" w:eastAsia="Calibri" w:hAnsi="Calibri"/>
          <w:sz w:val="14"/>
          <w:szCs w:val="14"/>
          <w:color w:val="auto"/>
        </w:rPr>
        <w:t>As reported on a Schedule 13G/A fled on February 10, 2023 by State Street Corporaton on behalf of itself and specifed direct and indirect subsidiaries (State Street) in their various fduciary and other capacites. State Street had shared votng power with respect to 36,843,569 shares and shared dispositve power with respect to 37,795,804 shares and did not have sole dispositve or sole votng power over any shares. State Street Bank and Trust Company (SSBTC) is the trustee and State Street Global Advisors Trust Company (SSGA) is the independent</w:t>
      </w:r>
    </w:p>
    <w:p>
      <w:pPr>
        <w:spacing w:after="0" w:line="19" w:lineRule="exact"/>
        <w:rPr>
          <w:rFonts w:ascii="Calibri" w:cs="Calibri" w:eastAsia="Calibri" w:hAnsi="Calibri"/>
          <w:sz w:val="19"/>
          <w:szCs w:val="19"/>
          <w:color w:val="auto"/>
          <w:vertAlign w:val="superscript"/>
        </w:rPr>
      </w:pPr>
    </w:p>
    <w:p>
      <w:pPr>
        <w:ind w:left="260" w:right="200"/>
        <w:spacing w:after="0" w:line="258" w:lineRule="auto"/>
        <w:rPr>
          <w:rFonts w:ascii="Calibri" w:cs="Calibri" w:eastAsia="Calibri" w:hAnsi="Calibri"/>
          <w:sz w:val="19"/>
          <w:szCs w:val="19"/>
          <w:color w:val="auto"/>
          <w:vertAlign w:val="superscript"/>
        </w:rPr>
      </w:pPr>
      <w:r>
        <w:rPr>
          <w:rFonts w:ascii="Calibri" w:cs="Calibri" w:eastAsia="Calibri" w:hAnsi="Calibri"/>
          <w:sz w:val="14"/>
          <w:szCs w:val="14"/>
          <w:color w:val="auto"/>
        </w:rPr>
        <w:t>fduciary and investment manager for Lockheed Martn common stock held in a master trust for Lockheed Martn beneft plans. SSBTC benefcially owns 28,586,929 of the shares held by State Street all of which are held in its capacity as trustee for various Lockheed Martn beneft plans and SSBTC had shared votng power over 28,586,929 shares and shared dispositve power over 1,158,052 shares. SSGA benefcially owns 33,269,486 of the shares held by State Street of which 27,428,877 were held by SSGA as independent fduciary and investment manager for Lockheed Martn employee beneft plans and SSGA had shared votng power over 5,115,751 shares and shared dispositve power over 33,268,822 shares.</w:t>
      </w:r>
    </w:p>
    <w:p>
      <w:pPr>
        <w:spacing w:after="0" w:line="61" w:lineRule="exact"/>
        <w:rPr>
          <w:rFonts w:ascii="Calibri" w:cs="Calibri" w:eastAsia="Calibri" w:hAnsi="Calibri"/>
          <w:sz w:val="19"/>
          <w:szCs w:val="19"/>
          <w:color w:val="auto"/>
          <w:vertAlign w:val="superscript"/>
        </w:rPr>
      </w:pPr>
    </w:p>
    <w:p>
      <w:pPr>
        <w:ind w:left="260" w:right="100" w:hanging="252"/>
        <w:spacing w:after="0" w:line="213" w:lineRule="auto"/>
        <w:tabs>
          <w:tab w:leader="none" w:pos="256" w:val="left"/>
        </w:tabs>
        <w:numPr>
          <w:ilvl w:val="0"/>
          <w:numId w:val="104"/>
        </w:numPr>
        <w:rPr>
          <w:rFonts w:ascii="Calibri" w:cs="Calibri" w:eastAsia="Calibri" w:hAnsi="Calibri"/>
          <w:sz w:val="19"/>
          <w:szCs w:val="19"/>
          <w:color w:val="auto"/>
          <w:vertAlign w:val="superscript"/>
        </w:rPr>
      </w:pPr>
      <w:r>
        <w:rPr>
          <w:rFonts w:ascii="Calibri" w:cs="Calibri" w:eastAsia="Calibri" w:hAnsi="Calibri"/>
          <w:sz w:val="14"/>
          <w:szCs w:val="14"/>
          <w:color w:val="auto"/>
        </w:rPr>
        <w:t>As reported on a Schedule 13G/A fled on February 9, 2023 by The Vanguard Group. The Vanguard Group had sole dispositve power over 21,783,260 shares, shared dispositve power over 965,180 shares, shared votng power over 320,656 shares and did not have sole votng power over any shares.</w:t>
      </w:r>
    </w:p>
    <w:p>
      <w:pPr>
        <w:spacing w:after="0" w:line="74" w:lineRule="exact"/>
        <w:rPr>
          <w:rFonts w:ascii="Calibri" w:cs="Calibri" w:eastAsia="Calibri" w:hAnsi="Calibri"/>
          <w:sz w:val="19"/>
          <w:szCs w:val="19"/>
          <w:color w:val="auto"/>
          <w:vertAlign w:val="superscript"/>
        </w:rPr>
      </w:pPr>
    </w:p>
    <w:p>
      <w:pPr>
        <w:ind w:left="260" w:right="320" w:hanging="252"/>
        <w:spacing w:after="0" w:line="213" w:lineRule="auto"/>
        <w:tabs>
          <w:tab w:leader="none" w:pos="256" w:val="left"/>
        </w:tabs>
        <w:numPr>
          <w:ilvl w:val="0"/>
          <w:numId w:val="104"/>
        </w:numPr>
        <w:rPr>
          <w:rFonts w:ascii="Calibri" w:cs="Calibri" w:eastAsia="Calibri" w:hAnsi="Calibri"/>
          <w:sz w:val="19"/>
          <w:szCs w:val="19"/>
          <w:color w:val="auto"/>
          <w:vertAlign w:val="superscript"/>
        </w:rPr>
      </w:pPr>
      <w:r>
        <w:rPr>
          <w:rFonts w:ascii="Calibri" w:cs="Calibri" w:eastAsia="Calibri" w:hAnsi="Calibri"/>
          <w:sz w:val="14"/>
          <w:szCs w:val="14"/>
          <w:color w:val="auto"/>
        </w:rPr>
        <w:t>As reported on a Schedule 13G/A fled on February 7, 2023 by BlackRock, Inc. BlackRock, Inc. had sole dispositve power over 17,834,881 shares and sole votng power over 16,581,067 shares and did not have shared dispositve or shared votng power over 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304800</wp:posOffset>
            </wp:positionV>
            <wp:extent cx="1071880" cy="1803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4" w:name="page85"/>
    <w:bookmarkEnd w:id="84"/>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3"/>
          <w:szCs w:val="43"/>
          <w:color w:val="003478"/>
        </w:rPr>
        <w:t>Audit Matters</w:t>
      </w:r>
    </w:p>
    <w:p>
      <w:pPr>
        <w:spacing w:after="0" w:line="235" w:lineRule="exact"/>
        <w:rPr>
          <w:sz w:val="20"/>
          <w:szCs w:val="20"/>
          <w:color w:val="auto"/>
        </w:rPr>
      </w:pPr>
    </w:p>
    <w:p>
      <w:pPr>
        <w:spacing w:after="0"/>
        <w:rPr>
          <w:sz w:val="20"/>
          <w:szCs w:val="20"/>
          <w:color w:val="auto"/>
        </w:rPr>
      </w:pPr>
      <w:r>
        <w:rPr>
          <w:rFonts w:ascii="Arial" w:cs="Arial" w:eastAsia="Arial" w:hAnsi="Arial"/>
          <w:sz w:val="43"/>
          <w:szCs w:val="43"/>
          <w:color w:val="003478"/>
        </w:rPr>
        <w:t>Proposal 4</w:t>
      </w: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80" w:type="dxa"/>
            <w:vAlign w:val="bottom"/>
            <w:tcBorders>
              <w:top w:val="single" w:sz="8" w:color="E5E7EF"/>
              <w:left w:val="single" w:sz="8" w:color="003478"/>
            </w:tcBorders>
            <w:shd w:val="clear" w:color="auto" w:fill="E5E7EF"/>
          </w:tcPr>
          <w:p>
            <w:pPr>
              <w:spacing w:after="0"/>
              <w:rPr>
                <w:sz w:val="24"/>
                <w:szCs w:val="24"/>
                <w:color w:val="auto"/>
              </w:rPr>
            </w:pPr>
          </w:p>
        </w:tc>
        <w:tc>
          <w:tcPr>
            <w:tcW w:w="7520" w:type="dxa"/>
            <w:vAlign w:val="bottom"/>
            <w:tcBorders>
              <w:top w:val="single" w:sz="8" w:color="E5E7EF"/>
            </w:tcBorders>
            <w:vMerge w:val="restart"/>
            <w:shd w:val="clear" w:color="auto" w:fill="E5E7EF"/>
          </w:tcPr>
          <w:p>
            <w:pPr>
              <w:ind w:left="60"/>
              <w:spacing w:after="0"/>
              <w:rPr>
                <w:sz w:val="20"/>
                <w:szCs w:val="20"/>
                <w:color w:val="auto"/>
              </w:rPr>
            </w:pPr>
            <w:r>
              <w:rPr>
                <w:rFonts w:ascii="Arial" w:cs="Arial" w:eastAsia="Arial" w:hAnsi="Arial"/>
                <w:sz w:val="25"/>
                <w:szCs w:val="25"/>
                <w:color w:val="003478"/>
              </w:rPr>
              <w:t>Ratification of Appointment of Independent Auditors</w:t>
            </w:r>
          </w:p>
        </w:tc>
        <w:tc>
          <w:tcPr>
            <w:tcW w:w="920" w:type="dxa"/>
            <w:vAlign w:val="bottom"/>
            <w:tcBorders>
              <w:top w:val="single" w:sz="8" w:color="003478"/>
            </w:tcBorders>
            <w:shd w:val="clear" w:color="auto" w:fill="003478"/>
          </w:tcPr>
          <w:p>
            <w:pPr>
              <w:spacing w:after="0"/>
              <w:rPr>
                <w:sz w:val="24"/>
                <w:szCs w:val="24"/>
                <w:color w:val="auto"/>
              </w:rPr>
            </w:pPr>
          </w:p>
        </w:tc>
        <w:tc>
          <w:tcPr>
            <w:tcW w:w="2620" w:type="dxa"/>
            <w:vAlign w:val="bottom"/>
            <w:tcBorders>
              <w:top w:val="single" w:sz="8" w:color="003478"/>
            </w:tcBorders>
            <w:shd w:val="clear" w:color="auto" w:fill="003478"/>
          </w:tcPr>
          <w:p>
            <w:pPr>
              <w:ind w:left="20"/>
              <w:spacing w:after="0"/>
              <w:rPr>
                <w:sz w:val="20"/>
                <w:szCs w:val="20"/>
                <w:color w:val="auto"/>
              </w:rPr>
            </w:pPr>
            <w:r>
              <w:rPr>
                <w:rFonts w:ascii="Arial" w:cs="Arial" w:eastAsia="Arial" w:hAnsi="Arial"/>
                <w:sz w:val="17"/>
                <w:szCs w:val="17"/>
                <w:color w:val="FFFFFF"/>
              </w:rPr>
              <w:t>The Board recommends a vote</w:t>
            </w:r>
          </w:p>
        </w:tc>
        <w:tc>
          <w:tcPr>
            <w:tcW w:w="120" w:type="dxa"/>
            <w:vAlign w:val="bottom"/>
            <w:tcBorders>
              <w:top w:val="single" w:sz="8" w:color="003478"/>
            </w:tcBorders>
            <w:shd w:val="clear" w:color="auto" w:fill="003478"/>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 w:type="dxa"/>
            <w:vAlign w:val="bottom"/>
            <w:tcBorders>
              <w:left w:val="single" w:sz="8" w:color="003478"/>
            </w:tcBorders>
            <w:shd w:val="clear" w:color="auto" w:fill="E5E7EF"/>
          </w:tcPr>
          <w:p>
            <w:pPr>
              <w:spacing w:after="0"/>
              <w:rPr>
                <w:sz w:val="17"/>
                <w:szCs w:val="17"/>
                <w:color w:val="auto"/>
              </w:rPr>
            </w:pPr>
          </w:p>
        </w:tc>
        <w:tc>
          <w:tcPr>
            <w:tcW w:w="7520" w:type="dxa"/>
            <w:vAlign w:val="bottom"/>
            <w:vMerge w:val="continue"/>
            <w:shd w:val="clear" w:color="auto" w:fill="E5E7EF"/>
          </w:tcPr>
          <w:p>
            <w:pPr>
              <w:spacing w:after="0"/>
              <w:rPr>
                <w:sz w:val="17"/>
                <w:szCs w:val="17"/>
                <w:color w:val="auto"/>
              </w:rPr>
            </w:pPr>
          </w:p>
        </w:tc>
        <w:tc>
          <w:tcPr>
            <w:tcW w:w="920" w:type="dxa"/>
            <w:vAlign w:val="bottom"/>
            <w:shd w:val="clear" w:color="auto" w:fill="003478"/>
          </w:tcPr>
          <w:p>
            <w:pPr>
              <w:spacing w:after="0"/>
              <w:rPr>
                <w:sz w:val="17"/>
                <w:szCs w:val="17"/>
                <w:color w:val="auto"/>
              </w:rPr>
            </w:pPr>
          </w:p>
        </w:tc>
        <w:tc>
          <w:tcPr>
            <w:tcW w:w="2620" w:type="dxa"/>
            <w:vAlign w:val="bottom"/>
            <w:vMerge w:val="restart"/>
            <w:shd w:val="clear" w:color="auto" w:fill="003478"/>
          </w:tcPr>
          <w:p>
            <w:pPr>
              <w:ind w:left="20"/>
              <w:spacing w:after="0"/>
              <w:rPr>
                <w:sz w:val="20"/>
                <w:szCs w:val="20"/>
                <w:color w:val="auto"/>
              </w:rPr>
            </w:pPr>
            <w:r>
              <w:rPr>
                <w:rFonts w:ascii="Arial" w:cs="Arial" w:eastAsia="Arial" w:hAnsi="Arial"/>
                <w:sz w:val="22"/>
                <w:szCs w:val="22"/>
                <w:color w:val="FFFFFF"/>
              </w:rPr>
              <w:t xml:space="preserve">FOR </w:t>
            </w:r>
            <w:r>
              <w:rPr>
                <w:rFonts w:ascii="Arial" w:cs="Arial" w:eastAsia="Arial" w:hAnsi="Arial"/>
                <w:sz w:val="17"/>
                <w:szCs w:val="17"/>
                <w:color w:val="FFFFFF"/>
              </w:rPr>
              <w:t>this proposal</w:t>
            </w:r>
          </w:p>
        </w:tc>
        <w:tc>
          <w:tcPr>
            <w:tcW w:w="120" w:type="dxa"/>
            <w:vAlign w:val="bottom"/>
            <w:shd w:val="clear" w:color="auto" w:fill="003478"/>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80" w:type="dxa"/>
            <w:vAlign w:val="bottom"/>
            <w:tcBorders>
              <w:left w:val="single" w:sz="8" w:color="003478"/>
            </w:tcBorders>
            <w:shd w:val="clear" w:color="auto" w:fill="E5E7EF"/>
          </w:tcPr>
          <w:p>
            <w:pPr>
              <w:spacing w:after="0"/>
              <w:rPr>
                <w:sz w:val="7"/>
                <w:szCs w:val="7"/>
                <w:color w:val="auto"/>
              </w:rPr>
            </w:pPr>
          </w:p>
        </w:tc>
        <w:tc>
          <w:tcPr>
            <w:tcW w:w="7520" w:type="dxa"/>
            <w:vAlign w:val="bottom"/>
            <w:shd w:val="clear" w:color="auto" w:fill="E5E7EF"/>
          </w:tcPr>
          <w:p>
            <w:pPr>
              <w:spacing w:after="0"/>
              <w:rPr>
                <w:sz w:val="7"/>
                <w:szCs w:val="7"/>
                <w:color w:val="auto"/>
              </w:rPr>
            </w:pPr>
          </w:p>
        </w:tc>
        <w:tc>
          <w:tcPr>
            <w:tcW w:w="920" w:type="dxa"/>
            <w:vAlign w:val="bottom"/>
            <w:shd w:val="clear" w:color="auto" w:fill="003478"/>
          </w:tcPr>
          <w:p>
            <w:pPr>
              <w:spacing w:after="0"/>
              <w:rPr>
                <w:sz w:val="7"/>
                <w:szCs w:val="7"/>
                <w:color w:val="auto"/>
              </w:rPr>
            </w:pPr>
          </w:p>
        </w:tc>
        <w:tc>
          <w:tcPr>
            <w:tcW w:w="2620" w:type="dxa"/>
            <w:vAlign w:val="bottom"/>
            <w:vMerge w:val="continue"/>
            <w:shd w:val="clear" w:color="auto" w:fill="003478"/>
          </w:tcPr>
          <w:p>
            <w:pPr>
              <w:spacing w:after="0"/>
              <w:rPr>
                <w:sz w:val="7"/>
                <w:szCs w:val="7"/>
                <w:color w:val="auto"/>
              </w:rPr>
            </w:pPr>
          </w:p>
        </w:tc>
        <w:tc>
          <w:tcPr>
            <w:tcW w:w="120" w:type="dxa"/>
            <w:vAlign w:val="bottom"/>
            <w:shd w:val="clear" w:color="auto" w:fill="003478"/>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80" w:type="dxa"/>
            <w:vAlign w:val="bottom"/>
            <w:tcBorders>
              <w:left w:val="single" w:sz="8" w:color="003478"/>
              <w:bottom w:val="single" w:sz="8" w:color="003478"/>
            </w:tcBorders>
            <w:shd w:val="clear" w:color="auto" w:fill="E5E7EF"/>
          </w:tcPr>
          <w:p>
            <w:pPr>
              <w:spacing w:after="0"/>
              <w:rPr>
                <w:sz w:val="8"/>
                <w:szCs w:val="8"/>
                <w:color w:val="auto"/>
              </w:rPr>
            </w:pPr>
          </w:p>
        </w:tc>
        <w:tc>
          <w:tcPr>
            <w:tcW w:w="7520" w:type="dxa"/>
            <w:vAlign w:val="bottom"/>
            <w:tcBorders>
              <w:bottom w:val="single" w:sz="8" w:color="003478"/>
            </w:tcBorders>
            <w:shd w:val="clear" w:color="auto" w:fill="E5E7EF"/>
          </w:tcPr>
          <w:p>
            <w:pPr>
              <w:spacing w:after="0"/>
              <w:rPr>
                <w:sz w:val="8"/>
                <w:szCs w:val="8"/>
                <w:color w:val="auto"/>
              </w:rPr>
            </w:pPr>
          </w:p>
        </w:tc>
        <w:tc>
          <w:tcPr>
            <w:tcW w:w="920" w:type="dxa"/>
            <w:vAlign w:val="bottom"/>
            <w:tcBorders>
              <w:bottom w:val="single" w:sz="8" w:color="003478"/>
            </w:tcBorders>
            <w:shd w:val="clear" w:color="auto" w:fill="003478"/>
          </w:tcPr>
          <w:p>
            <w:pPr>
              <w:spacing w:after="0"/>
              <w:rPr>
                <w:sz w:val="8"/>
                <w:szCs w:val="8"/>
                <w:color w:val="auto"/>
              </w:rPr>
            </w:pPr>
          </w:p>
        </w:tc>
        <w:tc>
          <w:tcPr>
            <w:tcW w:w="2620" w:type="dxa"/>
            <w:vAlign w:val="bottom"/>
            <w:tcBorders>
              <w:bottom w:val="single" w:sz="8" w:color="003478"/>
            </w:tcBorders>
            <w:shd w:val="clear" w:color="auto" w:fill="003478"/>
          </w:tcPr>
          <w:p>
            <w:pPr>
              <w:spacing w:after="0"/>
              <w:rPr>
                <w:sz w:val="8"/>
                <w:szCs w:val="8"/>
                <w:color w:val="auto"/>
              </w:rPr>
            </w:pPr>
          </w:p>
        </w:tc>
        <w:tc>
          <w:tcPr>
            <w:tcW w:w="120" w:type="dxa"/>
            <w:vAlign w:val="bottom"/>
            <w:tcBorders>
              <w:bottom w:val="single" w:sz="8" w:color="003478"/>
            </w:tcBorders>
            <w:shd w:val="clear" w:color="auto" w:fill="003478"/>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-393700</wp:posOffset>
            </wp:positionV>
            <wp:extent cx="291465" cy="291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155" w:lineRule="exact"/>
        <w:rPr>
          <w:sz w:val="20"/>
          <w:szCs w:val="20"/>
          <w:color w:val="auto"/>
        </w:rPr>
      </w:pPr>
    </w:p>
    <w:p>
      <w:pPr>
        <w:ind w:right="200"/>
        <w:spacing w:after="0" w:line="258" w:lineRule="auto"/>
        <w:rPr>
          <w:sz w:val="20"/>
          <w:szCs w:val="20"/>
          <w:color w:val="auto"/>
        </w:rPr>
      </w:pPr>
      <w:r>
        <w:rPr>
          <w:rFonts w:ascii="Calibri" w:cs="Calibri" w:eastAsia="Calibri" w:hAnsi="Calibri"/>
          <w:sz w:val="17"/>
          <w:szCs w:val="17"/>
          <w:color w:val="auto"/>
        </w:rPr>
        <w:t>The Audit Commitee has reappointed Ernst &amp; Young LLP (Ernst &amp; Young), an independent registered public accountng frm, as the independent auditors to perform an integrated audit of the Company’s consolidated fnancial statements and internal control over fnancial reportng for the year ending December 31, 2023. The services provided to the Company by Ernst &amp; Young for the last two fscal years are described under the capton “Fees Paid to Independent Auditors” on the following page.</w:t>
      </w:r>
    </w:p>
    <w:p>
      <w:pPr>
        <w:spacing w:after="0" w:line="107" w:lineRule="exact"/>
        <w:rPr>
          <w:sz w:val="20"/>
          <w:szCs w:val="20"/>
          <w:color w:val="auto"/>
        </w:rPr>
      </w:pPr>
    </w:p>
    <w:p>
      <w:pPr>
        <w:jc w:val="both"/>
        <w:ind w:right="20"/>
        <w:spacing w:after="0" w:line="258" w:lineRule="auto"/>
        <w:rPr>
          <w:sz w:val="20"/>
          <w:szCs w:val="20"/>
          <w:color w:val="auto"/>
        </w:rPr>
      </w:pPr>
      <w:r>
        <w:rPr>
          <w:rFonts w:ascii="Calibri" w:cs="Calibri" w:eastAsia="Calibri" w:hAnsi="Calibri"/>
          <w:sz w:val="17"/>
          <w:szCs w:val="17"/>
          <w:color w:val="auto"/>
        </w:rPr>
        <w:t>The Audit Commitee is directly responsible for the appointment, compensaton, retenton, oversight and terminaton of the Company’s independent auditors in accordance with the NYSE listng standards. The Audit Commitee also is responsible for the audit fee negotatons associated with the retenton of Ernst &amp; Young. The Audit Commitee and its Chairman are involved in the selecton of Ernst &amp; Young’s lead engagement partner. The Audit Commitee regularly meets with Ernst &amp; Young without management present.</w:t>
      </w:r>
    </w:p>
    <w:p>
      <w:pPr>
        <w:spacing w:after="0" w:line="107" w:lineRule="exact"/>
        <w:rPr>
          <w:sz w:val="20"/>
          <w:szCs w:val="20"/>
          <w:color w:val="auto"/>
        </w:rPr>
      </w:pPr>
    </w:p>
    <w:p>
      <w:pPr>
        <w:jc w:val="both"/>
        <w:ind w:right="500"/>
        <w:spacing w:after="0" w:line="255" w:lineRule="auto"/>
        <w:rPr>
          <w:sz w:val="20"/>
          <w:szCs w:val="20"/>
          <w:color w:val="auto"/>
        </w:rPr>
      </w:pPr>
      <w:r>
        <w:rPr>
          <w:rFonts w:ascii="Calibri" w:cs="Calibri" w:eastAsia="Calibri" w:hAnsi="Calibri"/>
          <w:sz w:val="17"/>
          <w:szCs w:val="17"/>
          <w:color w:val="auto"/>
        </w:rPr>
        <w:t>Ernst &amp; Young has served as the Company’s independent auditors since 1994. The Audit Commitee reviews the engagement of Ernst &amp; Young annually following completon of Ernst &amp; Young’s audit of the prior year’s fnancial statements. The Audit Commitee also conducts a mid-year assessment of the quality of Ernst &amp; Young’s work. As part of its annual and mid-year assessment of Ernst &amp; Young, the Audit Commitee has considered:</w:t>
      </w:r>
    </w:p>
    <w:p>
      <w:pPr>
        <w:spacing w:after="0" w:line="105" w:lineRule="exact"/>
        <w:rPr>
          <w:sz w:val="20"/>
          <w:szCs w:val="20"/>
          <w:color w:val="auto"/>
        </w:rPr>
      </w:pPr>
    </w:p>
    <w:p>
      <w:pPr>
        <w:ind w:left="240" w:hanging="151"/>
        <w:spacing w:after="0"/>
        <w:tabs>
          <w:tab w:leader="none" w:pos="240"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the materials on independence provided by Ernst &amp; Young;</w:t>
      </w:r>
    </w:p>
    <w:p>
      <w:pPr>
        <w:spacing w:after="0" w:line="75" w:lineRule="exact"/>
        <w:rPr>
          <w:rFonts w:ascii="Calibri" w:cs="Calibri" w:eastAsia="Calibri" w:hAnsi="Calibri"/>
          <w:sz w:val="17"/>
          <w:szCs w:val="17"/>
          <w:color w:val="012E6C"/>
        </w:rPr>
      </w:pPr>
    </w:p>
    <w:p>
      <w:pPr>
        <w:ind w:left="240" w:hanging="151"/>
        <w:spacing w:after="0"/>
        <w:tabs>
          <w:tab w:leader="none" w:pos="240"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work quality;</w:t>
      </w:r>
    </w:p>
    <w:p>
      <w:pPr>
        <w:spacing w:after="0" w:line="62" w:lineRule="exact"/>
        <w:rPr>
          <w:rFonts w:ascii="Calibri" w:cs="Calibri" w:eastAsia="Calibri" w:hAnsi="Calibri"/>
          <w:sz w:val="17"/>
          <w:szCs w:val="17"/>
          <w:color w:val="012E6C"/>
        </w:rPr>
      </w:pPr>
    </w:p>
    <w:p>
      <w:pPr>
        <w:ind w:left="240" w:hanging="151"/>
        <w:spacing w:after="0"/>
        <w:tabs>
          <w:tab w:leader="none" w:pos="240"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management’s level of satsfacton with Ernst &amp; Young’s services;</w:t>
      </w:r>
    </w:p>
    <w:p>
      <w:pPr>
        <w:spacing w:after="0" w:line="75" w:lineRule="exact"/>
        <w:rPr>
          <w:rFonts w:ascii="Calibri" w:cs="Calibri" w:eastAsia="Calibri" w:hAnsi="Calibri"/>
          <w:sz w:val="17"/>
          <w:szCs w:val="17"/>
          <w:color w:val="012E6C"/>
        </w:rPr>
      </w:pPr>
    </w:p>
    <w:p>
      <w:pPr>
        <w:ind w:left="240" w:hanging="151"/>
        <w:spacing w:after="0"/>
        <w:tabs>
          <w:tab w:leader="none" w:pos="240"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the adequacy of Ernst &amp; Young’s stafng and the use of digital audit tools to successfully perform the audit;</w:t>
      </w:r>
    </w:p>
    <w:p>
      <w:pPr>
        <w:spacing w:after="0" w:line="62" w:lineRule="exact"/>
        <w:rPr>
          <w:rFonts w:ascii="Calibri" w:cs="Calibri" w:eastAsia="Calibri" w:hAnsi="Calibri"/>
          <w:sz w:val="17"/>
          <w:szCs w:val="17"/>
          <w:color w:val="012E6C"/>
        </w:rPr>
      </w:pPr>
    </w:p>
    <w:p>
      <w:pPr>
        <w:ind w:left="240" w:hanging="151"/>
        <w:spacing w:after="0"/>
        <w:tabs>
          <w:tab w:leader="none" w:pos="240"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the breadth of knowledge, support and expertse of its natonal ofce;</w:t>
      </w:r>
    </w:p>
    <w:p>
      <w:pPr>
        <w:spacing w:after="0" w:line="75" w:lineRule="exact"/>
        <w:rPr>
          <w:rFonts w:ascii="Calibri" w:cs="Calibri" w:eastAsia="Calibri" w:hAnsi="Calibri"/>
          <w:sz w:val="17"/>
          <w:szCs w:val="17"/>
          <w:color w:val="012E6C"/>
        </w:rPr>
      </w:pPr>
    </w:p>
    <w:p>
      <w:pPr>
        <w:ind w:left="240" w:hanging="151"/>
        <w:spacing w:after="0"/>
        <w:tabs>
          <w:tab w:leader="none" w:pos="240"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the length of tme Ernst &amp; Young has been engaged;</w:t>
      </w:r>
    </w:p>
    <w:p>
      <w:pPr>
        <w:spacing w:after="0" w:line="65" w:lineRule="exact"/>
        <w:rPr>
          <w:rFonts w:ascii="Calibri" w:cs="Calibri" w:eastAsia="Calibri" w:hAnsi="Calibri"/>
          <w:sz w:val="17"/>
          <w:szCs w:val="17"/>
          <w:color w:val="012E6C"/>
        </w:rPr>
      </w:pPr>
    </w:p>
    <w:p>
      <w:pPr>
        <w:ind w:left="260" w:right="160" w:hanging="171"/>
        <w:spacing w:after="0" w:line="261" w:lineRule="auto"/>
        <w:tabs>
          <w:tab w:leader="none" w:pos="253"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external data regarding Ernst &amp; Young’s audit quality and performance, including recent Public Company Accountng Oversight Board (PCAOB) reports on Ernst &amp; Young and its peer frms, including the results of any internal or external inspectons of the Ernst &amp; Young audit of Lockheed Martn;</w:t>
      </w:r>
    </w:p>
    <w:p>
      <w:pPr>
        <w:spacing w:after="0" w:line="48" w:lineRule="exact"/>
        <w:rPr>
          <w:rFonts w:ascii="Calibri" w:cs="Calibri" w:eastAsia="Calibri" w:hAnsi="Calibri"/>
          <w:sz w:val="17"/>
          <w:szCs w:val="17"/>
          <w:color w:val="012E6C"/>
        </w:rPr>
      </w:pPr>
    </w:p>
    <w:p>
      <w:pPr>
        <w:ind w:left="260" w:right="340" w:hanging="171"/>
        <w:spacing w:after="0" w:line="261" w:lineRule="auto"/>
        <w:tabs>
          <w:tab w:leader="none" w:pos="253"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Ernst &amp; Young’s insttutonal knowledge and expertse with respect to the Company’s business and government contractng practces, quality and cost-efectve services;</w:t>
      </w:r>
    </w:p>
    <w:p>
      <w:pPr>
        <w:spacing w:after="0" w:line="44" w:lineRule="exact"/>
        <w:rPr>
          <w:rFonts w:ascii="Calibri" w:cs="Calibri" w:eastAsia="Calibri" w:hAnsi="Calibri"/>
          <w:sz w:val="17"/>
          <w:szCs w:val="17"/>
          <w:color w:val="012E6C"/>
        </w:rPr>
      </w:pPr>
    </w:p>
    <w:p>
      <w:pPr>
        <w:ind w:left="240" w:hanging="151"/>
        <w:spacing w:after="0"/>
        <w:tabs>
          <w:tab w:leader="none" w:pos="240"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familiarity with the Company’s account;</w:t>
      </w:r>
    </w:p>
    <w:p>
      <w:pPr>
        <w:spacing w:after="0" w:line="65" w:lineRule="exact"/>
        <w:rPr>
          <w:rFonts w:ascii="Calibri" w:cs="Calibri" w:eastAsia="Calibri" w:hAnsi="Calibri"/>
          <w:sz w:val="17"/>
          <w:szCs w:val="17"/>
          <w:color w:val="012E6C"/>
        </w:rPr>
      </w:pPr>
    </w:p>
    <w:p>
      <w:pPr>
        <w:ind w:left="260" w:right="180" w:hanging="171"/>
        <w:spacing w:after="0" w:line="261" w:lineRule="auto"/>
        <w:tabs>
          <w:tab w:leader="none" w:pos="253"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the potental impact of changing independent auditors, including the high-level security clearances held by Ernst &amp; Young staf in support of its review of classifed programs and the difculty in replacing those clearances in a tmely manner without disrupton to the ongoing audit actvites;</w:t>
      </w:r>
    </w:p>
    <w:p>
      <w:pPr>
        <w:spacing w:after="0" w:line="44" w:lineRule="exact"/>
        <w:rPr>
          <w:rFonts w:ascii="Calibri" w:cs="Calibri" w:eastAsia="Calibri" w:hAnsi="Calibri"/>
          <w:sz w:val="17"/>
          <w:szCs w:val="17"/>
          <w:color w:val="012E6C"/>
        </w:rPr>
      </w:pPr>
    </w:p>
    <w:p>
      <w:pPr>
        <w:ind w:left="240" w:hanging="151"/>
        <w:spacing w:after="0"/>
        <w:tabs>
          <w:tab w:leader="none" w:pos="240"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level of expertse in accountng issues relatng to government contracts; and</w:t>
      </w:r>
    </w:p>
    <w:p>
      <w:pPr>
        <w:spacing w:after="0" w:line="75" w:lineRule="exact"/>
        <w:rPr>
          <w:rFonts w:ascii="Calibri" w:cs="Calibri" w:eastAsia="Calibri" w:hAnsi="Calibri"/>
          <w:sz w:val="17"/>
          <w:szCs w:val="17"/>
          <w:color w:val="012E6C"/>
        </w:rPr>
      </w:pPr>
    </w:p>
    <w:p>
      <w:pPr>
        <w:ind w:left="240" w:hanging="151"/>
        <w:spacing w:after="0"/>
        <w:tabs>
          <w:tab w:leader="none" w:pos="240" w:val="left"/>
        </w:tabs>
        <w:numPr>
          <w:ilvl w:val="0"/>
          <w:numId w:val="105"/>
        </w:numPr>
        <w:rPr>
          <w:rFonts w:ascii="Calibri" w:cs="Calibri" w:eastAsia="Calibri" w:hAnsi="Calibri"/>
          <w:sz w:val="17"/>
          <w:szCs w:val="17"/>
          <w:color w:val="012E6C"/>
        </w:rPr>
      </w:pPr>
      <w:r>
        <w:rPr>
          <w:rFonts w:ascii="Calibri" w:cs="Calibri" w:eastAsia="Calibri" w:hAnsi="Calibri"/>
          <w:sz w:val="17"/>
          <w:szCs w:val="17"/>
          <w:color w:val="auto"/>
        </w:rPr>
        <w:t>Ernst &amp; Young’s performance in providing independent analysis of management positons.</w:t>
      </w:r>
    </w:p>
    <w:p>
      <w:pPr>
        <w:spacing w:after="0" w:line="120" w:lineRule="exact"/>
        <w:rPr>
          <w:sz w:val="20"/>
          <w:szCs w:val="20"/>
          <w:color w:val="auto"/>
        </w:rPr>
      </w:pPr>
    </w:p>
    <w:p>
      <w:pPr>
        <w:ind w:right="40"/>
        <w:spacing w:after="0" w:line="258" w:lineRule="auto"/>
        <w:rPr>
          <w:sz w:val="20"/>
          <w:szCs w:val="20"/>
          <w:color w:val="auto"/>
        </w:rPr>
      </w:pPr>
      <w:r>
        <w:rPr>
          <w:rFonts w:ascii="Calibri" w:cs="Calibri" w:eastAsia="Calibri" w:hAnsi="Calibri"/>
          <w:sz w:val="17"/>
          <w:szCs w:val="17"/>
          <w:color w:val="auto"/>
        </w:rPr>
        <w:t>While the length of Ernst &amp; Young’s tenure may implicate some stockholders’ stewardship guidelines, the Board believes that Ernst &amp; Young's contnued engagement is appropriate and in the best interest of the Company. Any potental risks or concerns associated with Ernst &amp; Young’s tenure are outweighed by its independence and objectvity, work quality, expertse, communicatons, security clearances and deep insttutonal knowledge of the Company’s industry, operatons, business, accountng policies and internal controls.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sectPr>
      </w:pPr>
    </w:p>
    <w:bookmarkStart w:id="85" w:name="page86"/>
    <w:bookmarkEnd w:id="85"/>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Audit Matters</w:t>
      </w:r>
    </w:p>
    <w:p>
      <w:pPr>
        <w:spacing w:after="0" w:line="200" w:lineRule="exact"/>
        <w:rPr>
          <w:sz w:val="20"/>
          <w:szCs w:val="20"/>
          <w:color w:val="auto"/>
        </w:rPr>
      </w:pPr>
    </w:p>
    <w:p>
      <w:pPr>
        <w:spacing w:after="0" w:line="374" w:lineRule="exact"/>
        <w:rPr>
          <w:sz w:val="20"/>
          <w:szCs w:val="20"/>
          <w:color w:val="auto"/>
        </w:rPr>
      </w:pPr>
    </w:p>
    <w:p>
      <w:pPr>
        <w:ind w:right="40"/>
        <w:spacing w:after="0" w:line="253" w:lineRule="auto"/>
        <w:rPr>
          <w:sz w:val="20"/>
          <w:szCs w:val="20"/>
          <w:color w:val="auto"/>
        </w:rPr>
      </w:pPr>
      <w:r>
        <w:rPr>
          <w:rFonts w:ascii="Calibri" w:cs="Calibri" w:eastAsia="Calibri" w:hAnsi="Calibri"/>
          <w:sz w:val="17"/>
          <w:szCs w:val="17"/>
          <w:color w:val="auto"/>
        </w:rPr>
        <w:t>Stockholder approval of the appointment is not required. However, the Board believes that obtaining stockholder ratfcaton of the appointment is a sound corporate governance practce. If the stockholders do not vote on an advisory basis in favor of Ernst &amp; Young, the Audit Commitee will reconsider whether or not to hire the frm and may retain Ernst &amp; Young or hire another frm without resubmitng the mater for stockholders’ approval. The Audit Commitee retains the discreton at any tme to appoint a diferent independent auditor.</w:t>
      </w:r>
    </w:p>
    <w:p>
      <w:pPr>
        <w:spacing w:after="0" w:line="124" w:lineRule="exact"/>
        <w:rPr>
          <w:sz w:val="20"/>
          <w:szCs w:val="20"/>
          <w:color w:val="auto"/>
        </w:rPr>
      </w:pPr>
    </w:p>
    <w:p>
      <w:pPr>
        <w:ind w:right="380"/>
        <w:spacing w:after="0" w:line="245" w:lineRule="auto"/>
        <w:rPr>
          <w:sz w:val="20"/>
          <w:szCs w:val="20"/>
          <w:color w:val="auto"/>
        </w:rPr>
      </w:pPr>
      <w:r>
        <w:rPr>
          <w:rFonts w:ascii="Calibri" w:cs="Calibri" w:eastAsia="Calibri" w:hAnsi="Calibri"/>
          <w:sz w:val="17"/>
          <w:szCs w:val="17"/>
          <w:color w:val="auto"/>
        </w:rPr>
        <w:t>Representatves of Ernst &amp; Young are expected to be present at the Annual Meetng, and such representatves will be available to respond to appropriate questons and will have the opportunity to make a statement if they desire.</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color w:val="818EB4"/>
        </w:rPr>
        <w:t>Pre-Approval of Independent Auditors Services</w:t>
      </w:r>
    </w:p>
    <w:p>
      <w:pPr>
        <w:spacing w:after="0" w:line="126" w:lineRule="exact"/>
        <w:rPr>
          <w:sz w:val="20"/>
          <w:szCs w:val="20"/>
          <w:color w:val="auto"/>
        </w:rPr>
      </w:pPr>
    </w:p>
    <w:p>
      <w:pPr>
        <w:spacing w:after="0" w:line="255" w:lineRule="auto"/>
        <w:rPr>
          <w:sz w:val="20"/>
          <w:szCs w:val="20"/>
          <w:color w:val="auto"/>
        </w:rPr>
      </w:pPr>
      <w:r>
        <w:rPr>
          <w:rFonts w:ascii="Calibri" w:cs="Calibri" w:eastAsia="Calibri" w:hAnsi="Calibri"/>
          <w:sz w:val="17"/>
          <w:szCs w:val="17"/>
          <w:color w:val="auto"/>
        </w:rPr>
        <w:t>The Audit Commitee pre-approves all audit, audit-related, tax and other services performed by the independent auditors. The Audit Commitee pre-approves specifc categories of services up to pre-established fee thresholds. Unless the type of service has previously been pre-approved, the Audit Commitee must approve that specifc service before the independent auditors may perform such service. In additon, separate approval is required if the amount of fees for any pre-approved category of service exceeds the fee thresholds established by the Audit Commitee. The Audit Commitee also has delegated to the Commitee Chairman or any member pre-approval authority with respect to permited services up to $500,000, provided that the Commitee Chairman or any commitee member must report any pre-approval decisions to the Audit Commitee at its next scheduled meetng.</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818EB4"/>
        </w:rPr>
        <w:t>Fees Paid to Independent Auditors</w:t>
      </w:r>
    </w:p>
    <w:p>
      <w:pPr>
        <w:spacing w:after="0" w:line="126" w:lineRule="exact"/>
        <w:rPr>
          <w:sz w:val="20"/>
          <w:szCs w:val="20"/>
          <w:color w:val="auto"/>
        </w:rPr>
      </w:pPr>
    </w:p>
    <w:p>
      <w:pPr>
        <w:ind w:right="20"/>
        <w:spacing w:after="0" w:line="261" w:lineRule="auto"/>
        <w:rPr>
          <w:sz w:val="20"/>
          <w:szCs w:val="20"/>
          <w:color w:val="auto"/>
        </w:rPr>
      </w:pPr>
      <w:r>
        <w:rPr>
          <w:rFonts w:ascii="Calibri" w:cs="Calibri" w:eastAsia="Calibri" w:hAnsi="Calibri"/>
          <w:sz w:val="17"/>
          <w:szCs w:val="17"/>
          <w:color w:val="auto"/>
        </w:rPr>
        <w:t>The following table sets forth the fees billed by Ernst &amp; Young, the Company’s independent auditors, for audit services, audit-related services, tax services and all other services rendered for 2022 and 2021. All fees were pre-approved in accordance with the Audit Commitee’s pre-approval policy. The Audit Commitee considered and concluded that the provision of these services by Ernst &amp; Young was compatble with the maintenance of the auditor’s independence.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0" w:type="dxa"/>
            <w:vAlign w:val="bottom"/>
            <w:shd w:val="clear" w:color="auto" w:fill="E5E7EF"/>
          </w:tcPr>
          <w:p>
            <w:pPr>
              <w:spacing w:after="0"/>
              <w:rPr>
                <w:sz w:val="16"/>
                <w:szCs w:val="16"/>
                <w:color w:val="auto"/>
              </w:rPr>
            </w:pPr>
          </w:p>
        </w:tc>
        <w:tc>
          <w:tcPr>
            <w:tcW w:w="1340" w:type="dxa"/>
            <w:vAlign w:val="bottom"/>
            <w:shd w:val="clear" w:color="auto" w:fill="E5E7EF"/>
          </w:tcPr>
          <w:p>
            <w:pPr>
              <w:jc w:val="right"/>
              <w:ind w:right="171"/>
              <w:spacing w:after="0"/>
              <w:rPr>
                <w:sz w:val="20"/>
                <w:szCs w:val="20"/>
                <w:color w:val="auto"/>
              </w:rPr>
            </w:pPr>
            <w:r>
              <w:rPr>
                <w:rFonts w:ascii="Arial" w:cs="Arial" w:eastAsia="Arial" w:hAnsi="Arial"/>
                <w:sz w:val="13"/>
                <w:szCs w:val="13"/>
                <w:color w:val="auto"/>
              </w:rPr>
              <w:t>2022</w:t>
            </w:r>
          </w:p>
        </w:tc>
        <w:tc>
          <w:tcPr>
            <w:tcW w:w="9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2021</w:t>
            </w:r>
          </w:p>
        </w:tc>
      </w:tr>
      <w:tr>
        <w:trPr>
          <w:trHeight w:val="224"/>
        </w:trPr>
        <w:tc>
          <w:tcPr>
            <w:tcW w:w="9000" w:type="dxa"/>
            <w:vAlign w:val="bottom"/>
            <w:tcBorders>
              <w:bottom w:val="single" w:sz="8" w:color="E5E7EF"/>
            </w:tcBorders>
            <w:shd w:val="clear" w:color="auto" w:fill="E5E7EF"/>
          </w:tcPr>
          <w:p>
            <w:pPr>
              <w:spacing w:after="0"/>
              <w:rPr>
                <w:sz w:val="19"/>
                <w:szCs w:val="19"/>
                <w:color w:val="auto"/>
              </w:rPr>
            </w:pPr>
          </w:p>
        </w:tc>
        <w:tc>
          <w:tcPr>
            <w:tcW w:w="1340" w:type="dxa"/>
            <w:vAlign w:val="bottom"/>
            <w:tcBorders>
              <w:bottom w:val="single" w:sz="8" w:color="E5E7EF"/>
            </w:tcBorders>
            <w:shd w:val="clear" w:color="auto" w:fill="E5E7EF"/>
          </w:tcPr>
          <w:p>
            <w:pPr>
              <w:jc w:val="right"/>
              <w:ind w:right="171"/>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9000" w:type="dxa"/>
            <w:vAlign w:val="bottom"/>
            <w:tcBorders>
              <w:top w:val="single" w:sz="8" w:color="003478"/>
              <w:bottom w:val="single" w:sz="8" w:color="959595"/>
            </w:tcBorders>
          </w:tcPr>
          <w:p>
            <w:pPr>
              <w:ind w:left="20"/>
              <w:spacing w:after="0" w:line="196" w:lineRule="exact"/>
              <w:rPr>
                <w:sz w:val="20"/>
                <w:szCs w:val="20"/>
                <w:color w:val="auto"/>
              </w:rPr>
            </w:pPr>
            <w:r>
              <w:rPr>
                <w:rFonts w:ascii="Calibri" w:cs="Calibri" w:eastAsia="Calibri" w:hAnsi="Calibri"/>
                <w:sz w:val="14"/>
                <w:szCs w:val="14"/>
                <w:color w:val="auto"/>
              </w:rPr>
              <w:t>Audit Fees</w:t>
            </w:r>
            <w:r>
              <w:rPr>
                <w:rFonts w:ascii="Calibri" w:cs="Calibri" w:eastAsia="Calibri" w:hAnsi="Calibri"/>
                <w:sz w:val="18"/>
                <w:szCs w:val="18"/>
                <w:color w:val="auto"/>
                <w:vertAlign w:val="superscript"/>
              </w:rPr>
              <w:t>(a)</w:t>
            </w:r>
          </w:p>
        </w:tc>
        <w:tc>
          <w:tcPr>
            <w:tcW w:w="1340" w:type="dxa"/>
            <w:vAlign w:val="bottom"/>
            <w:tcBorders>
              <w:top w:val="single" w:sz="8" w:color="003478"/>
              <w:bottom w:val="single" w:sz="8" w:color="959595"/>
            </w:tcBorders>
          </w:tcPr>
          <w:p>
            <w:pPr>
              <w:jc w:val="right"/>
              <w:ind w:right="171"/>
              <w:spacing w:after="0"/>
              <w:rPr>
                <w:sz w:val="20"/>
                <w:szCs w:val="20"/>
                <w:color w:val="auto"/>
              </w:rPr>
            </w:pPr>
            <w:r>
              <w:rPr>
                <w:rFonts w:ascii="Calibri" w:cs="Calibri" w:eastAsia="Calibri" w:hAnsi="Calibri"/>
                <w:sz w:val="14"/>
                <w:szCs w:val="14"/>
                <w:color w:val="auto"/>
              </w:rPr>
              <w:t>23,100,000</w:t>
            </w:r>
          </w:p>
        </w:tc>
        <w:tc>
          <w:tcPr>
            <w:tcW w:w="900" w:type="dxa"/>
            <w:vAlign w:val="bottom"/>
            <w:tcBorders>
              <w:top w:val="single" w:sz="8" w:color="003478"/>
              <w:bottom w:val="single" w:sz="8" w:color="959595"/>
            </w:tcBorders>
          </w:tcPr>
          <w:p>
            <w:pPr>
              <w:jc w:val="right"/>
              <w:spacing w:after="0"/>
              <w:rPr>
                <w:sz w:val="20"/>
                <w:szCs w:val="20"/>
                <w:color w:val="auto"/>
              </w:rPr>
            </w:pPr>
            <w:r>
              <w:rPr>
                <w:rFonts w:ascii="Calibri" w:cs="Calibri" w:eastAsia="Calibri" w:hAnsi="Calibri"/>
                <w:sz w:val="14"/>
                <w:szCs w:val="14"/>
                <w:color w:val="auto"/>
              </w:rPr>
              <w:t>23,500,000</w:t>
            </w:r>
          </w:p>
        </w:tc>
      </w:tr>
      <w:tr>
        <w:trPr>
          <w:trHeight w:val="196"/>
        </w:trPr>
        <w:tc>
          <w:tcPr>
            <w:tcW w:w="9000" w:type="dxa"/>
            <w:vAlign w:val="bottom"/>
            <w:tcBorders>
              <w:bottom w:val="single" w:sz="8" w:color="959595"/>
            </w:tcBorders>
          </w:tcPr>
          <w:p>
            <w:pPr>
              <w:ind w:left="20"/>
              <w:spacing w:after="0" w:line="196" w:lineRule="exact"/>
              <w:rPr>
                <w:sz w:val="20"/>
                <w:szCs w:val="20"/>
                <w:color w:val="auto"/>
              </w:rPr>
            </w:pPr>
            <w:r>
              <w:rPr>
                <w:rFonts w:ascii="Calibri" w:cs="Calibri" w:eastAsia="Calibri" w:hAnsi="Calibri"/>
                <w:sz w:val="14"/>
                <w:szCs w:val="14"/>
                <w:color w:val="auto"/>
              </w:rPr>
              <w:t>Audit-Related Fees</w:t>
            </w:r>
            <w:r>
              <w:rPr>
                <w:rFonts w:ascii="Calibri" w:cs="Calibri" w:eastAsia="Calibri" w:hAnsi="Calibri"/>
                <w:sz w:val="18"/>
                <w:szCs w:val="18"/>
                <w:color w:val="auto"/>
                <w:vertAlign w:val="superscript"/>
              </w:rPr>
              <w:t>(b)</w:t>
            </w:r>
          </w:p>
        </w:tc>
        <w:tc>
          <w:tcPr>
            <w:tcW w:w="1340" w:type="dxa"/>
            <w:vAlign w:val="bottom"/>
            <w:tcBorders>
              <w:bottom w:val="single" w:sz="8" w:color="959595"/>
            </w:tcBorders>
          </w:tcPr>
          <w:p>
            <w:pPr>
              <w:jc w:val="right"/>
              <w:ind w:right="171"/>
              <w:spacing w:after="0"/>
              <w:rPr>
                <w:sz w:val="20"/>
                <w:szCs w:val="20"/>
                <w:color w:val="auto"/>
              </w:rPr>
            </w:pPr>
            <w:r>
              <w:rPr>
                <w:rFonts w:ascii="Calibri" w:cs="Calibri" w:eastAsia="Calibri" w:hAnsi="Calibri"/>
                <w:sz w:val="14"/>
                <w:szCs w:val="14"/>
                <w:color w:val="auto"/>
              </w:rPr>
              <w:t>95,000</w:t>
            </w:r>
          </w:p>
        </w:tc>
        <w:tc>
          <w:tcPr>
            <w:tcW w:w="900" w:type="dxa"/>
            <w:vAlign w:val="bottom"/>
            <w:tcBorders>
              <w:bottom w:val="single" w:sz="8" w:color="959595"/>
            </w:tcBorders>
          </w:tcPr>
          <w:p>
            <w:pPr>
              <w:jc w:val="right"/>
              <w:spacing w:after="0"/>
              <w:rPr>
                <w:sz w:val="20"/>
                <w:szCs w:val="20"/>
                <w:color w:val="auto"/>
              </w:rPr>
            </w:pPr>
            <w:r>
              <w:rPr>
                <w:rFonts w:ascii="Calibri" w:cs="Calibri" w:eastAsia="Calibri" w:hAnsi="Calibri"/>
                <w:sz w:val="14"/>
                <w:szCs w:val="14"/>
                <w:color w:val="auto"/>
              </w:rPr>
              <w:t>1,142,000</w:t>
            </w:r>
          </w:p>
        </w:tc>
      </w:tr>
      <w:tr>
        <w:trPr>
          <w:trHeight w:val="196"/>
        </w:trPr>
        <w:tc>
          <w:tcPr>
            <w:tcW w:w="9000" w:type="dxa"/>
            <w:vAlign w:val="bottom"/>
            <w:tcBorders>
              <w:bottom w:val="single" w:sz="8" w:color="959595"/>
            </w:tcBorders>
          </w:tcPr>
          <w:p>
            <w:pPr>
              <w:ind w:left="20"/>
              <w:spacing w:after="0" w:line="196" w:lineRule="exact"/>
              <w:rPr>
                <w:sz w:val="20"/>
                <w:szCs w:val="20"/>
                <w:color w:val="auto"/>
              </w:rPr>
            </w:pPr>
            <w:r>
              <w:rPr>
                <w:rFonts w:ascii="Calibri" w:cs="Calibri" w:eastAsia="Calibri" w:hAnsi="Calibri"/>
                <w:sz w:val="14"/>
                <w:szCs w:val="14"/>
                <w:color w:val="auto"/>
              </w:rPr>
              <w:t>Tax Fees</w:t>
            </w:r>
            <w:r>
              <w:rPr>
                <w:rFonts w:ascii="Calibri" w:cs="Calibri" w:eastAsia="Calibri" w:hAnsi="Calibri"/>
                <w:sz w:val="18"/>
                <w:szCs w:val="18"/>
                <w:color w:val="auto"/>
                <w:vertAlign w:val="superscript"/>
              </w:rPr>
              <w:t>(c)</w:t>
            </w:r>
          </w:p>
        </w:tc>
        <w:tc>
          <w:tcPr>
            <w:tcW w:w="1340" w:type="dxa"/>
            <w:vAlign w:val="bottom"/>
            <w:tcBorders>
              <w:bottom w:val="single" w:sz="8" w:color="959595"/>
            </w:tcBorders>
          </w:tcPr>
          <w:p>
            <w:pPr>
              <w:jc w:val="right"/>
              <w:ind w:right="171"/>
              <w:spacing w:after="0"/>
              <w:rPr>
                <w:sz w:val="20"/>
                <w:szCs w:val="20"/>
                <w:color w:val="auto"/>
              </w:rPr>
            </w:pPr>
            <w:r>
              <w:rPr>
                <w:rFonts w:ascii="Calibri" w:cs="Calibri" w:eastAsia="Calibri" w:hAnsi="Calibri"/>
                <w:sz w:val="14"/>
                <w:szCs w:val="14"/>
                <w:color w:val="auto"/>
              </w:rPr>
              <w:t>2,100,000</w:t>
            </w:r>
          </w:p>
        </w:tc>
        <w:tc>
          <w:tcPr>
            <w:tcW w:w="900" w:type="dxa"/>
            <w:vAlign w:val="bottom"/>
            <w:tcBorders>
              <w:bottom w:val="single" w:sz="8" w:color="959595"/>
            </w:tcBorders>
          </w:tcPr>
          <w:p>
            <w:pPr>
              <w:jc w:val="right"/>
              <w:spacing w:after="0"/>
              <w:rPr>
                <w:sz w:val="20"/>
                <w:szCs w:val="20"/>
                <w:color w:val="auto"/>
              </w:rPr>
            </w:pPr>
            <w:r>
              <w:rPr>
                <w:rFonts w:ascii="Calibri" w:cs="Calibri" w:eastAsia="Calibri" w:hAnsi="Calibri"/>
                <w:sz w:val="14"/>
                <w:szCs w:val="14"/>
                <w:color w:val="auto"/>
              </w:rPr>
              <w:t>2,100,000</w:t>
            </w:r>
          </w:p>
        </w:tc>
      </w:tr>
      <w:tr>
        <w:trPr>
          <w:trHeight w:val="163"/>
        </w:trPr>
        <w:tc>
          <w:tcPr>
            <w:tcW w:w="9000" w:type="dxa"/>
            <w:vAlign w:val="bottom"/>
          </w:tcPr>
          <w:p>
            <w:pPr>
              <w:ind w:left="20"/>
              <w:spacing w:after="0" w:line="164" w:lineRule="exact"/>
              <w:rPr>
                <w:sz w:val="20"/>
                <w:szCs w:val="20"/>
                <w:color w:val="auto"/>
              </w:rPr>
            </w:pPr>
            <w:r>
              <w:rPr>
                <w:rFonts w:ascii="Calibri" w:cs="Calibri" w:eastAsia="Calibri" w:hAnsi="Calibri"/>
                <w:sz w:val="14"/>
                <w:szCs w:val="14"/>
                <w:color w:val="auto"/>
              </w:rPr>
              <w:t>All Other Fees</w:t>
            </w:r>
          </w:p>
        </w:tc>
        <w:tc>
          <w:tcPr>
            <w:tcW w:w="1340" w:type="dxa"/>
            <w:vAlign w:val="bottom"/>
          </w:tcPr>
          <w:p>
            <w:pPr>
              <w:jc w:val="right"/>
              <w:ind w:right="171"/>
              <w:spacing w:after="0" w:line="164" w:lineRule="exact"/>
              <w:rPr>
                <w:sz w:val="20"/>
                <w:szCs w:val="20"/>
                <w:color w:val="auto"/>
              </w:rPr>
            </w:pPr>
            <w:r>
              <w:rPr>
                <w:rFonts w:ascii="Calibri" w:cs="Calibri" w:eastAsia="Calibri" w:hAnsi="Calibri"/>
                <w:sz w:val="14"/>
                <w:szCs w:val="14"/>
                <w:color w:val="auto"/>
              </w:rPr>
              <w:t>—</w:t>
            </w:r>
          </w:p>
        </w:tc>
        <w:tc>
          <w:tcPr>
            <w:tcW w:w="900" w:type="dxa"/>
            <w:vAlign w:val="bottom"/>
          </w:tcPr>
          <w:p>
            <w:pPr>
              <w:jc w:val="right"/>
              <w:spacing w:after="0" w:line="164" w:lineRule="exact"/>
              <w:rPr>
                <w:sz w:val="20"/>
                <w:szCs w:val="20"/>
                <w:color w:val="auto"/>
              </w:rPr>
            </w:pPr>
            <w:r>
              <w:rPr>
                <w:rFonts w:ascii="Calibri" w:cs="Calibri" w:eastAsia="Calibri" w:hAnsi="Calibri"/>
                <w:sz w:val="14"/>
                <w:szCs w:val="14"/>
                <w:color w:val="auto"/>
              </w:rPr>
              <w:t>—</w:t>
            </w:r>
          </w:p>
        </w:tc>
      </w:tr>
      <w:tr>
        <w:trPr>
          <w:trHeight w:val="33"/>
        </w:trPr>
        <w:tc>
          <w:tcPr>
            <w:tcW w:w="9000" w:type="dxa"/>
            <w:vAlign w:val="bottom"/>
            <w:tcBorders>
              <w:bottom w:val="single" w:sz="8" w:color="959595"/>
            </w:tcBorders>
          </w:tcPr>
          <w:p>
            <w:pPr>
              <w:spacing w:after="0"/>
              <w:rPr>
                <w:sz w:val="2"/>
                <w:szCs w:val="2"/>
                <w:color w:val="auto"/>
              </w:rPr>
            </w:pPr>
          </w:p>
        </w:tc>
        <w:tc>
          <w:tcPr>
            <w:tcW w:w="1340" w:type="dxa"/>
            <w:vAlign w:val="bottom"/>
            <w:tcBorders>
              <w:bottom w:val="single" w:sz="8" w:color="959595"/>
            </w:tcBorders>
          </w:tcPr>
          <w:p>
            <w:pPr>
              <w:spacing w:after="0"/>
              <w:rPr>
                <w:sz w:val="2"/>
                <w:szCs w:val="2"/>
                <w:color w:val="auto"/>
              </w:rPr>
            </w:pPr>
          </w:p>
        </w:tc>
        <w:tc>
          <w:tcPr>
            <w:tcW w:w="900" w:type="dxa"/>
            <w:vAlign w:val="bottom"/>
            <w:tcBorders>
              <w:bottom w:val="single" w:sz="8" w:color="959595"/>
            </w:tcBorders>
          </w:tcPr>
          <w:p>
            <w:pPr>
              <w:spacing w:after="0"/>
              <w:rPr>
                <w:sz w:val="2"/>
                <w:szCs w:val="2"/>
                <w:color w:val="auto"/>
              </w:rPr>
            </w:pPr>
          </w:p>
        </w:tc>
      </w:tr>
    </w:tbl>
    <w:p>
      <w:pPr>
        <w:spacing w:after="0" w:line="188" w:lineRule="exact"/>
        <w:rPr>
          <w:sz w:val="20"/>
          <w:szCs w:val="20"/>
          <w:color w:val="auto"/>
        </w:rPr>
      </w:pPr>
    </w:p>
    <w:p>
      <w:pPr>
        <w:ind w:left="260" w:right="20" w:hanging="252"/>
        <w:spacing w:after="0" w:line="213" w:lineRule="auto"/>
        <w:tabs>
          <w:tab w:leader="none" w:pos="253" w:val="left"/>
        </w:tabs>
        <w:numPr>
          <w:ilvl w:val="0"/>
          <w:numId w:val="106"/>
        </w:numPr>
        <w:rPr>
          <w:rFonts w:ascii="Calibri" w:cs="Calibri" w:eastAsia="Calibri" w:hAnsi="Calibri"/>
          <w:sz w:val="19"/>
          <w:szCs w:val="19"/>
          <w:color w:val="auto"/>
          <w:vertAlign w:val="superscript"/>
        </w:rPr>
      </w:pPr>
      <w:r>
        <w:rPr>
          <w:rFonts w:ascii="Calibri" w:cs="Calibri" w:eastAsia="Calibri" w:hAnsi="Calibri"/>
          <w:sz w:val="14"/>
          <w:szCs w:val="14"/>
          <w:color w:val="auto"/>
        </w:rPr>
        <w:t>Audit fees are for services related to the annual audit of the Company’s consolidated fnancial statements, including the audit of internal control over fnancial reportng, the interim reviews of the Company’s quarterly fnancial statements, statutory audits of the Company’s foreign subsidiaries and consultatons on accountng maters.</w:t>
      </w:r>
    </w:p>
    <w:p>
      <w:pPr>
        <w:spacing w:after="0" w:line="60" w:lineRule="exact"/>
        <w:rPr>
          <w:rFonts w:ascii="Calibri" w:cs="Calibri" w:eastAsia="Calibri" w:hAnsi="Calibri"/>
          <w:sz w:val="19"/>
          <w:szCs w:val="19"/>
          <w:color w:val="auto"/>
          <w:vertAlign w:val="superscript"/>
        </w:rPr>
      </w:pPr>
    </w:p>
    <w:p>
      <w:pPr>
        <w:ind w:left="260" w:right="300" w:hanging="252"/>
        <w:spacing w:after="0" w:line="213" w:lineRule="auto"/>
        <w:tabs>
          <w:tab w:leader="none" w:pos="258" w:val="left"/>
        </w:tabs>
        <w:numPr>
          <w:ilvl w:val="0"/>
          <w:numId w:val="106"/>
        </w:numPr>
        <w:rPr>
          <w:rFonts w:ascii="Calibri" w:cs="Calibri" w:eastAsia="Calibri" w:hAnsi="Calibri"/>
          <w:sz w:val="19"/>
          <w:szCs w:val="19"/>
          <w:color w:val="auto"/>
          <w:vertAlign w:val="superscript"/>
        </w:rPr>
      </w:pPr>
      <w:r>
        <w:rPr>
          <w:rFonts w:ascii="Calibri" w:cs="Calibri" w:eastAsia="Calibri" w:hAnsi="Calibri"/>
          <w:sz w:val="14"/>
          <w:szCs w:val="14"/>
          <w:color w:val="auto"/>
        </w:rPr>
        <w:t>Audit-related fees are primarily related to audits of the Company’s employee beneft plans, due diligence services in connecton with acquisitons and, for 2021, fees in connecton with Service Organizaton Controls 2 (SOC2) readiness for one of the Company’s customer contracts.</w:t>
      </w:r>
    </w:p>
    <w:p>
      <w:pPr>
        <w:spacing w:after="0" w:line="74" w:lineRule="exact"/>
        <w:rPr>
          <w:rFonts w:ascii="Calibri" w:cs="Calibri" w:eastAsia="Calibri" w:hAnsi="Calibri"/>
          <w:sz w:val="19"/>
          <w:szCs w:val="19"/>
          <w:color w:val="auto"/>
          <w:vertAlign w:val="superscript"/>
        </w:rPr>
      </w:pPr>
    </w:p>
    <w:p>
      <w:pPr>
        <w:ind w:left="260" w:right="200" w:hanging="252"/>
        <w:spacing w:after="0" w:line="213" w:lineRule="auto"/>
        <w:tabs>
          <w:tab w:leader="none" w:pos="248" w:val="left"/>
        </w:tabs>
        <w:numPr>
          <w:ilvl w:val="0"/>
          <w:numId w:val="106"/>
        </w:numPr>
        <w:rPr>
          <w:rFonts w:ascii="Calibri" w:cs="Calibri" w:eastAsia="Calibri" w:hAnsi="Calibri"/>
          <w:sz w:val="19"/>
          <w:szCs w:val="19"/>
          <w:color w:val="auto"/>
          <w:vertAlign w:val="superscript"/>
        </w:rPr>
      </w:pPr>
      <w:r>
        <w:rPr>
          <w:rFonts w:ascii="Calibri" w:cs="Calibri" w:eastAsia="Calibri" w:hAnsi="Calibri"/>
          <w:sz w:val="14"/>
          <w:szCs w:val="14"/>
          <w:color w:val="auto"/>
        </w:rPr>
        <w:t>Tax fees are for domestc and internatonal tax compliance and advisory services. Tax compliance fees were $1.1 million in each of 2022 and 2021 and fees for advisory services were $1.0 million in each of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304800</wp:posOffset>
            </wp:positionV>
            <wp:extent cx="1071880" cy="1797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6" w:name="page87"/>
    <w:bookmarkEnd w:id="86"/>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Audit Matters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color w:val="003478"/>
        </w:rPr>
        <w:t>Audit Committee Report</w:t>
      </w:r>
    </w:p>
    <w:p>
      <w:pPr>
        <w:spacing w:after="0" w:line="144" w:lineRule="exact"/>
        <w:rPr>
          <w:sz w:val="20"/>
          <w:szCs w:val="20"/>
          <w:color w:val="auto"/>
        </w:rPr>
      </w:pPr>
    </w:p>
    <w:p>
      <w:pPr>
        <w:jc w:val="both"/>
        <w:ind w:right="40"/>
        <w:spacing w:after="0" w:line="255" w:lineRule="auto"/>
        <w:rPr>
          <w:sz w:val="20"/>
          <w:szCs w:val="20"/>
          <w:color w:val="auto"/>
        </w:rPr>
      </w:pPr>
      <w:r>
        <w:rPr>
          <w:rFonts w:ascii="Calibri" w:cs="Calibri" w:eastAsia="Calibri" w:hAnsi="Calibri"/>
          <w:sz w:val="17"/>
          <w:szCs w:val="17"/>
          <w:color w:val="auto"/>
        </w:rPr>
        <w:t>The Audit Commitee of the Board of Directors is responsible for overseeing the Company’s accountng, auditng and fnancial reportng process, fnancial risk assessment and management process and for monitoring compliance with certain legal and regulatory compliance maters and for reviewing certain strategic risks and opportunites, on behalf of the Board of Directors.</w:t>
      </w:r>
    </w:p>
    <w:p>
      <w:pPr>
        <w:spacing w:after="0" w:line="108" w:lineRule="exact"/>
        <w:rPr>
          <w:sz w:val="20"/>
          <w:szCs w:val="20"/>
          <w:color w:val="auto"/>
        </w:rPr>
      </w:pPr>
    </w:p>
    <w:p>
      <w:pPr>
        <w:ind w:right="360"/>
        <w:spacing w:after="0" w:line="245" w:lineRule="auto"/>
        <w:rPr>
          <w:sz w:val="20"/>
          <w:szCs w:val="20"/>
          <w:color w:val="auto"/>
        </w:rPr>
      </w:pPr>
      <w:r>
        <w:rPr>
          <w:rFonts w:ascii="Calibri" w:cs="Calibri" w:eastAsia="Calibri" w:hAnsi="Calibri"/>
          <w:sz w:val="17"/>
          <w:szCs w:val="17"/>
          <w:color w:val="auto"/>
        </w:rPr>
        <w:t>The Company’s management is responsible for preparing the quarterly and annual consolidated fnancial statements, the fnancial reportng process, and maintaining and evaluatng disclosure controls and procedures and a system of internal control over fnancial reportng.</w:t>
      </w:r>
    </w:p>
    <w:p>
      <w:pPr>
        <w:spacing w:after="0" w:line="130" w:lineRule="exact"/>
        <w:rPr>
          <w:sz w:val="20"/>
          <w:szCs w:val="20"/>
          <w:color w:val="auto"/>
        </w:rPr>
      </w:pPr>
    </w:p>
    <w:p>
      <w:pPr>
        <w:ind w:right="220"/>
        <w:spacing w:after="0" w:line="256" w:lineRule="auto"/>
        <w:rPr>
          <w:sz w:val="20"/>
          <w:szCs w:val="20"/>
          <w:color w:val="auto"/>
        </w:rPr>
      </w:pPr>
      <w:r>
        <w:rPr>
          <w:rFonts w:ascii="Calibri" w:cs="Calibri" w:eastAsia="Calibri" w:hAnsi="Calibri"/>
          <w:sz w:val="17"/>
          <w:szCs w:val="17"/>
          <w:color w:val="auto"/>
        </w:rPr>
        <w:t>In additon to its oversight of the Company’s internal audit organizaton, the Audit Commitee is directly responsible for the appointment, compensaton, retenton, oversight and terminaton of the Company’s independent auditors, Ernst &amp; Young, an independent registered public accountng frm. The independent auditors are responsible for performing an independent audit of the Company’s annual consolidated fnancial statements and internal control over fnancial reportng and expressing an opinion on the material conformity of those consolidated fnancial statements with U.S. generally accepted accountng principles and on the efectveness of the Company’s internal control over fnancial reportng.</w:t>
      </w:r>
    </w:p>
    <w:p>
      <w:pPr>
        <w:spacing w:after="0" w:line="108" w:lineRule="exact"/>
        <w:rPr>
          <w:sz w:val="20"/>
          <w:szCs w:val="20"/>
          <w:color w:val="auto"/>
        </w:rPr>
      </w:pPr>
    </w:p>
    <w:p>
      <w:pPr>
        <w:ind w:right="80"/>
        <w:spacing w:after="0" w:line="257" w:lineRule="auto"/>
        <w:rPr>
          <w:sz w:val="20"/>
          <w:szCs w:val="20"/>
          <w:color w:val="auto"/>
        </w:rPr>
      </w:pPr>
      <w:r>
        <w:rPr>
          <w:rFonts w:ascii="Calibri" w:cs="Calibri" w:eastAsia="Calibri" w:hAnsi="Calibri"/>
          <w:sz w:val="17"/>
          <w:szCs w:val="17"/>
          <w:color w:val="auto"/>
        </w:rPr>
        <w:t>In connecton with the preparaton of the Company’s consolidated fnancial statements as of and for the year ended December 31, 2022, the Audit Commitee reviewed and discussed with management and Ernst &amp; Young the Company’s audited consolidated fnancial statements, including discussions regarding critcal accountng policies, fnancial accountng and reportng principles and practces, the quality of such principles and practces, the reasonableness of signifcant judgments and estmates, and the efectveness of internal control over fnancial reportng. The Audit Commitee also discussed with Ernst &amp; Young, with and without management, the quality of the fnancial statements, clarity of the related disclosures, efectveness of internal control over fnancial reportng and other items required by the applicable requirements of the Public Company Accountng Oversight Board (PCAOB) and the Securites and Exchange Commission (SEC). Additonally, the Audit Commitee received and reviewed the writen disclosures and leter from Ernst &amp; Young required by applicable requirements of the PCAOB regarding Ernst &amp; Young’s communicatons with the Audit Commitee concerning independence, and has discussed with Ernst &amp; Young its independence.</w:t>
      </w:r>
    </w:p>
    <w:p>
      <w:pPr>
        <w:spacing w:after="0" w:line="328" w:lineRule="exact"/>
        <w:rPr>
          <w:sz w:val="20"/>
          <w:szCs w:val="20"/>
          <w:color w:val="auto"/>
        </w:rPr>
      </w:pPr>
    </w:p>
    <w:p>
      <w:pPr>
        <w:ind w:right="40"/>
        <w:spacing w:after="0" w:line="256" w:lineRule="auto"/>
        <w:rPr>
          <w:sz w:val="20"/>
          <w:szCs w:val="20"/>
          <w:color w:val="auto"/>
        </w:rPr>
      </w:pPr>
      <w:r>
        <w:rPr>
          <w:rFonts w:ascii="Calibri" w:cs="Calibri" w:eastAsia="Calibri" w:hAnsi="Calibri"/>
          <w:sz w:val="17"/>
          <w:szCs w:val="17"/>
          <w:color w:val="auto"/>
        </w:rPr>
        <w:t>Based on the Audit Commitee’s reviews and discussions described in this report, the Audit Commitee recommended to the Board of Directors that the audited consolidated fnancial statements as of and for the year ended December 31, 2022 be included in Lockheed Martn Company’s Annual Report on Form 10-K for 2022 for fling with the SEC. The Audit Commitee also reappointed Ernst &amp; Young to serve as the Company’s independent auditors for 2023, and requested that this appointment be submited to the Company’s stockholders for ratfcaton at the Annual Meetng. The Board of Directors approved the Audit Commitee’s recommendatons.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94615</wp:posOffset>
            </wp:positionV>
            <wp:extent cx="6720840" cy="7804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720840" cy="78041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color w:val="003478"/>
        </w:rPr>
        <w:t>Thomas J. Falk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003478"/>
        </w:rPr>
        <w:t>David B. Burritt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003478"/>
        </w:rPr>
        <w:t>John M. Donovan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003478"/>
        </w:rPr>
        <w:t>James O. Ellis,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003478"/>
        </w:rPr>
        <w:t>Ilene S. Gordon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003478"/>
        </w:rPr>
        <w:t>Patricia E. Yarrington</w:t>
      </w:r>
    </w:p>
    <w:p>
      <w:pPr>
        <w:spacing w:after="0" w:line="1" w:lineRule="exact"/>
        <w:rPr>
          <w:sz w:val="20"/>
          <w:szCs w:val="20"/>
          <w:color w:val="auto"/>
        </w:rPr>
      </w:pPr>
    </w:p>
    <w:p>
      <w:pPr>
        <w:sectPr>
          <w:pgSz w:w="11900" w:h="16838" w:orient="portrait"/>
          <w:cols w:equalWidth="0" w:num="6">
            <w:col w:w="1160" w:space="720"/>
            <w:col w:w="1160" w:space="720"/>
            <w:col w:w="1140" w:space="720"/>
            <w:col w:w="1160" w:space="720"/>
            <w:col w:w="1160" w:space="720"/>
            <w:col w:w="1860"/>
          </w:cols>
          <w:pgMar w:left="320" w:top="230" w:right="339" w:bottom="1440" w:gutter="0" w:footer="0" w:header="0"/>
          <w:type w:val="continuous"/>
        </w:sectPr>
      </w:pPr>
    </w:p>
    <w:p>
      <w:pPr>
        <w:ind w:left="20"/>
        <w:spacing w:after="0" w:line="213" w:lineRule="auto"/>
        <w:rPr>
          <w:sz w:val="20"/>
          <w:szCs w:val="20"/>
          <w:color w:val="auto"/>
        </w:rPr>
      </w:pPr>
      <w:r>
        <w:rPr>
          <w:rFonts w:ascii="Calibri" w:cs="Calibri" w:eastAsia="Calibri" w:hAnsi="Calibri"/>
          <w:sz w:val="14"/>
          <w:szCs w:val="14"/>
          <w:color w:val="auto"/>
        </w:rPr>
        <w:t>Chairman</w:t>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color w:val="auto"/>
        </w:rPr>
        <w:t>Proposal 5</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80" w:type="dxa"/>
            <w:vAlign w:val="bottom"/>
            <w:tcBorders>
              <w:top w:val="single" w:sz="8" w:color="BCBEC0"/>
              <w:left w:val="single" w:sz="8" w:color="343434"/>
            </w:tcBorders>
            <w:shd w:val="clear" w:color="auto" w:fill="BCBEC0"/>
          </w:tcPr>
          <w:p>
            <w:pPr>
              <w:spacing w:after="0"/>
              <w:rPr>
                <w:sz w:val="24"/>
                <w:szCs w:val="24"/>
                <w:color w:val="auto"/>
              </w:rPr>
            </w:pPr>
          </w:p>
        </w:tc>
        <w:tc>
          <w:tcPr>
            <w:tcW w:w="7400" w:type="dxa"/>
            <w:vAlign w:val="bottom"/>
            <w:tcBorders>
              <w:top w:val="single" w:sz="8" w:color="BCBEC0"/>
            </w:tcBorders>
            <w:vMerge w:val="restart"/>
            <w:shd w:val="clear" w:color="auto" w:fill="BCBEC0"/>
          </w:tcPr>
          <w:p>
            <w:pPr>
              <w:ind w:left="60"/>
              <w:spacing w:after="0"/>
              <w:rPr>
                <w:sz w:val="20"/>
                <w:szCs w:val="20"/>
                <w:color w:val="auto"/>
              </w:rPr>
            </w:pPr>
            <w:r>
              <w:rPr>
                <w:rFonts w:ascii="Arial" w:cs="Arial" w:eastAsia="Arial" w:hAnsi="Arial"/>
                <w:sz w:val="25"/>
                <w:szCs w:val="25"/>
                <w:color w:val="343434"/>
              </w:rPr>
              <w:t>Stockholder Proposal Requiring Independent Board Chairman</w:t>
            </w:r>
          </w:p>
        </w:tc>
        <w:tc>
          <w:tcPr>
            <w:tcW w:w="920" w:type="dxa"/>
            <w:vAlign w:val="bottom"/>
            <w:tcBorders>
              <w:top w:val="single" w:sz="8" w:color="343434"/>
            </w:tcBorders>
            <w:shd w:val="clear" w:color="auto" w:fill="343434"/>
          </w:tcPr>
          <w:p>
            <w:pPr>
              <w:spacing w:after="0"/>
              <w:rPr>
                <w:sz w:val="24"/>
                <w:szCs w:val="24"/>
                <w:color w:val="auto"/>
              </w:rPr>
            </w:pPr>
          </w:p>
        </w:tc>
        <w:tc>
          <w:tcPr>
            <w:tcW w:w="2580" w:type="dxa"/>
            <w:vAlign w:val="bottom"/>
            <w:tcBorders>
              <w:top w:val="single" w:sz="8" w:color="343434"/>
            </w:tcBorders>
            <w:shd w:val="clear" w:color="auto" w:fill="343434"/>
          </w:tcPr>
          <w:p>
            <w:pPr>
              <w:spacing w:after="0"/>
              <w:rPr>
                <w:sz w:val="20"/>
                <w:szCs w:val="20"/>
                <w:color w:val="auto"/>
              </w:rPr>
            </w:pPr>
            <w:r>
              <w:rPr>
                <w:rFonts w:ascii="Arial" w:cs="Arial" w:eastAsia="Arial" w:hAnsi="Arial"/>
                <w:sz w:val="17"/>
                <w:szCs w:val="17"/>
                <w:color w:val="FFFFFF"/>
              </w:rPr>
              <w:t>The Board recommends a vote</w:t>
            </w:r>
          </w:p>
        </w:tc>
        <w:tc>
          <w:tcPr>
            <w:tcW w:w="120" w:type="dxa"/>
            <w:vAlign w:val="bottom"/>
            <w:tcBorders>
              <w:top w:val="single" w:sz="8" w:color="343434"/>
            </w:tcBorders>
            <w:shd w:val="clear" w:color="auto" w:fill="343434"/>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 w:type="dxa"/>
            <w:vAlign w:val="bottom"/>
            <w:tcBorders>
              <w:left w:val="single" w:sz="8" w:color="343434"/>
            </w:tcBorders>
            <w:shd w:val="clear" w:color="auto" w:fill="BCBEC0"/>
          </w:tcPr>
          <w:p>
            <w:pPr>
              <w:spacing w:after="0"/>
              <w:rPr>
                <w:sz w:val="17"/>
                <w:szCs w:val="17"/>
                <w:color w:val="auto"/>
              </w:rPr>
            </w:pPr>
          </w:p>
        </w:tc>
        <w:tc>
          <w:tcPr>
            <w:tcW w:w="7400" w:type="dxa"/>
            <w:vAlign w:val="bottom"/>
            <w:vMerge w:val="continue"/>
            <w:shd w:val="clear" w:color="auto" w:fill="BCBEC0"/>
          </w:tcPr>
          <w:p>
            <w:pPr>
              <w:spacing w:after="0"/>
              <w:rPr>
                <w:sz w:val="17"/>
                <w:szCs w:val="17"/>
                <w:color w:val="auto"/>
              </w:rPr>
            </w:pPr>
          </w:p>
        </w:tc>
        <w:tc>
          <w:tcPr>
            <w:tcW w:w="920" w:type="dxa"/>
            <w:vAlign w:val="bottom"/>
            <w:shd w:val="clear" w:color="auto" w:fill="343434"/>
          </w:tcPr>
          <w:p>
            <w:pPr>
              <w:spacing w:after="0"/>
              <w:rPr>
                <w:sz w:val="17"/>
                <w:szCs w:val="17"/>
                <w:color w:val="auto"/>
              </w:rPr>
            </w:pPr>
          </w:p>
        </w:tc>
        <w:tc>
          <w:tcPr>
            <w:tcW w:w="2580" w:type="dxa"/>
            <w:vAlign w:val="bottom"/>
            <w:vMerge w:val="restart"/>
            <w:shd w:val="clear" w:color="auto" w:fill="343434"/>
          </w:tcPr>
          <w:p>
            <w:pPr>
              <w:spacing w:after="0"/>
              <w:rPr>
                <w:sz w:val="20"/>
                <w:szCs w:val="20"/>
                <w:color w:val="auto"/>
              </w:rPr>
            </w:pPr>
            <w:r>
              <w:rPr>
                <w:rFonts w:ascii="Arial" w:cs="Arial" w:eastAsia="Arial" w:hAnsi="Arial"/>
                <w:sz w:val="22"/>
                <w:szCs w:val="22"/>
                <w:color w:val="FFFFFF"/>
              </w:rPr>
              <w:t xml:space="preserve">AGAINST </w:t>
            </w:r>
            <w:r>
              <w:rPr>
                <w:rFonts w:ascii="Arial" w:cs="Arial" w:eastAsia="Arial" w:hAnsi="Arial"/>
                <w:sz w:val="17"/>
                <w:szCs w:val="17"/>
                <w:color w:val="FFFFFF"/>
              </w:rPr>
              <w:t>this proposal</w:t>
            </w:r>
          </w:p>
        </w:tc>
        <w:tc>
          <w:tcPr>
            <w:tcW w:w="120" w:type="dxa"/>
            <w:vAlign w:val="bottom"/>
            <w:shd w:val="clear" w:color="auto" w:fill="343434"/>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80" w:type="dxa"/>
            <w:vAlign w:val="bottom"/>
            <w:tcBorders>
              <w:left w:val="single" w:sz="8" w:color="343434"/>
            </w:tcBorders>
            <w:shd w:val="clear" w:color="auto" w:fill="BCBEC0"/>
          </w:tcPr>
          <w:p>
            <w:pPr>
              <w:spacing w:after="0"/>
              <w:rPr>
                <w:sz w:val="7"/>
                <w:szCs w:val="7"/>
                <w:color w:val="auto"/>
              </w:rPr>
            </w:pPr>
          </w:p>
        </w:tc>
        <w:tc>
          <w:tcPr>
            <w:tcW w:w="7400" w:type="dxa"/>
            <w:vAlign w:val="bottom"/>
            <w:shd w:val="clear" w:color="auto" w:fill="BCBEC0"/>
          </w:tcPr>
          <w:p>
            <w:pPr>
              <w:spacing w:after="0"/>
              <w:rPr>
                <w:sz w:val="7"/>
                <w:szCs w:val="7"/>
                <w:color w:val="auto"/>
              </w:rPr>
            </w:pPr>
          </w:p>
        </w:tc>
        <w:tc>
          <w:tcPr>
            <w:tcW w:w="920" w:type="dxa"/>
            <w:vAlign w:val="bottom"/>
            <w:shd w:val="clear" w:color="auto" w:fill="343434"/>
          </w:tcPr>
          <w:p>
            <w:pPr>
              <w:spacing w:after="0"/>
              <w:rPr>
                <w:sz w:val="7"/>
                <w:szCs w:val="7"/>
                <w:color w:val="auto"/>
              </w:rPr>
            </w:pPr>
          </w:p>
        </w:tc>
        <w:tc>
          <w:tcPr>
            <w:tcW w:w="2580" w:type="dxa"/>
            <w:vAlign w:val="bottom"/>
            <w:vMerge w:val="continue"/>
            <w:shd w:val="clear" w:color="auto" w:fill="343434"/>
          </w:tcPr>
          <w:p>
            <w:pPr>
              <w:spacing w:after="0"/>
              <w:rPr>
                <w:sz w:val="7"/>
                <w:szCs w:val="7"/>
                <w:color w:val="auto"/>
              </w:rPr>
            </w:pPr>
          </w:p>
        </w:tc>
        <w:tc>
          <w:tcPr>
            <w:tcW w:w="120" w:type="dxa"/>
            <w:vAlign w:val="bottom"/>
            <w:shd w:val="clear" w:color="auto" w:fill="343434"/>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80" w:type="dxa"/>
            <w:vAlign w:val="bottom"/>
            <w:tcBorders>
              <w:left w:val="single" w:sz="8" w:color="343434"/>
              <w:bottom w:val="single" w:sz="8" w:color="343434"/>
            </w:tcBorders>
            <w:shd w:val="clear" w:color="auto" w:fill="BCBEC0"/>
          </w:tcPr>
          <w:p>
            <w:pPr>
              <w:spacing w:after="0"/>
              <w:rPr>
                <w:sz w:val="8"/>
                <w:szCs w:val="8"/>
                <w:color w:val="auto"/>
              </w:rPr>
            </w:pPr>
          </w:p>
        </w:tc>
        <w:tc>
          <w:tcPr>
            <w:tcW w:w="7400" w:type="dxa"/>
            <w:vAlign w:val="bottom"/>
            <w:tcBorders>
              <w:bottom w:val="single" w:sz="8" w:color="343434"/>
            </w:tcBorders>
            <w:shd w:val="clear" w:color="auto" w:fill="BCBEC0"/>
          </w:tcPr>
          <w:p>
            <w:pPr>
              <w:spacing w:after="0"/>
              <w:rPr>
                <w:sz w:val="8"/>
                <w:szCs w:val="8"/>
                <w:color w:val="auto"/>
              </w:rPr>
            </w:pPr>
          </w:p>
        </w:tc>
        <w:tc>
          <w:tcPr>
            <w:tcW w:w="920" w:type="dxa"/>
            <w:vAlign w:val="bottom"/>
            <w:tcBorders>
              <w:bottom w:val="single" w:sz="8" w:color="343434"/>
            </w:tcBorders>
            <w:shd w:val="clear" w:color="auto" w:fill="343434"/>
          </w:tcPr>
          <w:p>
            <w:pPr>
              <w:spacing w:after="0"/>
              <w:rPr>
                <w:sz w:val="8"/>
                <w:szCs w:val="8"/>
                <w:color w:val="auto"/>
              </w:rPr>
            </w:pPr>
          </w:p>
        </w:tc>
        <w:tc>
          <w:tcPr>
            <w:tcW w:w="2580" w:type="dxa"/>
            <w:vAlign w:val="bottom"/>
            <w:tcBorders>
              <w:bottom w:val="single" w:sz="8" w:color="343434"/>
            </w:tcBorders>
            <w:shd w:val="clear" w:color="auto" w:fill="343434"/>
          </w:tcPr>
          <w:p>
            <w:pPr>
              <w:spacing w:after="0"/>
              <w:rPr>
                <w:sz w:val="8"/>
                <w:szCs w:val="8"/>
                <w:color w:val="auto"/>
              </w:rPr>
            </w:pPr>
          </w:p>
        </w:tc>
        <w:tc>
          <w:tcPr>
            <w:tcW w:w="120" w:type="dxa"/>
            <w:vAlign w:val="bottom"/>
            <w:tcBorders>
              <w:bottom w:val="single" w:sz="8" w:color="343434"/>
            </w:tcBorders>
            <w:shd w:val="clear" w:color="auto" w:fill="343434"/>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-393700</wp:posOffset>
            </wp:positionV>
            <wp:extent cx="300355" cy="291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00355" cy="29146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Calibri" w:cs="Calibri" w:eastAsia="Calibri" w:hAnsi="Calibri"/>
          <w:sz w:val="17"/>
          <w:szCs w:val="17"/>
          <w:color w:val="auto"/>
        </w:rPr>
        <w:t>Mr. John Chevedden, owner of 10 shares, has informed us that he intends to introduce the proposal set forth below at the Annual Meetng.</w:t>
      </w:r>
    </w:p>
    <w:p>
      <w:pPr>
        <w:spacing w:after="0" w:line="13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Beginning of Stockholder Proposal—Text and Graphic are Reprinted from the Stockholder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102235</wp:posOffset>
            </wp:positionV>
            <wp:extent cx="7115175" cy="49034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15175" cy="4903470"/>
                    </a:xfrm>
                    <a:prstGeom prst="rect">
                      <a:avLst/>
                    </a:prstGeom>
                    <a:noFill/>
                  </pic:spPr>
                </pic:pic>
              </a:graphicData>
            </a:graphic>
          </wp:anchor>
        </w:drawing>
      </w:r>
    </w:p>
    <w:p>
      <w:pPr>
        <w:spacing w:after="0" w:line="164"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b w:val="1"/>
          <w:bCs w:val="1"/>
          <w:color w:val="auto"/>
        </w:rPr>
        <w:t>Proposal 5 — Independent Board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0" w:right="300"/>
        <w:spacing w:after="0" w:line="261" w:lineRule="auto"/>
        <w:rPr>
          <w:sz w:val="20"/>
          <w:szCs w:val="20"/>
          <w:color w:val="auto"/>
        </w:rPr>
      </w:pPr>
      <w:r>
        <w:rPr>
          <w:rFonts w:ascii="Calibri" w:cs="Calibri" w:eastAsia="Calibri" w:hAnsi="Calibri"/>
          <w:sz w:val="17"/>
          <w:szCs w:val="17"/>
          <w:color w:val="auto"/>
        </w:rPr>
        <w:t>Shareholders request that the Board of Directors adopt an enduring policy, and amend the governing documents as necessary in order that 2 separate people hold the ofce of the Chairman and the ofce of the CEO.</w:t>
      </w:r>
    </w:p>
    <w:p>
      <w:pPr>
        <w:spacing w:after="0" w:line="99" w:lineRule="exact"/>
        <w:rPr>
          <w:sz w:val="20"/>
          <w:szCs w:val="20"/>
          <w:color w:val="auto"/>
        </w:rPr>
      </w:pPr>
    </w:p>
    <w:p>
      <w:pPr>
        <w:ind w:left="140"/>
        <w:spacing w:after="0"/>
        <w:rPr>
          <w:sz w:val="20"/>
          <w:szCs w:val="20"/>
          <w:color w:val="auto"/>
        </w:rPr>
      </w:pPr>
      <w:r>
        <w:rPr>
          <w:rFonts w:ascii="Calibri" w:cs="Calibri" w:eastAsia="Calibri" w:hAnsi="Calibri"/>
          <w:sz w:val="17"/>
          <w:szCs w:val="17"/>
          <w:color w:val="auto"/>
        </w:rPr>
        <w:t>Whenever possible, the Chairman of the Board shall be an Independent Director.</w:t>
      </w:r>
    </w:p>
    <w:p>
      <w:pPr>
        <w:spacing w:after="0" w:line="133" w:lineRule="exact"/>
        <w:rPr>
          <w:sz w:val="20"/>
          <w:szCs w:val="20"/>
          <w:color w:val="auto"/>
        </w:rPr>
      </w:pPr>
    </w:p>
    <w:p>
      <w:pPr>
        <w:ind w:left="140" w:right="400"/>
        <w:spacing w:after="0" w:line="245" w:lineRule="auto"/>
        <w:rPr>
          <w:sz w:val="20"/>
          <w:szCs w:val="20"/>
          <w:color w:val="auto"/>
        </w:rPr>
      </w:pPr>
      <w:r>
        <w:rPr>
          <w:rFonts w:ascii="Calibri" w:cs="Calibri" w:eastAsia="Calibri" w:hAnsi="Calibri"/>
          <w:sz w:val="17"/>
          <w:szCs w:val="17"/>
          <w:color w:val="auto"/>
        </w:rPr>
        <w:t>The Board has the discreton to select a Temporary Chairman of the Board who is not an Independent Director to serve while the Board is seeking an Independent Chairman of the Board.</w:t>
      </w:r>
    </w:p>
    <w:p>
      <w:pPr>
        <w:spacing w:after="0" w:line="130" w:lineRule="exact"/>
        <w:rPr>
          <w:sz w:val="20"/>
          <w:szCs w:val="20"/>
          <w:color w:val="auto"/>
        </w:rPr>
      </w:pPr>
    </w:p>
    <w:p>
      <w:pPr>
        <w:ind w:left="140" w:right="160"/>
        <w:spacing w:after="0" w:line="245" w:lineRule="auto"/>
        <w:rPr>
          <w:sz w:val="20"/>
          <w:szCs w:val="20"/>
          <w:color w:val="auto"/>
        </w:rPr>
      </w:pPr>
      <w:r>
        <w:rPr>
          <w:rFonts w:ascii="Calibri" w:cs="Calibri" w:eastAsia="Calibri" w:hAnsi="Calibri"/>
          <w:sz w:val="17"/>
          <w:szCs w:val="17"/>
          <w:color w:val="auto"/>
        </w:rPr>
        <w:t>Although it is a best practce to adopt this policy soon this policy could be phased in when there is a contract renewal for our current CEO or for the next CEO transiton.</w:t>
      </w:r>
    </w:p>
    <w:p>
      <w:pPr>
        <w:spacing w:after="0" w:line="116" w:lineRule="exact"/>
        <w:rPr>
          <w:sz w:val="20"/>
          <w:szCs w:val="20"/>
          <w:color w:val="auto"/>
        </w:rPr>
      </w:pPr>
    </w:p>
    <w:p>
      <w:pPr>
        <w:jc w:val="both"/>
        <w:ind w:left="140" w:right="240"/>
        <w:spacing w:after="0" w:line="261" w:lineRule="auto"/>
        <w:rPr>
          <w:sz w:val="20"/>
          <w:szCs w:val="20"/>
          <w:color w:val="auto"/>
        </w:rPr>
      </w:pPr>
      <w:r>
        <w:rPr>
          <w:rFonts w:ascii="Calibri" w:cs="Calibri" w:eastAsia="Calibri" w:hAnsi="Calibri"/>
          <w:sz w:val="17"/>
          <w:szCs w:val="17"/>
          <w:color w:val="auto"/>
        </w:rPr>
        <w:t>The roles of Chairman and CEO are fundamentally diferent and should be held by 2 directors, a CEO and a Chairman who is completely independent of the CEO and our company. The job of the CEO is to manage the company. The job of the Chairman is to oversee the CEO and management.</w:t>
      </w:r>
    </w:p>
    <w:p>
      <w:pPr>
        <w:spacing w:after="0" w:line="102" w:lineRule="exact"/>
        <w:rPr>
          <w:sz w:val="20"/>
          <w:szCs w:val="20"/>
          <w:color w:val="auto"/>
        </w:rPr>
      </w:pPr>
    </w:p>
    <w:p>
      <w:pPr>
        <w:ind w:left="140" w:right="320"/>
        <w:spacing w:after="0" w:line="261" w:lineRule="auto"/>
        <w:rPr>
          <w:sz w:val="20"/>
          <w:szCs w:val="20"/>
          <w:color w:val="auto"/>
        </w:rPr>
      </w:pPr>
      <w:r>
        <w:rPr>
          <w:rFonts w:ascii="Calibri" w:cs="Calibri" w:eastAsia="Calibri" w:hAnsi="Calibri"/>
          <w:sz w:val="17"/>
          <w:szCs w:val="17"/>
          <w:color w:val="auto"/>
        </w:rPr>
        <w:t>This proposal topic won 37% support at a previous Lockheed Martn annual meetng even though management supposedly enhanced the role of Lead Director shortly before the annual meetng.</w:t>
      </w:r>
    </w:p>
    <w:p>
      <w:pPr>
        <w:spacing w:after="0" w:line="102" w:lineRule="exact"/>
        <w:rPr>
          <w:sz w:val="20"/>
          <w:szCs w:val="20"/>
          <w:color w:val="auto"/>
        </w:rPr>
      </w:pPr>
    </w:p>
    <w:p>
      <w:pPr>
        <w:jc w:val="both"/>
        <w:ind w:left="140" w:right="240"/>
        <w:spacing w:after="0" w:line="255" w:lineRule="auto"/>
        <w:rPr>
          <w:sz w:val="20"/>
          <w:szCs w:val="20"/>
          <w:color w:val="auto"/>
        </w:rPr>
      </w:pPr>
      <w:r>
        <w:rPr>
          <w:rFonts w:ascii="Calibri" w:cs="Calibri" w:eastAsia="Calibri" w:hAnsi="Calibri"/>
          <w:sz w:val="17"/>
          <w:szCs w:val="17"/>
          <w:color w:val="auto"/>
        </w:rPr>
        <w:t>A Lead Director is no substtute for an independent Board Chairman. A lead director is not responsible for the strategic directon of the company. And a Chairman/CEO can ignore the advice and feedback from a lead director. According to the 2022 LMT annual meetng proxy the Lead Director has limited dutes and lacks in having exclusive powers.</w:t>
      </w:r>
    </w:p>
    <w:p>
      <w:pPr>
        <w:spacing w:after="0" w:line="122" w:lineRule="exact"/>
        <w:rPr>
          <w:sz w:val="20"/>
          <w:szCs w:val="20"/>
          <w:color w:val="auto"/>
        </w:rPr>
      </w:pPr>
    </w:p>
    <w:p>
      <w:pPr>
        <w:ind w:left="140" w:right="220"/>
        <w:spacing w:after="0" w:line="253" w:lineRule="auto"/>
        <w:rPr>
          <w:sz w:val="20"/>
          <w:szCs w:val="20"/>
          <w:color w:val="auto"/>
        </w:rPr>
      </w:pPr>
      <w:r>
        <w:rPr>
          <w:rFonts w:ascii="Calibri" w:cs="Calibri" w:eastAsia="Calibri" w:hAnsi="Calibri"/>
          <w:sz w:val="17"/>
          <w:szCs w:val="17"/>
          <w:color w:val="auto"/>
        </w:rPr>
        <w:t>According to the LMT Corporate Governance Guidelines the Lead Director consults with the Chairman in only one role. The Lead Director appears to be assigned to approve certain items that he may have litle role in developing. The Lead Director has non-oversight roles such as a point of contact for shareholders. The Lead Director acts as a liaison which is a role he probably shares with others. The Lead Director assists with recruitng which is also a role for the Nominatng Commitee.</w:t>
      </w:r>
    </w:p>
    <w:p>
      <w:pPr>
        <w:spacing w:after="0" w:line="110" w:lineRule="exact"/>
        <w:rPr>
          <w:sz w:val="20"/>
          <w:szCs w:val="20"/>
          <w:color w:val="auto"/>
        </w:rPr>
      </w:pPr>
    </w:p>
    <w:p>
      <w:pPr>
        <w:ind w:left="140" w:right="740"/>
        <w:spacing w:after="0" w:line="261" w:lineRule="auto"/>
        <w:rPr>
          <w:sz w:val="20"/>
          <w:szCs w:val="20"/>
          <w:color w:val="auto"/>
        </w:rPr>
      </w:pPr>
      <w:r>
        <w:rPr>
          <w:rFonts w:ascii="Calibri" w:cs="Calibri" w:eastAsia="Calibri" w:hAnsi="Calibri"/>
          <w:sz w:val="17"/>
          <w:szCs w:val="17"/>
          <w:color w:val="auto"/>
        </w:rPr>
        <w:t xml:space="preserve">Plus management fails to give shareholders enough informaton on this topic to make an informed decision in favor of management. There is no management comparison of the </w:t>
      </w:r>
      <w:r>
        <w:rPr>
          <w:rFonts w:ascii="Calibri" w:cs="Calibri" w:eastAsia="Calibri" w:hAnsi="Calibri"/>
          <w:sz w:val="17"/>
          <w:szCs w:val="17"/>
          <w:i w:val="1"/>
          <w:iCs w:val="1"/>
          <w:color w:val="auto"/>
        </w:rPr>
        <w:t>exclusive powers</w:t>
      </w:r>
      <w:r>
        <w:rPr>
          <w:rFonts w:ascii="Calibri" w:cs="Calibri" w:eastAsia="Calibri" w:hAnsi="Calibri"/>
          <w:sz w:val="17"/>
          <w:szCs w:val="17"/>
          <w:color w:val="auto"/>
        </w:rPr>
        <w:t xml:space="preserve"> of the Ofce of the Chairman and the de minimis </w:t>
      </w:r>
      <w:r>
        <w:rPr>
          <w:rFonts w:ascii="Calibri" w:cs="Calibri" w:eastAsia="Calibri" w:hAnsi="Calibri"/>
          <w:sz w:val="17"/>
          <w:szCs w:val="17"/>
          <w:i w:val="1"/>
          <w:iCs w:val="1"/>
          <w:color w:val="auto"/>
        </w:rPr>
        <w:t>exclusive powers</w:t>
      </w:r>
      <w:r>
        <w:rPr>
          <w:rFonts w:ascii="Calibri" w:cs="Calibri" w:eastAsia="Calibri" w:hAnsi="Calibri"/>
          <w:sz w:val="17"/>
          <w:szCs w:val="17"/>
          <w:color w:val="auto"/>
        </w:rPr>
        <w:t xml:space="preserve"> of the Lead Director.</w:t>
      </w:r>
    </w:p>
    <w:p>
      <w:pPr>
        <w:spacing w:after="0" w:line="153" w:lineRule="exact"/>
        <w:rPr>
          <w:sz w:val="20"/>
          <w:szCs w:val="20"/>
          <w:color w:val="auto"/>
        </w:rPr>
      </w:pPr>
    </w:p>
    <w:p>
      <w:pPr>
        <w:jc w:val="center"/>
        <w:ind w:right="-159"/>
        <w:spacing w:after="0"/>
        <w:rPr>
          <w:sz w:val="20"/>
          <w:szCs w:val="20"/>
          <w:color w:val="auto"/>
        </w:rPr>
      </w:pPr>
      <w:r>
        <w:rPr>
          <w:rFonts w:ascii="Calibri" w:cs="Calibri" w:eastAsia="Calibri" w:hAnsi="Calibri"/>
          <w:sz w:val="17"/>
          <w:szCs w:val="17"/>
          <w:b w:val="1"/>
          <w:bCs w:val="1"/>
          <w:color w:val="auto"/>
        </w:rPr>
        <w:t>Independent Board Chairman — Proposal 5</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End of Stockholder Proposal—Board Vote Recommendaton on Proposal 5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341630</wp:posOffset>
            </wp:positionV>
            <wp:extent cx="1071880" cy="1803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88" w:name="page89"/>
    <w:bookmarkEnd w:id="88"/>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 xml:space="preserve">Proposal 5: </w:t>
      </w:r>
      <w:r>
        <w:rPr>
          <w:rFonts w:ascii="Arial" w:cs="Arial" w:eastAsia="Arial" w:hAnsi="Arial"/>
          <w:sz w:val="15"/>
          <w:szCs w:val="15"/>
          <w:color w:val="012E6C"/>
        </w:rPr>
        <w:t>Stockholder Proposal Requiring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66948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29"/>
          <w:szCs w:val="29"/>
          <w:color w:val="003478"/>
        </w:rPr>
        <w:t>The Board of Directors Recommends Voting AGAINST Proposal 5</w:t>
      </w:r>
    </w:p>
    <w:p>
      <w:pPr>
        <w:spacing w:after="0" w:line="144" w:lineRule="exact"/>
        <w:rPr>
          <w:sz w:val="20"/>
          <w:szCs w:val="20"/>
          <w:color w:val="auto"/>
        </w:rPr>
      </w:pPr>
    </w:p>
    <w:p>
      <w:pPr>
        <w:ind w:left="140" w:right="360"/>
        <w:spacing w:after="0" w:line="255" w:lineRule="auto"/>
        <w:rPr>
          <w:sz w:val="20"/>
          <w:szCs w:val="20"/>
          <w:color w:val="auto"/>
        </w:rPr>
      </w:pPr>
      <w:r>
        <w:rPr>
          <w:rFonts w:ascii="Calibri" w:cs="Calibri" w:eastAsia="Calibri" w:hAnsi="Calibri"/>
          <w:sz w:val="17"/>
          <w:szCs w:val="17"/>
          <w:color w:val="auto"/>
        </w:rPr>
        <w:t xml:space="preserve">The Board recommends that stockholders vote </w:t>
      </w:r>
      <w:r>
        <w:rPr>
          <w:rFonts w:ascii="Calibri" w:cs="Calibri" w:eastAsia="Calibri" w:hAnsi="Calibri"/>
          <w:sz w:val="17"/>
          <w:szCs w:val="17"/>
          <w:b w:val="1"/>
          <w:bCs w:val="1"/>
          <w:color w:val="auto"/>
        </w:rPr>
        <w:t>AGAINST</w:t>
      </w:r>
      <w:r>
        <w:rPr>
          <w:rFonts w:ascii="Calibri" w:cs="Calibri" w:eastAsia="Calibri" w:hAnsi="Calibri"/>
          <w:sz w:val="17"/>
          <w:szCs w:val="17"/>
          <w:color w:val="auto"/>
        </w:rPr>
        <w:t xml:space="preserve"> this proposal because we believe our Company and our stockholders are best served by the independent Board members retaining the fexibility to respond to changing circumstances and choose the board leadership structure that best fts the then-current situaton.</w:t>
      </w:r>
    </w:p>
    <w:p>
      <w:pPr>
        <w:spacing w:after="0" w:line="108" w:lineRule="exact"/>
        <w:rPr>
          <w:sz w:val="20"/>
          <w:szCs w:val="20"/>
          <w:color w:val="auto"/>
        </w:rPr>
      </w:pPr>
    </w:p>
    <w:p>
      <w:pPr>
        <w:ind w:left="140" w:right="180"/>
        <w:spacing w:after="0" w:line="257" w:lineRule="auto"/>
        <w:rPr>
          <w:sz w:val="20"/>
          <w:szCs w:val="20"/>
          <w:color w:val="auto"/>
        </w:rPr>
      </w:pPr>
      <w:r>
        <w:rPr>
          <w:rFonts w:ascii="Calibri" w:cs="Calibri" w:eastAsia="Calibri" w:hAnsi="Calibri"/>
          <w:sz w:val="17"/>
          <w:szCs w:val="17"/>
          <w:b w:val="1"/>
          <w:bCs w:val="1"/>
          <w:color w:val="auto"/>
        </w:rPr>
        <w:t xml:space="preserve">Our Current Process Empowers the Board to Determine the Most Efectve Structure with Clearly-Defned Roles. </w:t>
      </w:r>
      <w:r>
        <w:rPr>
          <w:rFonts w:ascii="Calibri" w:cs="Calibri" w:eastAsia="Calibri" w:hAnsi="Calibri"/>
          <w:sz w:val="17"/>
          <w:szCs w:val="17"/>
          <w:color w:val="auto"/>
        </w:rPr>
        <w:t>As described on page 18, the Board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conducts a review at least annually of its leadership structure, to ensure that it contnues to provide efectve independent oversight and meets the needs of the Company. This includes a review of the role and responsibilites of the independent Lead Director. The Board’s fexible structure allows it to re-evaluate the needs of our Company from tme to tme and make determinatons regarding Board leadership based on then-existng conditons, including business needs, customer and stockholder preferences, and other factors. As described under “Board Leadership Structure,” we have not adopted a fxed approach; the roles of the Chairman and CEO have been split from tme to tme to facilitate leadership transitons and, at other tmes, have been combined.</w:t>
      </w:r>
    </w:p>
    <w:p>
      <w:pPr>
        <w:spacing w:after="0" w:line="327" w:lineRule="exact"/>
        <w:rPr>
          <w:sz w:val="20"/>
          <w:szCs w:val="20"/>
          <w:color w:val="auto"/>
        </w:rPr>
      </w:pPr>
    </w:p>
    <w:p>
      <w:pPr>
        <w:jc w:val="both"/>
        <w:ind w:left="140" w:right="460"/>
        <w:spacing w:after="0" w:line="255" w:lineRule="auto"/>
        <w:rPr>
          <w:sz w:val="20"/>
          <w:szCs w:val="20"/>
          <w:color w:val="auto"/>
        </w:rPr>
      </w:pPr>
      <w:r>
        <w:rPr>
          <w:rFonts w:ascii="Calibri" w:cs="Calibri" w:eastAsia="Calibri" w:hAnsi="Calibri"/>
          <w:sz w:val="17"/>
          <w:szCs w:val="17"/>
          <w:color w:val="auto"/>
        </w:rPr>
        <w:t>As part of this review, the Board reviews benchmarking data of the leadership structure of other large companies and industry peers and stockholder proposal trends and investor views on separatng the roles. As of the year ended December 31, 2022, 57% of S&amp;P 500 companies had an independent lead director and only 36% had an independent chairman. The prevalence in our industry of an independent chairman is even lower.</w:t>
      </w:r>
    </w:p>
    <w:p>
      <w:pPr>
        <w:spacing w:after="0" w:line="108" w:lineRule="exact"/>
        <w:rPr>
          <w:sz w:val="20"/>
          <w:szCs w:val="20"/>
          <w:color w:val="auto"/>
        </w:rPr>
      </w:pPr>
    </w:p>
    <w:p>
      <w:pPr>
        <w:ind w:left="140" w:right="180"/>
        <w:spacing w:after="0" w:line="258" w:lineRule="auto"/>
        <w:rPr>
          <w:sz w:val="20"/>
          <w:szCs w:val="20"/>
          <w:color w:val="auto"/>
        </w:rPr>
      </w:pPr>
      <w:r>
        <w:rPr>
          <w:rFonts w:ascii="Calibri" w:cs="Calibri" w:eastAsia="Calibri" w:hAnsi="Calibri"/>
          <w:sz w:val="17"/>
          <w:szCs w:val="17"/>
          <w:b w:val="1"/>
          <w:bCs w:val="1"/>
          <w:color w:val="auto"/>
        </w:rPr>
        <w:t xml:space="preserve">Our Flexible Leadership Structure and Strong Governance Practces Facilitate Efectve Oversight. </w:t>
      </w:r>
      <w:r>
        <w:rPr>
          <w:rFonts w:ascii="Calibri" w:cs="Calibri" w:eastAsia="Calibri" w:hAnsi="Calibri"/>
          <w:sz w:val="17"/>
          <w:szCs w:val="17"/>
          <w:color w:val="auto"/>
        </w:rPr>
        <w:t>At present, the Board believes that the combinaton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roles, along with the robust authority given to the experienced independent Lead Director, efectvely represents the interests of stockholders by maintaining the appropriate level of independence, oversight and responsibility. The combined role of Chairman and CEO facilitates real-tme, transparent communicaton with the Board on critcal business maters. The Board also believes there is value to presentng a single face to our customers, partners and other stakeholders through the combined Chairman and CEO role. In partcular, our customers are primarily governments and presentng a single face with the authority to bind the Company, can be important. Currently, the Board has elected Jim Taiclet to serve as Chairman and CEO and Dan Akerson to serve as independent Lead Director. The Board believes that under this structure, the Board operates efectvely and efciently and that, taking into account the deep experience of Mr. Taiclet, maintaining the combined positons at this tme is appropriate and promotes unifed leadership and company-wide strategic alignment in executng the Company’s strategy. The Board also believes that the experienced Mr. Akerson provides strong independent oversight.</w:t>
      </w:r>
    </w:p>
    <w:p>
      <w:pPr>
        <w:spacing w:after="0" w:line="328" w:lineRule="exact"/>
        <w:rPr>
          <w:sz w:val="20"/>
          <w:szCs w:val="20"/>
          <w:color w:val="auto"/>
        </w:rPr>
      </w:pPr>
    </w:p>
    <w:p>
      <w:pPr>
        <w:jc w:val="both"/>
        <w:ind w:left="140" w:right="700"/>
        <w:spacing w:after="0" w:line="245" w:lineRule="auto"/>
        <w:rPr>
          <w:sz w:val="20"/>
          <w:szCs w:val="20"/>
          <w:color w:val="auto"/>
        </w:rPr>
      </w:pPr>
      <w:r>
        <w:rPr>
          <w:rFonts w:ascii="Calibri" w:cs="Calibri" w:eastAsia="Calibri" w:hAnsi="Calibri"/>
          <w:sz w:val="17"/>
          <w:szCs w:val="17"/>
          <w:color w:val="auto"/>
        </w:rPr>
        <w:t>This structure is further supported by strong Board and governance practces. Our Board is entrely independent other than our CEO and all of our commitees are fully independent and chaired by an independent director. These practces are further detailed on page 17 of the proxy statement.</w:t>
      </w:r>
    </w:p>
    <w:p>
      <w:pPr>
        <w:spacing w:after="0" w:line="130" w:lineRule="exact"/>
        <w:rPr>
          <w:sz w:val="20"/>
          <w:szCs w:val="20"/>
          <w:color w:val="auto"/>
        </w:rPr>
      </w:pPr>
    </w:p>
    <w:p>
      <w:pPr>
        <w:jc w:val="both"/>
        <w:ind w:left="140" w:right="340"/>
        <w:spacing w:after="0" w:line="255" w:lineRule="auto"/>
        <w:rPr>
          <w:sz w:val="20"/>
          <w:szCs w:val="20"/>
          <w:color w:val="auto"/>
        </w:rPr>
      </w:pPr>
      <w:r>
        <w:rPr>
          <w:rFonts w:ascii="Calibri" w:cs="Calibri" w:eastAsia="Calibri" w:hAnsi="Calibri"/>
          <w:sz w:val="17"/>
          <w:szCs w:val="17"/>
          <w:b w:val="1"/>
          <w:bCs w:val="1"/>
          <w:color w:val="auto"/>
        </w:rPr>
        <w:t xml:space="preserve">Lockheed Martn Has Delivered Strong Performance Under its Existng Board Leadership Structure. </w:t>
      </w:r>
      <w:r>
        <w:rPr>
          <w:rFonts w:ascii="Calibri" w:cs="Calibri" w:eastAsia="Calibri" w:hAnsi="Calibri"/>
          <w:sz w:val="17"/>
          <w:szCs w:val="17"/>
          <w:color w:val="auto"/>
        </w:rPr>
        <w:t>As shown in the relatve Total Stockholder Return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chart below, the Company has a track-record of strong long-term performance under the existng Board leadership structure. Mr. Akerson has served as Lead Director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9" w:name="page90"/>
    <w:bookmarkEnd w:id="89"/>
    <w:p>
      <w:pPr>
        <w:spacing w:after="0"/>
        <w:rPr>
          <w:sz w:val="20"/>
          <w:szCs w:val="20"/>
          <w:color w:val="auto"/>
        </w:rPr>
      </w:pPr>
      <w:r>
        <w:rPr>
          <w:rFonts w:ascii="Calibri" w:cs="Calibri" w:eastAsia="Calibri" w:hAnsi="Calibri"/>
          <w:sz w:val="15"/>
          <w:szCs w:val="15"/>
          <w:u w:val="single" w:color="auto"/>
          <w:color w:val="0000FF"/>
        </w:rPr>
        <w:t>Table of Contents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003478"/>
        </w:rPr>
        <w:t xml:space="preserve">Proposal 5: </w:t>
      </w:r>
      <w:r>
        <w:rPr>
          <w:rFonts w:ascii="Arial" w:cs="Arial" w:eastAsia="Arial" w:hAnsi="Arial"/>
          <w:sz w:val="15"/>
          <w:szCs w:val="15"/>
          <w:color w:val="012E6C"/>
        </w:rPr>
        <w:t>Stockholder Proposal Requiring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52120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0" w:right="80"/>
        <w:spacing w:after="0" w:line="255" w:lineRule="auto"/>
        <w:rPr>
          <w:sz w:val="20"/>
          <w:szCs w:val="20"/>
          <w:color w:val="auto"/>
        </w:rPr>
      </w:pPr>
      <w:r>
        <w:rPr>
          <w:rFonts w:ascii="Calibri" w:cs="Calibri" w:eastAsia="Calibri" w:hAnsi="Calibri"/>
          <w:sz w:val="17"/>
          <w:szCs w:val="17"/>
          <w:b w:val="1"/>
          <w:bCs w:val="1"/>
          <w:color w:val="auto"/>
        </w:rPr>
        <w:t xml:space="preserve">Lockheed Martn Has a Strong Track Record of Independent Board Refreshment. </w:t>
      </w:r>
      <w:r>
        <w:rPr>
          <w:rFonts w:ascii="Calibri" w:cs="Calibri" w:eastAsia="Calibri" w:hAnsi="Calibri"/>
          <w:sz w:val="17"/>
          <w:szCs w:val="17"/>
          <w:color w:val="auto"/>
        </w:rPr>
        <w:t>Since Mr. Akerson became Lead Director in 2019, Lockheed Martn has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added four new independent directors, yielding a diverse mix of skills and experience. Our independent Lead Director has actvely partcipated with the Governance Commitee on the identfcaton and recruitment of these new directors. Our Lead Director interviews all Board candidates.</w:t>
      </w:r>
    </w:p>
    <w:p>
      <w:pPr>
        <w:spacing w:after="0" w:line="108" w:lineRule="exact"/>
        <w:rPr>
          <w:sz w:val="20"/>
          <w:szCs w:val="20"/>
          <w:color w:val="auto"/>
        </w:rPr>
      </w:pPr>
    </w:p>
    <w:p>
      <w:pPr>
        <w:jc w:val="both"/>
        <w:ind w:left="100" w:right="20"/>
        <w:spacing w:after="0" w:line="255" w:lineRule="auto"/>
        <w:rPr>
          <w:sz w:val="20"/>
          <w:szCs w:val="20"/>
          <w:color w:val="auto"/>
        </w:rPr>
      </w:pPr>
      <w:r>
        <w:rPr>
          <w:rFonts w:ascii="Calibri" w:cs="Calibri" w:eastAsia="Calibri" w:hAnsi="Calibri"/>
          <w:sz w:val="17"/>
          <w:szCs w:val="17"/>
          <w:b w:val="1"/>
          <w:bCs w:val="1"/>
          <w:color w:val="auto"/>
        </w:rPr>
        <w:t xml:space="preserve">Our Independent Lead Director Role is Well-Defned with Extensive Dutes and Authority. </w:t>
      </w:r>
      <w:r>
        <w:rPr>
          <w:rFonts w:ascii="Calibri" w:cs="Calibri" w:eastAsia="Calibri" w:hAnsi="Calibri"/>
          <w:sz w:val="17"/>
          <w:szCs w:val="17"/>
          <w:color w:val="auto"/>
        </w:rPr>
        <w:t>We have a well-defned role of the Lead Director and our Lead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Director has extensive authorites and responsibilites, a number of which are exclusive. These dutes and their alignment with the dutes of the Chairman include:</w:t>
      </w:r>
    </w:p>
    <w:p>
      <w:pPr>
        <w:spacing w:after="0" w:line="255" w:lineRule="exact"/>
        <w:rPr>
          <w:sz w:val="20"/>
          <w:szCs w:val="20"/>
          <w:color w:val="auto"/>
        </w:rPr>
      </w:pPr>
    </w:p>
    <w:p>
      <w:pPr>
        <w:ind w:left="9160"/>
        <w:spacing w:after="0"/>
        <w:tabs>
          <w:tab w:leader="none" w:pos="10040" w:val="left"/>
        </w:tabs>
        <w:rPr>
          <w:sz w:val="20"/>
          <w:szCs w:val="20"/>
          <w:color w:val="auto"/>
        </w:rPr>
      </w:pPr>
      <w:r>
        <w:rPr>
          <w:rFonts w:ascii="Calibri" w:cs="Calibri" w:eastAsia="Calibri" w:hAnsi="Calibri"/>
          <w:sz w:val="14"/>
          <w:szCs w:val="14"/>
          <w:b w:val="1"/>
          <w:bCs w:val="1"/>
          <w:color w:val="auto"/>
        </w:rPr>
        <w:t>Chair</w:t>
      </w:r>
      <w:r>
        <w:rPr>
          <w:sz w:val="20"/>
          <w:szCs w:val="20"/>
          <w:color w:val="auto"/>
        </w:rPr>
        <w:tab/>
      </w:r>
      <w:r>
        <w:rPr>
          <w:rFonts w:ascii="Calibri" w:cs="Calibri" w:eastAsia="Calibri" w:hAnsi="Calibri"/>
          <w:sz w:val="14"/>
          <w:szCs w:val="14"/>
          <w:b w:val="1"/>
          <w:bCs w:val="1"/>
          <w:color w:val="auto"/>
        </w:rPr>
        <w:t>Lead Director</w:t>
      </w:r>
    </w:p>
    <w:p>
      <w:pPr>
        <w:spacing w:after="0" w:line="40"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Coordinate on maters of Board administraton</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Call Special Board Meetng</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Call Special Meetng of Independent Directors</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Serve as an ex ofcio member of each Board commitee</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Serve as the point of contact for stockholders and others to communicate to the Board</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Preside at Board Meetngs (in the absence of Chair in the case of Lead Director)</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Preside at Executve Sessions of non-management/independent directors</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Determine the Frequency and Timing of Executve Sessions</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Approve Board Meetng Topics and Schedules</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Approve or Consult on Commitee Meetng Topics and Schedules</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Approve Board and Commitee Agendas</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Assist Governance Commitee in the Recruitment of Director Candidates; Interview all Candidates</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Extend invitaton to new director to join Board</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Recommend to Board/commitees advisors or consultants who report directly to the Board</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Lead discussions of Chairman and CEO Performance</w:t>
      </w:r>
    </w:p>
    <w:p>
      <w:pPr>
        <w:spacing w:after="0" w:line="34" w:lineRule="exact"/>
        <w:rPr>
          <w:sz w:val="20"/>
          <w:szCs w:val="20"/>
          <w:color w:val="auto"/>
        </w:rPr>
      </w:pPr>
    </w:p>
    <w:p>
      <w:pPr>
        <w:ind w:left="260"/>
        <w:spacing w:after="0"/>
        <w:rPr>
          <w:sz w:val="20"/>
          <w:szCs w:val="20"/>
          <w:color w:val="auto"/>
        </w:rPr>
      </w:pPr>
      <w:r>
        <w:rPr>
          <w:rFonts w:ascii="Calibri" w:cs="Calibri" w:eastAsia="Calibri" w:hAnsi="Calibri"/>
          <w:sz w:val="16"/>
          <w:szCs w:val="16"/>
          <w:color w:val="auto"/>
        </w:rPr>
        <w:t>Lead Board’s annual self-assessment process, including one-on-one interviews with directors</w:t>
      </w:r>
    </w:p>
    <w:p>
      <w:pPr>
        <w:spacing w:after="0" w:line="257" w:lineRule="exact"/>
        <w:rPr>
          <w:sz w:val="20"/>
          <w:szCs w:val="20"/>
          <w:color w:val="auto"/>
        </w:rPr>
      </w:pPr>
    </w:p>
    <w:p>
      <w:pPr>
        <w:ind w:left="140"/>
        <w:spacing w:after="0" w:line="257" w:lineRule="auto"/>
        <w:rPr>
          <w:sz w:val="20"/>
          <w:szCs w:val="20"/>
          <w:color w:val="auto"/>
        </w:rPr>
      </w:pPr>
      <w:r>
        <w:rPr>
          <w:rFonts w:ascii="Calibri" w:cs="Calibri" w:eastAsia="Calibri" w:hAnsi="Calibri"/>
          <w:sz w:val="17"/>
          <w:szCs w:val="17"/>
          <w:b w:val="1"/>
          <w:bCs w:val="1"/>
          <w:color w:val="auto"/>
        </w:rPr>
        <w:t xml:space="preserve">The Board is Accountable and Responsive to Stockholders. </w:t>
      </w:r>
      <w:r>
        <w:rPr>
          <w:rFonts w:ascii="Calibri" w:cs="Calibri" w:eastAsia="Calibri" w:hAnsi="Calibri"/>
          <w:sz w:val="17"/>
          <w:szCs w:val="17"/>
          <w:color w:val="auto"/>
        </w:rPr>
        <w:t>At the directon of the Board, the Company engages directly with its stockholders throughout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year to seek their views on an array of issues, including corporate governance maters. As discussed on page 24, the Company had 65 engagements with stockholders and other stakeholders as part of its 2022 engagement program. Feedback provided in these meetngs indicated an overall satsfacton with the Board’s recent refreshment, independent oversight and leadership evaluaton processes. Our directors also remain accountable to our stockholders through annual electons by our stockholders with a majority votng standard and a resignaton policy for directors who do not receive a majority of the votes cast in an uncontested electon. We have not nominated any directors for electon who did not receive majority support at any meetngs or failed to respond to any stockholder proposal that received majority support. The Board has also taken proactve acton to strengthen stockholder rights such as adoptng proxy access in 2016, giving stockholders the right to include director nominatons in the Company’s proxy statement for the annual meetng, and proactvely amending the Company’s Bylaws in 2017 to provide stockholders the power to amend the Company’s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461645</wp:posOffset>
            </wp:positionV>
            <wp:extent cx="1071880" cy="1797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24" w:right="539" w:bottom="1440" w:gutter="0" w:footer="0" w:header="0"/>
        </w:sectPr>
      </w:pPr>
    </w:p>
    <w:bookmarkStart w:id="90" w:name="page91"/>
    <w:bookmarkEnd w:id="90"/>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color w:val="auto"/>
        </w:rPr>
        <w:t>Proposal 6</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80" w:type="dxa"/>
            <w:vAlign w:val="bottom"/>
            <w:tcBorders>
              <w:top w:val="single" w:sz="8" w:color="343434"/>
              <w:left w:val="single" w:sz="8" w:color="343434"/>
            </w:tcBorders>
            <w:shd w:val="clear" w:color="auto" w:fill="BCBEC0"/>
          </w:tcPr>
          <w:p>
            <w:pPr>
              <w:spacing w:after="0"/>
              <w:rPr>
                <w:sz w:val="24"/>
                <w:szCs w:val="24"/>
                <w:color w:val="auto"/>
              </w:rPr>
            </w:pPr>
          </w:p>
        </w:tc>
        <w:tc>
          <w:tcPr>
            <w:tcW w:w="7520" w:type="dxa"/>
            <w:vAlign w:val="bottom"/>
            <w:tcBorders>
              <w:top w:val="single" w:sz="8" w:color="343434"/>
            </w:tcBorders>
            <w:shd w:val="clear" w:color="auto" w:fill="BCBEC0"/>
          </w:tcPr>
          <w:p>
            <w:pPr>
              <w:ind w:left="60"/>
              <w:spacing w:after="0"/>
              <w:rPr>
                <w:sz w:val="20"/>
                <w:szCs w:val="20"/>
                <w:color w:val="auto"/>
              </w:rPr>
            </w:pPr>
            <w:r>
              <w:rPr>
                <w:rFonts w:ascii="Arial" w:cs="Arial" w:eastAsia="Arial" w:hAnsi="Arial"/>
                <w:sz w:val="25"/>
                <w:szCs w:val="25"/>
                <w:color w:val="343434"/>
              </w:rPr>
              <w:t>Stockholder Proposal to Issue a Human Rights Impact</w:t>
            </w:r>
          </w:p>
        </w:tc>
        <w:tc>
          <w:tcPr>
            <w:tcW w:w="920" w:type="dxa"/>
            <w:vAlign w:val="bottom"/>
            <w:tcBorders>
              <w:top w:val="single" w:sz="8" w:color="343434"/>
            </w:tcBorders>
            <w:shd w:val="clear" w:color="auto" w:fill="343434"/>
          </w:tcPr>
          <w:p>
            <w:pPr>
              <w:spacing w:after="0"/>
              <w:rPr>
                <w:sz w:val="24"/>
                <w:szCs w:val="24"/>
                <w:color w:val="auto"/>
              </w:rPr>
            </w:pPr>
          </w:p>
        </w:tc>
        <w:tc>
          <w:tcPr>
            <w:tcW w:w="2620" w:type="dxa"/>
            <w:vAlign w:val="bottom"/>
            <w:tcBorders>
              <w:top w:val="single" w:sz="8" w:color="343434"/>
            </w:tcBorders>
            <w:shd w:val="clear" w:color="auto" w:fill="343434"/>
          </w:tcPr>
          <w:p>
            <w:pPr>
              <w:ind w:left="20"/>
              <w:spacing w:after="0"/>
              <w:rPr>
                <w:sz w:val="20"/>
                <w:szCs w:val="20"/>
                <w:color w:val="auto"/>
              </w:rPr>
            </w:pPr>
            <w:r>
              <w:rPr>
                <w:rFonts w:ascii="Arial" w:cs="Arial" w:eastAsia="Arial" w:hAnsi="Arial"/>
                <w:sz w:val="17"/>
                <w:szCs w:val="17"/>
                <w:color w:val="FFFFFF"/>
              </w:rPr>
              <w:t>The Board recommends a vote</w:t>
            </w:r>
          </w:p>
        </w:tc>
        <w:tc>
          <w:tcPr>
            <w:tcW w:w="120" w:type="dxa"/>
            <w:vAlign w:val="bottom"/>
            <w:tcBorders>
              <w:top w:val="single" w:sz="8" w:color="343434"/>
            </w:tcBorders>
            <w:shd w:val="clear" w:color="auto" w:fill="343434"/>
          </w:tcPr>
          <w:p>
            <w:pPr>
              <w:spacing w:after="0"/>
              <w:rPr>
                <w:sz w:val="24"/>
                <w:szCs w:val="24"/>
                <w:color w:val="auto"/>
              </w:rPr>
            </w:pPr>
          </w:p>
        </w:tc>
      </w:tr>
      <w:tr>
        <w:trPr>
          <w:trHeight w:val="349"/>
        </w:trPr>
        <w:tc>
          <w:tcPr>
            <w:tcW w:w="80" w:type="dxa"/>
            <w:vAlign w:val="bottom"/>
            <w:tcBorders>
              <w:left w:val="single" w:sz="8" w:color="343434"/>
            </w:tcBorders>
            <w:shd w:val="clear" w:color="auto" w:fill="BCBEC0"/>
          </w:tcPr>
          <w:p>
            <w:pPr>
              <w:spacing w:after="0"/>
              <w:rPr>
                <w:sz w:val="24"/>
                <w:szCs w:val="24"/>
                <w:color w:val="auto"/>
              </w:rPr>
            </w:pPr>
          </w:p>
        </w:tc>
        <w:tc>
          <w:tcPr>
            <w:tcW w:w="7520" w:type="dxa"/>
            <w:vAlign w:val="bottom"/>
            <w:shd w:val="clear" w:color="auto" w:fill="BCBEC0"/>
          </w:tcPr>
          <w:p>
            <w:pPr>
              <w:ind w:left="60"/>
              <w:spacing w:after="0"/>
              <w:rPr>
                <w:sz w:val="20"/>
                <w:szCs w:val="20"/>
                <w:color w:val="auto"/>
              </w:rPr>
            </w:pPr>
            <w:r>
              <w:rPr>
                <w:rFonts w:ascii="Arial" w:cs="Arial" w:eastAsia="Arial" w:hAnsi="Arial"/>
                <w:sz w:val="25"/>
                <w:szCs w:val="25"/>
                <w:color w:val="343434"/>
              </w:rPr>
              <w:t>Assessment Report</w:t>
            </w:r>
          </w:p>
        </w:tc>
        <w:tc>
          <w:tcPr>
            <w:tcW w:w="920" w:type="dxa"/>
            <w:vAlign w:val="bottom"/>
            <w:shd w:val="clear" w:color="auto" w:fill="343434"/>
          </w:tcPr>
          <w:p>
            <w:pPr>
              <w:spacing w:after="0"/>
              <w:rPr>
                <w:sz w:val="24"/>
                <w:szCs w:val="24"/>
                <w:color w:val="auto"/>
              </w:rPr>
            </w:pPr>
          </w:p>
        </w:tc>
        <w:tc>
          <w:tcPr>
            <w:tcW w:w="2620" w:type="dxa"/>
            <w:vAlign w:val="bottom"/>
            <w:shd w:val="clear" w:color="auto" w:fill="343434"/>
          </w:tcPr>
          <w:p>
            <w:pPr>
              <w:ind w:left="20"/>
              <w:spacing w:after="0"/>
              <w:rPr>
                <w:sz w:val="20"/>
                <w:szCs w:val="20"/>
                <w:color w:val="auto"/>
              </w:rPr>
            </w:pPr>
            <w:r>
              <w:rPr>
                <w:rFonts w:ascii="Arial" w:cs="Arial" w:eastAsia="Arial" w:hAnsi="Arial"/>
                <w:sz w:val="22"/>
                <w:szCs w:val="22"/>
                <w:color w:val="FFFFFF"/>
              </w:rPr>
              <w:t xml:space="preserve">AGAINST </w:t>
            </w:r>
            <w:r>
              <w:rPr>
                <w:rFonts w:ascii="Arial" w:cs="Arial" w:eastAsia="Arial" w:hAnsi="Arial"/>
                <w:sz w:val="17"/>
                <w:szCs w:val="17"/>
                <w:color w:val="FFFFFF"/>
              </w:rPr>
              <w:t>this proposal</w:t>
            </w:r>
          </w:p>
        </w:tc>
        <w:tc>
          <w:tcPr>
            <w:tcW w:w="120" w:type="dxa"/>
            <w:vAlign w:val="bottom"/>
            <w:shd w:val="clear" w:color="auto" w:fill="343434"/>
          </w:tcPr>
          <w:p>
            <w:pPr>
              <w:spacing w:after="0"/>
              <w:rPr>
                <w:sz w:val="24"/>
                <w:szCs w:val="24"/>
                <w:color w:val="auto"/>
              </w:rPr>
            </w:pPr>
          </w:p>
        </w:tc>
      </w:tr>
      <w:tr>
        <w:trPr>
          <w:trHeight w:val="149"/>
        </w:trPr>
        <w:tc>
          <w:tcPr>
            <w:tcW w:w="80" w:type="dxa"/>
            <w:vAlign w:val="bottom"/>
            <w:tcBorders>
              <w:left w:val="single" w:sz="8" w:color="343434"/>
              <w:bottom w:val="single" w:sz="8" w:color="343434"/>
            </w:tcBorders>
            <w:shd w:val="clear" w:color="auto" w:fill="BCBEC0"/>
          </w:tcPr>
          <w:p>
            <w:pPr>
              <w:spacing w:after="0"/>
              <w:rPr>
                <w:sz w:val="13"/>
                <w:szCs w:val="13"/>
                <w:color w:val="auto"/>
              </w:rPr>
            </w:pPr>
          </w:p>
        </w:tc>
        <w:tc>
          <w:tcPr>
            <w:tcW w:w="7520" w:type="dxa"/>
            <w:vAlign w:val="bottom"/>
            <w:tcBorders>
              <w:bottom w:val="single" w:sz="8" w:color="343434"/>
            </w:tcBorders>
            <w:shd w:val="clear" w:color="auto" w:fill="BCBEC0"/>
          </w:tcPr>
          <w:p>
            <w:pPr>
              <w:spacing w:after="0"/>
              <w:rPr>
                <w:sz w:val="13"/>
                <w:szCs w:val="13"/>
                <w:color w:val="auto"/>
              </w:rPr>
            </w:pPr>
          </w:p>
        </w:tc>
        <w:tc>
          <w:tcPr>
            <w:tcW w:w="920" w:type="dxa"/>
            <w:vAlign w:val="bottom"/>
            <w:tcBorders>
              <w:bottom w:val="single" w:sz="8" w:color="343434"/>
            </w:tcBorders>
            <w:shd w:val="clear" w:color="auto" w:fill="343434"/>
          </w:tcPr>
          <w:p>
            <w:pPr>
              <w:spacing w:after="0"/>
              <w:rPr>
                <w:sz w:val="13"/>
                <w:szCs w:val="13"/>
                <w:color w:val="auto"/>
              </w:rPr>
            </w:pPr>
          </w:p>
        </w:tc>
        <w:tc>
          <w:tcPr>
            <w:tcW w:w="2620" w:type="dxa"/>
            <w:vAlign w:val="bottom"/>
            <w:tcBorders>
              <w:bottom w:val="single" w:sz="8" w:color="343434"/>
            </w:tcBorders>
            <w:shd w:val="clear" w:color="auto" w:fill="343434"/>
          </w:tcPr>
          <w:p>
            <w:pPr>
              <w:spacing w:after="0"/>
              <w:rPr>
                <w:sz w:val="13"/>
                <w:szCs w:val="13"/>
                <w:color w:val="auto"/>
              </w:rPr>
            </w:pPr>
          </w:p>
        </w:tc>
        <w:tc>
          <w:tcPr>
            <w:tcW w:w="120" w:type="dxa"/>
            <w:vAlign w:val="bottom"/>
            <w:tcBorders>
              <w:bottom w:val="single" w:sz="8" w:color="343434"/>
            </w:tcBorders>
            <w:shd w:val="clear" w:color="auto" w:fill="343434"/>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-471170</wp:posOffset>
            </wp:positionV>
            <wp:extent cx="300355" cy="291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00355" cy="291465"/>
                    </a:xfrm>
                    <a:prstGeom prst="rect">
                      <a:avLst/>
                    </a:prstGeom>
                    <a:noFill/>
                  </pic:spPr>
                </pic:pic>
              </a:graphicData>
            </a:graphic>
          </wp:anchor>
        </w:drawing>
      </w:r>
    </w:p>
    <w:p>
      <w:pPr>
        <w:spacing w:after="0" w:line="142" w:lineRule="exact"/>
        <w:rPr>
          <w:sz w:val="20"/>
          <w:szCs w:val="20"/>
          <w:color w:val="auto"/>
        </w:rPr>
      </w:pPr>
    </w:p>
    <w:p>
      <w:pPr>
        <w:ind w:right="140"/>
        <w:spacing w:after="0"/>
        <w:rPr>
          <w:sz w:val="20"/>
          <w:szCs w:val="20"/>
          <w:color w:val="auto"/>
        </w:rPr>
      </w:pPr>
      <w:r>
        <w:rPr>
          <w:rFonts w:ascii="Calibri" w:cs="Calibri" w:eastAsia="Calibri" w:hAnsi="Calibri"/>
          <w:sz w:val="17"/>
          <w:szCs w:val="17"/>
          <w:color w:val="auto"/>
        </w:rPr>
        <w:t>We have been informed that the Sisters of Charity of Saint Elizabeth, owner of 30 shares, The Sisters of St. Francis of Philadelphia, owner of shares having a market value greater than $2,000, the School Sisters of Notre Dame Cooperatve Investment Fund, owner of 26 shares, and the Benedictne Sisters of Mount St. Scholastca, owner of shares having a market value greater than $2,000, intend to introduce the proposal set forth below at the Annual Meetng.</w:t>
      </w:r>
    </w:p>
    <w:p>
      <w:pPr>
        <w:spacing w:after="0" w:line="11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Beginning of Stockholder Proposal—Text and Footnotes are Reprinted from the Stockholder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40575" cy="50152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0575" cy="5015230"/>
                    </a:xfrm>
                    <a:prstGeom prst="rect">
                      <a:avLst/>
                    </a:prstGeom>
                    <a:noFill/>
                  </pic:spPr>
                </pic:pic>
              </a:graphicData>
            </a:graphic>
          </wp:anchor>
        </w:drawing>
      </w:r>
    </w:p>
    <w:p>
      <w:pPr>
        <w:spacing w:after="0" w:line="262" w:lineRule="exact"/>
        <w:rPr>
          <w:sz w:val="20"/>
          <w:szCs w:val="20"/>
          <w:color w:val="auto"/>
        </w:rPr>
      </w:pPr>
    </w:p>
    <w:p>
      <w:pPr>
        <w:ind w:left="120" w:right="140"/>
        <w:spacing w:after="0"/>
        <w:rPr>
          <w:sz w:val="20"/>
          <w:szCs w:val="20"/>
          <w:color w:val="auto"/>
        </w:rPr>
      </w:pPr>
      <w:r>
        <w:rPr>
          <w:rFonts w:ascii="Calibri" w:cs="Calibri" w:eastAsia="Calibri" w:hAnsi="Calibri"/>
          <w:sz w:val="17"/>
          <w:szCs w:val="17"/>
          <w:b w:val="1"/>
          <w:bCs w:val="1"/>
          <w:color w:val="auto"/>
        </w:rPr>
        <w:t>Resolved</w:t>
      </w:r>
      <w:r>
        <w:rPr>
          <w:rFonts w:ascii="Calibri" w:cs="Calibri" w:eastAsia="Calibri" w:hAnsi="Calibri"/>
          <w:sz w:val="17"/>
          <w:szCs w:val="17"/>
          <w:color w:val="auto"/>
        </w:rPr>
        <w:t>: Shareholders request that Lockheed Martn publish a report, at reasonable cost and omitng proprietary informaton, with the results of Human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Rights Impact Assessments examining the actual and potental human rights impacts associated with high-risk products and services, including those in confict-afected areas and/or or violatng internatonal law.</w:t>
      </w:r>
    </w:p>
    <w:p>
      <w:pPr>
        <w:spacing w:after="0" w:line="106" w:lineRule="exact"/>
        <w:rPr>
          <w:sz w:val="20"/>
          <w:szCs w:val="20"/>
          <w:color w:val="auto"/>
        </w:rPr>
      </w:pPr>
    </w:p>
    <w:p>
      <w:pPr>
        <w:ind w:left="120" w:right="160"/>
        <w:spacing w:after="0" w:line="233" w:lineRule="auto"/>
        <w:rPr>
          <w:sz w:val="20"/>
          <w:szCs w:val="20"/>
          <w:color w:val="auto"/>
        </w:rPr>
      </w:pPr>
      <w:r>
        <w:rPr>
          <w:rFonts w:ascii="Calibri" w:cs="Calibri" w:eastAsia="Calibri" w:hAnsi="Calibri"/>
          <w:sz w:val="17"/>
          <w:szCs w:val="17"/>
          <w:b w:val="1"/>
          <w:bCs w:val="1"/>
          <w:color w:val="auto"/>
        </w:rPr>
        <w:t>Whereas</w:t>
      </w:r>
      <w:r>
        <w:rPr>
          <w:rFonts w:ascii="Calibri" w:cs="Calibri" w:eastAsia="Calibri" w:hAnsi="Calibri"/>
          <w:sz w:val="17"/>
          <w:szCs w:val="17"/>
          <w:color w:val="auto"/>
        </w:rPr>
        <w:t>: Lockheed Martn (“Lockheed”) is the world’s largest defense contractor and is exposed to signifcant actual and potental adverse human rights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impacts resultng from the use of its weapons and defense technologies. Human rights risks include the rights to life, liberty and personal security, and privacy. The UN Guiding Principles on Business and Human Rights consttute the global authoritatve framework outlining the roles and responsibilites of states and companies with respect to human rights. A company’s human rights responsibility is independent of the state’s export licensing determinatons, as reiterated in a recent United Natons note.</w:t>
      </w:r>
      <w:r>
        <w:rPr>
          <w:rFonts w:ascii="Calibri" w:cs="Calibri" w:eastAsia="Calibri" w:hAnsi="Calibri"/>
          <w:sz w:val="22"/>
          <w:szCs w:val="22"/>
          <w:color w:val="auto"/>
          <w:vertAlign w:val="superscript"/>
        </w:rPr>
        <w:t>1</w:t>
      </w:r>
    </w:p>
    <w:p>
      <w:pPr>
        <w:spacing w:after="0" w:line="57" w:lineRule="exact"/>
        <w:rPr>
          <w:sz w:val="20"/>
          <w:szCs w:val="20"/>
          <w:color w:val="auto"/>
        </w:rPr>
      </w:pPr>
    </w:p>
    <w:p>
      <w:pPr>
        <w:ind w:left="120" w:right="140"/>
        <w:spacing w:after="0" w:line="199" w:lineRule="auto"/>
        <w:rPr>
          <w:sz w:val="20"/>
          <w:szCs w:val="20"/>
          <w:color w:val="auto"/>
        </w:rPr>
      </w:pPr>
      <w:r>
        <w:rPr>
          <w:rFonts w:ascii="Calibri" w:cs="Calibri" w:eastAsia="Calibri" w:hAnsi="Calibri"/>
          <w:sz w:val="17"/>
          <w:szCs w:val="17"/>
          <w:color w:val="auto"/>
        </w:rPr>
        <w:t>A 2019 Amnesty Internatonal report found that Lockheed is not meetng its human rights responsibilites despite severe, irremediable impacts</w:t>
      </w:r>
      <w:r>
        <w:rPr>
          <w:rFonts w:ascii="Calibri" w:cs="Calibri" w:eastAsia="Calibri" w:hAnsi="Calibri"/>
          <w:sz w:val="22"/>
          <w:szCs w:val="22"/>
          <w:color w:val="auto"/>
          <w:vertAlign w:val="superscript"/>
        </w:rPr>
        <w:t>2</w:t>
      </w:r>
      <w:r>
        <w:rPr>
          <w:rFonts w:ascii="Calibri" w:cs="Calibri" w:eastAsia="Calibri" w:hAnsi="Calibri"/>
          <w:sz w:val="17"/>
          <w:szCs w:val="17"/>
          <w:color w:val="auto"/>
        </w:rPr>
        <w:t xml:space="preserve"> and prominent human rights organizatons have recorded indiscriminate use of Lockheed products against civilians.</w:t>
      </w:r>
      <w:r>
        <w:rPr>
          <w:rFonts w:ascii="Calibri" w:cs="Calibri" w:eastAsia="Calibri" w:hAnsi="Calibri"/>
          <w:sz w:val="22"/>
          <w:szCs w:val="22"/>
          <w:color w:val="auto"/>
          <w:vertAlign w:val="superscript"/>
        </w:rPr>
        <w:t>3</w:t>
      </w:r>
      <w:r>
        <w:rPr>
          <w:rFonts w:ascii="Calibri" w:cs="Calibri" w:eastAsia="Calibri" w:hAnsi="Calibri"/>
          <w:sz w:val="17"/>
          <w:szCs w:val="17"/>
          <w:color w:val="auto"/>
        </w:rPr>
        <w:t xml:space="preserve"> Lockheed has exported military goods to over a dozen states that are engaged in armed confict, have a record of human rights violatons, or are at risk of corrupton and fragility.</w:t>
      </w:r>
      <w:r>
        <w:rPr>
          <w:rFonts w:ascii="Calibri" w:cs="Calibri" w:eastAsia="Calibri" w:hAnsi="Calibri"/>
          <w:sz w:val="22"/>
          <w:szCs w:val="22"/>
          <w:color w:val="auto"/>
          <w:vertAlign w:val="superscript"/>
        </w:rPr>
        <w:t>4</w:t>
      </w:r>
      <w:r>
        <w:rPr>
          <w:rFonts w:ascii="Calibri" w:cs="Calibri" w:eastAsia="Calibri" w:hAnsi="Calibri"/>
          <w:sz w:val="17"/>
          <w:szCs w:val="17"/>
          <w:color w:val="auto"/>
        </w:rPr>
        <w:t xml:space="preserve"> Lockheed weaponry played a critcal role in the May 2021 atacks on Gaza, where apparent war crimes were commited, including the deaths of at least 129 civilians, 66 of whom were children.</w:t>
      </w:r>
      <w:r>
        <w:rPr>
          <w:rFonts w:ascii="Calibri" w:cs="Calibri" w:eastAsia="Calibri" w:hAnsi="Calibri"/>
          <w:sz w:val="22"/>
          <w:szCs w:val="22"/>
          <w:color w:val="auto"/>
          <w:vertAlign w:val="superscript"/>
        </w:rPr>
        <w:t>5</w:t>
      </w:r>
      <w:r>
        <w:rPr>
          <w:rFonts w:ascii="Calibri" w:cs="Calibri" w:eastAsia="Calibri" w:hAnsi="Calibri"/>
          <w:sz w:val="17"/>
          <w:szCs w:val="17"/>
          <w:color w:val="auto"/>
        </w:rPr>
        <w:t xml:space="preserve"> Reports have also linked Lockheed weaponry to war crimes and other violatons of internatonal law in Yemen, including the widely condemned atack on a school bus in 2018 that killed dozens of children.</w:t>
      </w:r>
      <w:r>
        <w:rPr>
          <w:rFonts w:ascii="Calibri" w:cs="Calibri" w:eastAsia="Calibri" w:hAnsi="Calibri"/>
          <w:sz w:val="22"/>
          <w:szCs w:val="22"/>
          <w:color w:val="auto"/>
          <w:vertAlign w:val="superscript"/>
        </w:rPr>
        <w:t>6</w:t>
      </w:r>
      <w:r>
        <w:rPr>
          <w:rFonts w:ascii="Calibri" w:cs="Calibri" w:eastAsia="Calibri" w:hAnsi="Calibri"/>
          <w:sz w:val="17"/>
          <w:szCs w:val="17"/>
          <w:color w:val="auto"/>
        </w:rPr>
        <w:t xml:space="preserve"> Congress recently pushed President Biden to “halt all arms sales” to Saudi Arabia untl civilian harm ceases, jeopardizing the Company’s recent $1.5 billion contract.</w:t>
      </w:r>
      <w:r>
        <w:rPr>
          <w:rFonts w:ascii="Calibri" w:cs="Calibri" w:eastAsia="Calibri" w:hAnsi="Calibri"/>
          <w:sz w:val="22"/>
          <w:szCs w:val="22"/>
          <w:color w:val="auto"/>
          <w:vertAlign w:val="superscript"/>
        </w:rPr>
        <w:t>7</w:t>
      </w:r>
      <w:r>
        <w:rPr>
          <w:rFonts w:ascii="Calibri" w:cs="Calibri" w:eastAsia="Calibri" w:hAnsi="Calibri"/>
          <w:sz w:val="17"/>
          <w:szCs w:val="17"/>
          <w:color w:val="auto"/>
        </w:rPr>
        <w:t xml:space="preserve"> Lockheed faces increasing regulatory risk as the proposed Natonal Defense Authorizaton Act limits arms sales to Saudi Arabia, bans sales to countries commitng genocide or war crimes, expands congressional oversight of relevant sales, and broadens end-use human rights monitoring of transfers.</w:t>
      </w:r>
      <w:r>
        <w:rPr>
          <w:rFonts w:ascii="Calibri" w:cs="Calibri" w:eastAsia="Calibri" w:hAnsi="Calibri"/>
          <w:sz w:val="22"/>
          <w:szCs w:val="22"/>
          <w:color w:val="auto"/>
          <w:vertAlign w:val="superscript"/>
        </w:rPr>
        <w:t>8</w:t>
      </w:r>
    </w:p>
    <w:p>
      <w:pPr>
        <w:spacing w:after="0" w:line="65" w:lineRule="exact"/>
        <w:rPr>
          <w:sz w:val="20"/>
          <w:szCs w:val="20"/>
          <w:color w:val="auto"/>
        </w:rPr>
      </w:pPr>
    </w:p>
    <w:p>
      <w:pPr>
        <w:ind w:left="120" w:right="120"/>
        <w:spacing w:after="0" w:line="221" w:lineRule="auto"/>
        <w:rPr>
          <w:sz w:val="20"/>
          <w:szCs w:val="20"/>
          <w:color w:val="auto"/>
        </w:rPr>
      </w:pPr>
      <w:r>
        <w:rPr>
          <w:rFonts w:ascii="Calibri" w:cs="Calibri" w:eastAsia="Calibri" w:hAnsi="Calibri"/>
          <w:sz w:val="17"/>
          <w:szCs w:val="17"/>
          <w:color w:val="auto"/>
        </w:rPr>
        <w:t>Failure to respect human rights exposes the Company and its investors to fnancial, legal, regulatory, and reputatonal risks. In 2021, Lockheed sold nearly $2.43 billion of F-16s to the Philippines, despite congressional oppositon related to widespread human rights violatons carried out by the Armed Forces of the Philippines.</w:t>
      </w:r>
      <w:r>
        <w:rPr>
          <w:rFonts w:ascii="Calibri" w:cs="Calibri" w:eastAsia="Calibri" w:hAnsi="Calibri"/>
          <w:sz w:val="22"/>
          <w:szCs w:val="22"/>
          <w:color w:val="auto"/>
          <w:vertAlign w:val="superscript"/>
        </w:rPr>
        <w:t>9</w:t>
      </w:r>
      <w:r>
        <w:rPr>
          <w:rFonts w:ascii="Calibri" w:cs="Calibri" w:eastAsia="Calibri" w:hAnsi="Calibri"/>
          <w:sz w:val="17"/>
          <w:szCs w:val="17"/>
          <w:color w:val="auto"/>
        </w:rPr>
        <w:t xml:space="preserve"> Furthermore, Lockheed has annual contracts worth $1.9 billion in nuclear weapons contracts,</w:t>
      </w:r>
      <w:r>
        <w:rPr>
          <w:rFonts w:ascii="Calibri" w:cs="Calibri" w:eastAsia="Calibri" w:hAnsi="Calibri"/>
          <w:sz w:val="22"/>
          <w:szCs w:val="22"/>
          <w:color w:val="auto"/>
          <w:vertAlign w:val="superscript"/>
        </w:rPr>
        <w:t>10</w:t>
      </w:r>
      <w:r>
        <w:rPr>
          <w:rFonts w:ascii="Calibri" w:cs="Calibri" w:eastAsia="Calibri" w:hAnsi="Calibri"/>
          <w:sz w:val="17"/>
          <w:szCs w:val="17"/>
          <w:color w:val="auto"/>
        </w:rPr>
        <w:t xml:space="preserve"> which are now illegal under internatonal law.</w:t>
      </w:r>
      <w:r>
        <w:rPr>
          <w:rFonts w:ascii="Calibri" w:cs="Calibri" w:eastAsia="Calibri" w:hAnsi="Calibri"/>
          <w:sz w:val="22"/>
          <w:szCs w:val="22"/>
          <w:color w:val="auto"/>
          <w:vertAlign w:val="superscript"/>
        </w:rPr>
        <w:t>11</w:t>
      </w:r>
      <w:r>
        <w:rPr>
          <w:rFonts w:ascii="Calibri" w:cs="Calibri" w:eastAsia="Calibri" w:hAnsi="Calibri"/>
          <w:sz w:val="17"/>
          <w:szCs w:val="17"/>
          <w:color w:val="auto"/>
        </w:rPr>
        <w:t xml:space="preserve"> The Company may be required to disclose more about its nuclear weapons involvement to avoid prosecuton or legal proceedings. Lockheed is the subject of multple divestment campaigns related to its poor human rights track record.</w:t>
      </w:r>
      <w:r>
        <w:rPr>
          <w:rFonts w:ascii="Calibri" w:cs="Calibri" w:eastAsia="Calibri" w:hAnsi="Calibri"/>
          <w:sz w:val="22"/>
          <w:szCs w:val="22"/>
          <w:color w:val="auto"/>
          <w:vertAlign w:val="superscript"/>
        </w:rPr>
        <w:t>12</w:t>
      </w:r>
    </w:p>
    <w:p>
      <w:pPr>
        <w:spacing w:after="0" w:line="66" w:lineRule="exact"/>
        <w:rPr>
          <w:sz w:val="20"/>
          <w:szCs w:val="20"/>
          <w:color w:val="auto"/>
        </w:rPr>
      </w:pPr>
    </w:p>
    <w:p>
      <w:pPr>
        <w:ind w:left="120" w:right="840"/>
        <w:spacing w:after="0" w:line="225" w:lineRule="auto"/>
        <w:rPr>
          <w:sz w:val="20"/>
          <w:szCs w:val="20"/>
          <w:color w:val="auto"/>
        </w:rPr>
      </w:pPr>
      <w:r>
        <w:rPr>
          <w:rFonts w:ascii="Calibri" w:cs="Calibri" w:eastAsia="Calibri" w:hAnsi="Calibri"/>
          <w:sz w:val="17"/>
          <w:szCs w:val="17"/>
          <w:color w:val="auto"/>
        </w:rPr>
        <w:t>New guidance from the American Bar Associaton artculates how tools like human rights impact assessments can reduce material risks, including divestment, country-specifc export bans, and civil liability.</w:t>
      </w:r>
      <w:r>
        <w:rPr>
          <w:rFonts w:ascii="Calibri" w:cs="Calibri" w:eastAsia="Calibri" w:hAnsi="Calibri"/>
          <w:sz w:val="22"/>
          <w:szCs w:val="22"/>
          <w:color w:val="auto"/>
          <w:vertAlign w:val="superscript"/>
        </w:rPr>
        <w:t>13</w:t>
      </w:r>
    </w:p>
    <w:p>
      <w:pPr>
        <w:spacing w:after="0" w:line="65" w:lineRule="exact"/>
        <w:rPr>
          <w:sz w:val="20"/>
          <w:szCs w:val="20"/>
          <w:color w:val="auto"/>
        </w:rPr>
      </w:pPr>
    </w:p>
    <w:p>
      <w:pPr>
        <w:ind w:left="340" w:hanging="226"/>
        <w:spacing w:after="0"/>
        <w:tabs>
          <w:tab w:leader="none" w:pos="340" w:val="left"/>
        </w:tabs>
        <w:numPr>
          <w:ilvl w:val="0"/>
          <w:numId w:val="107"/>
        </w:numPr>
        <w:rPr>
          <w:rFonts w:ascii="Calibri" w:cs="Calibri" w:eastAsia="Calibri" w:hAnsi="Calibri"/>
          <w:sz w:val="14"/>
          <w:szCs w:val="14"/>
          <w:color w:val="auto"/>
        </w:rPr>
      </w:pPr>
      <w:r>
        <w:rPr>
          <w:rFonts w:ascii="Calibri" w:cs="Calibri" w:eastAsia="Calibri" w:hAnsi="Calibri"/>
          <w:sz w:val="14"/>
          <w:szCs w:val="14"/>
          <w:color w:val="auto"/>
        </w:rPr>
        <w:t>htps://www.ohchr.org/sites/default/fles/2022-08/BHR-Arms-sector-info-note.pdf</w:t>
      </w:r>
    </w:p>
    <w:p>
      <w:pPr>
        <w:spacing w:after="0" w:line="4" w:lineRule="exact"/>
        <w:rPr>
          <w:rFonts w:ascii="Calibri" w:cs="Calibri" w:eastAsia="Calibri" w:hAnsi="Calibri"/>
          <w:sz w:val="14"/>
          <w:szCs w:val="14"/>
          <w:color w:val="auto"/>
        </w:rPr>
      </w:pPr>
    </w:p>
    <w:p>
      <w:pPr>
        <w:ind w:left="120"/>
        <w:spacing w:after="0"/>
        <w:rPr>
          <w:rFonts w:ascii="Calibri" w:cs="Calibri" w:eastAsia="Calibri" w:hAnsi="Calibri"/>
          <w:sz w:val="14"/>
          <w:szCs w:val="14"/>
          <w:color w:val="auto"/>
        </w:rPr>
      </w:pPr>
      <w:r>
        <w:rPr>
          <w:rFonts w:ascii="Calibri" w:cs="Calibri" w:eastAsia="Calibri" w:hAnsi="Calibri"/>
          <w:sz w:val="14"/>
          <w:szCs w:val="14"/>
          <w:color w:val="auto"/>
        </w:rPr>
        <w:t>2  htps://www.amnesty.org/en/documents/act30/0893/2019/en/</w:t>
      </w:r>
    </w:p>
    <w:p>
      <w:pPr>
        <w:ind w:left="120"/>
        <w:spacing w:after="0" w:line="227" w:lineRule="auto"/>
        <w:rPr>
          <w:rFonts w:ascii="Calibri" w:cs="Calibri" w:eastAsia="Calibri" w:hAnsi="Calibri"/>
          <w:sz w:val="14"/>
          <w:szCs w:val="14"/>
          <w:color w:val="auto"/>
        </w:rPr>
      </w:pPr>
      <w:r>
        <w:rPr>
          <w:rFonts w:ascii="Calibri" w:cs="Calibri" w:eastAsia="Calibri" w:hAnsi="Calibri"/>
          <w:sz w:val="14"/>
          <w:szCs w:val="14"/>
          <w:color w:val="auto"/>
        </w:rPr>
        <w:t>3  htps://wri-irg.org/en/lockheed</w:t>
      </w:r>
    </w:p>
    <w:p>
      <w:pPr>
        <w:spacing w:after="0" w:line="4" w:lineRule="exact"/>
        <w:rPr>
          <w:rFonts w:ascii="Calibri" w:cs="Calibri" w:eastAsia="Calibri" w:hAnsi="Calibri"/>
          <w:sz w:val="14"/>
          <w:szCs w:val="14"/>
          <w:color w:val="auto"/>
        </w:rPr>
      </w:pPr>
    </w:p>
    <w:p>
      <w:pPr>
        <w:ind w:left="120"/>
        <w:spacing w:after="0"/>
        <w:rPr>
          <w:rFonts w:ascii="Calibri" w:cs="Calibri" w:eastAsia="Calibri" w:hAnsi="Calibri"/>
          <w:sz w:val="14"/>
          <w:szCs w:val="14"/>
          <w:color w:val="auto"/>
        </w:rPr>
      </w:pPr>
      <w:r>
        <w:rPr>
          <w:rFonts w:ascii="Calibri" w:cs="Calibri" w:eastAsia="Calibri" w:hAnsi="Calibri"/>
          <w:sz w:val="14"/>
          <w:szCs w:val="14"/>
          <w:color w:val="auto"/>
        </w:rPr>
        <w:t>4  htps://www.lockheedmartn.com/en-us/who-we-are/internatonal.html</w:t>
      </w:r>
    </w:p>
    <w:p>
      <w:pPr>
        <w:spacing w:after="0" w:line="5" w:lineRule="exact"/>
        <w:rPr>
          <w:rFonts w:ascii="Calibri" w:cs="Calibri" w:eastAsia="Calibri" w:hAnsi="Calibri"/>
          <w:sz w:val="14"/>
          <w:szCs w:val="14"/>
          <w:color w:val="auto"/>
        </w:rPr>
      </w:pPr>
    </w:p>
    <w:p>
      <w:pPr>
        <w:ind w:left="120" w:right="2440"/>
        <w:spacing w:after="0" w:line="245" w:lineRule="auto"/>
        <w:rPr>
          <w:rFonts w:ascii="Calibri" w:cs="Calibri" w:eastAsia="Calibri" w:hAnsi="Calibri"/>
          <w:sz w:val="14"/>
          <w:szCs w:val="14"/>
          <w:color w:val="auto"/>
        </w:rPr>
      </w:pPr>
      <w:r>
        <w:rPr>
          <w:rFonts w:ascii="Calibri" w:cs="Calibri" w:eastAsia="Calibri" w:hAnsi="Calibri"/>
          <w:sz w:val="14"/>
          <w:szCs w:val="14"/>
          <w:color w:val="auto"/>
        </w:rPr>
        <w:t>5 htps://www.hrw.org/news/2021/07/27/gaza-apparent-war-crimes-during-may-fghtng# ; htps://investgate.afsc.org/company/lockheed-martn 6 htps://www.paxforpeace.nl/media/fles/mwatana-day-of-judgement.pdf</w:t>
      </w:r>
    </w:p>
    <w:p>
      <w:pPr>
        <w:spacing w:after="0" w:line="2" w:lineRule="exact"/>
        <w:rPr>
          <w:rFonts w:ascii="Calibri" w:cs="Calibri" w:eastAsia="Calibri" w:hAnsi="Calibri"/>
          <w:sz w:val="14"/>
          <w:szCs w:val="14"/>
          <w:color w:val="auto"/>
        </w:rPr>
      </w:pPr>
    </w:p>
    <w:p>
      <w:pPr>
        <w:ind w:left="120" w:right="1160"/>
        <w:spacing w:after="0" w:line="233" w:lineRule="auto"/>
        <w:rPr>
          <w:rFonts w:ascii="Calibri" w:cs="Calibri" w:eastAsia="Calibri" w:hAnsi="Calibri"/>
          <w:sz w:val="14"/>
          <w:szCs w:val="14"/>
          <w:color w:val="auto"/>
        </w:rPr>
      </w:pPr>
      <w:r>
        <w:rPr>
          <w:rFonts w:ascii="Calibri" w:cs="Calibri" w:eastAsia="Calibri" w:hAnsi="Calibri"/>
          <w:sz w:val="14"/>
          <w:szCs w:val="14"/>
          <w:color w:val="auto"/>
        </w:rPr>
        <w:t>7 www.nytmes.com/2022/09/07/us/politcs/biden-aid-yemen-saudi-arabia.html&amp;sa=D&amp;source=docs&amp;ust=1666898790068298&amp;usg=AOvVaw3OxcNLq 1v_Sk-e7bBhs6Hl 8 htps://www.justsecurity.org/83028/human-rights-due-diligence-a-necessity/</w:t>
      </w:r>
    </w:p>
    <w:p>
      <w:pPr>
        <w:spacing w:after="0" w:line="5" w:lineRule="exact"/>
        <w:rPr>
          <w:rFonts w:ascii="Calibri" w:cs="Calibri" w:eastAsia="Calibri" w:hAnsi="Calibri"/>
          <w:sz w:val="14"/>
          <w:szCs w:val="14"/>
          <w:color w:val="auto"/>
        </w:rPr>
      </w:pPr>
    </w:p>
    <w:p>
      <w:pPr>
        <w:ind w:left="120" w:right="5200"/>
        <w:spacing w:after="0" w:line="245" w:lineRule="auto"/>
        <w:rPr>
          <w:rFonts w:ascii="Calibri" w:cs="Calibri" w:eastAsia="Calibri" w:hAnsi="Calibri"/>
          <w:sz w:val="14"/>
          <w:szCs w:val="14"/>
          <w:color w:val="auto"/>
        </w:rPr>
      </w:pPr>
      <w:r>
        <w:rPr>
          <w:rFonts w:ascii="Calibri" w:cs="Calibri" w:eastAsia="Calibri" w:hAnsi="Calibri"/>
          <w:sz w:val="14"/>
          <w:szCs w:val="14"/>
          <w:color w:val="auto"/>
        </w:rPr>
        <w:t>9 htps://www.hrw.org/news/2021/07/21/its-tme-us-stop-selling-weapons-human-rights-abusers# 10 htps://www.icanw.org/squandered_2021_global_nuclear_weapons_spending_report</w:t>
      </w:r>
    </w:p>
    <w:p>
      <w:pPr>
        <w:spacing w:after="0" w:line="1" w:lineRule="exact"/>
        <w:rPr>
          <w:rFonts w:ascii="Calibri" w:cs="Calibri" w:eastAsia="Calibri" w:hAnsi="Calibri"/>
          <w:sz w:val="14"/>
          <w:szCs w:val="14"/>
          <w:color w:val="auto"/>
        </w:rPr>
      </w:pPr>
    </w:p>
    <w:p>
      <w:pPr>
        <w:ind w:left="120"/>
        <w:spacing w:after="0"/>
        <w:rPr>
          <w:rFonts w:ascii="Calibri" w:cs="Calibri" w:eastAsia="Calibri" w:hAnsi="Calibri"/>
          <w:sz w:val="14"/>
          <w:szCs w:val="14"/>
          <w:color w:val="auto"/>
        </w:rPr>
      </w:pPr>
      <w:r>
        <w:rPr>
          <w:rFonts w:ascii="Calibri" w:cs="Calibri" w:eastAsia="Calibri" w:hAnsi="Calibri"/>
          <w:sz w:val="14"/>
          <w:szCs w:val="14"/>
          <w:color w:val="auto"/>
        </w:rPr>
        <w:t>11  htps://treates.un.org/doc/Treates/2017/07/20170707%2003-42%20PM/Ch_XXVI_9.pdf</w:t>
      </w:r>
    </w:p>
    <w:p>
      <w:pPr>
        <w:spacing w:after="0" w:line="4" w:lineRule="exact"/>
        <w:rPr>
          <w:rFonts w:ascii="Calibri" w:cs="Calibri" w:eastAsia="Calibri" w:hAnsi="Calibri"/>
          <w:sz w:val="14"/>
          <w:szCs w:val="14"/>
          <w:color w:val="auto"/>
        </w:rPr>
      </w:pPr>
    </w:p>
    <w:p>
      <w:pPr>
        <w:ind w:left="120"/>
        <w:spacing w:after="0"/>
        <w:rPr>
          <w:rFonts w:ascii="Calibri" w:cs="Calibri" w:eastAsia="Calibri" w:hAnsi="Calibri"/>
          <w:sz w:val="14"/>
          <w:szCs w:val="14"/>
          <w:color w:val="auto"/>
        </w:rPr>
      </w:pPr>
      <w:r>
        <w:rPr>
          <w:rFonts w:ascii="Calibri" w:cs="Calibri" w:eastAsia="Calibri" w:hAnsi="Calibri"/>
          <w:sz w:val="14"/>
          <w:szCs w:val="14"/>
          <w:color w:val="auto"/>
        </w:rPr>
        <w:t>12  htps://bdsmovement.net/tags/lockheed-martn; htps://www.infuencewatch.org/non-proft/divest-from-the-war-machine/</w:t>
      </w:r>
    </w:p>
    <w:p>
      <w:pPr>
        <w:ind w:left="120"/>
        <w:spacing w:after="0" w:line="227" w:lineRule="auto"/>
        <w:rPr>
          <w:rFonts w:ascii="Calibri" w:cs="Calibri" w:eastAsia="Calibri" w:hAnsi="Calibri"/>
          <w:sz w:val="14"/>
          <w:szCs w:val="14"/>
          <w:color w:val="auto"/>
        </w:rPr>
      </w:pPr>
      <w:r>
        <w:rPr>
          <w:rFonts w:ascii="Calibri" w:cs="Calibri" w:eastAsia="Calibri" w:hAnsi="Calibri"/>
          <w:sz w:val="14"/>
          <w:szCs w:val="14"/>
          <w:color w:val="auto"/>
        </w:rPr>
        <w:t>13  htps://www.americanbar.org/content/dam/aba/administratve/human_rights/justce-defenders/chr-due-diligence-guidance-2022.pdf</w:t>
      </w:r>
    </w:p>
    <w:p>
      <w:pPr>
        <w:spacing w:after="0" w:line="24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End of Stockholder Proposal—Board Vote Recommendaton on Proposal 6 on Following Page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sectPr>
      </w:pPr>
    </w:p>
    <w:bookmarkStart w:id="91" w:name="page92"/>
    <w:bookmarkEnd w:id="91"/>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2E6D"/>
        </w:rPr>
        <w:t>Proposal 6: Stockholder Proposal to Issue a Human Rights Impact Assessment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66179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661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29"/>
          <w:szCs w:val="29"/>
          <w:color w:val="003478"/>
        </w:rPr>
        <w:t>The Board of Directors Recommends Voting AGAINST Proposal 6</w:t>
      </w:r>
    </w:p>
    <w:p>
      <w:pPr>
        <w:spacing w:after="0" w:line="144" w:lineRule="exact"/>
        <w:rPr>
          <w:sz w:val="20"/>
          <w:szCs w:val="20"/>
          <w:color w:val="auto"/>
        </w:rPr>
      </w:pPr>
    </w:p>
    <w:p>
      <w:pPr>
        <w:ind w:left="100"/>
        <w:spacing w:after="0" w:line="255" w:lineRule="auto"/>
        <w:rPr>
          <w:sz w:val="20"/>
          <w:szCs w:val="20"/>
          <w:color w:val="auto"/>
        </w:rPr>
      </w:pPr>
      <w:r>
        <w:rPr>
          <w:rFonts w:ascii="Calibri" w:cs="Calibri" w:eastAsia="Calibri" w:hAnsi="Calibri"/>
          <w:sz w:val="17"/>
          <w:szCs w:val="17"/>
          <w:color w:val="auto"/>
        </w:rPr>
        <w:t>The Board has reviewed and considered this proposal and recommends that stockholders vote AGAINST this proposal. The Board believes that the proposal’s request for a separate report publishing the results of a Human Rights Impact Assessment on “the actual and potental human rights impacts associated with high-risk products and services” would impose impractcal requirements on our operatons and would interfere with our ability to serve our primary customer, the U.S. Government, as well as its allies, in their mission to defend U.S. and global security, including the protecton of human rights, and would impede long-term value creaton for our stockholders. Further, the proposal is vague and overly-broad and, as explained below, we would not be best positoned to perform the requested assessment. Finally, such a report is duplicatve because we already publish a Human Rights Report that provides appropriate transparency on our policies and approach to human rights and receives positve feedback from stockholders during engagement meetngs, and is further evidenced by the low level of shareholder support for a similar proposal at our 2022 Annual Meetng requestng such an additonal report.</w:t>
      </w:r>
    </w:p>
    <w:p>
      <w:pPr>
        <w:spacing w:after="0" w:line="342" w:lineRule="exact"/>
        <w:rPr>
          <w:sz w:val="20"/>
          <w:szCs w:val="20"/>
          <w:color w:val="auto"/>
        </w:rPr>
      </w:pPr>
    </w:p>
    <w:p>
      <w:pPr>
        <w:ind w:left="100" w:right="200"/>
        <w:spacing w:after="0" w:line="255" w:lineRule="auto"/>
        <w:rPr>
          <w:sz w:val="20"/>
          <w:szCs w:val="20"/>
          <w:color w:val="auto"/>
        </w:rPr>
      </w:pPr>
      <w:r>
        <w:rPr>
          <w:rFonts w:ascii="Calibri" w:cs="Calibri" w:eastAsia="Calibri" w:hAnsi="Calibri"/>
          <w:sz w:val="17"/>
          <w:szCs w:val="17"/>
          <w:b w:val="1"/>
          <w:bCs w:val="1"/>
          <w:color w:val="auto"/>
        </w:rPr>
        <w:t xml:space="preserve">The Proposal is Impractcal, Disruptve and Harmful to Shareholder Value. </w:t>
      </w:r>
      <w:r>
        <w:rPr>
          <w:rFonts w:ascii="Calibri" w:cs="Calibri" w:eastAsia="Calibri" w:hAnsi="Calibri"/>
          <w:sz w:val="17"/>
          <w:szCs w:val="17"/>
          <w:color w:val="242424"/>
        </w:rPr>
        <w:t>R</w:t>
      </w:r>
      <w:r>
        <w:rPr>
          <w:rFonts w:ascii="Calibri" w:cs="Calibri" w:eastAsia="Calibri" w:hAnsi="Calibri"/>
          <w:sz w:val="17"/>
          <w:szCs w:val="17"/>
          <w:color w:val="auto"/>
        </w:rPr>
        <w:t>equiring the Company to conduct independent human rights impact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assessments on certain products or sales subjectvely deemed to be “high-risk,” and then publish the results, would not be practcal or appropriate. Our internatonal military sales are regulated by the U.S. Government and reviewed and approved by the Executve Branch with oversight from Congress to ensure they support U.S. natonal security and foreign policy objectves and are not redirected and used for unauthorized purposes. This includes consideraton of whether any arms transfer contributes to the risk of human rights abuses and whether the arms are being used in potental confict-afected regions. We are not in a positon to predict, assess or infuence how the U.S. or allied natons may use products in the future and any atempt to do so risks supplantng the purview of the U.S. Government and allied natons, which we believe are best positoned to consider the mix of policy objectves to promote global security while protectng human rights. We also likely would not have access to informaton from the U.S. Government or would be restricted in sharing any informaton that we did have, which would make any report incomplete and less meaningful. Therefore, the proposed additonal assessment could adversely afect our ability to serve our customers by distractng resources from our day-to-day operatons and strategic planning, harm U.S. foreign policy objectves and ultmately be against stockholder interests by impactng our ability to serve our customers. We believe that any concerns that the stockholder proponent has with the policies or actons of the U.S. or allied natons would be more appropriately directed to public ofcials who determine foreign policy rather than directed to a market partcipant like Lockheed Martn through the federal proxy rules.</w:t>
      </w:r>
    </w:p>
    <w:p>
      <w:pPr>
        <w:spacing w:after="0" w:line="131" w:lineRule="exact"/>
        <w:rPr>
          <w:sz w:val="20"/>
          <w:szCs w:val="20"/>
          <w:color w:val="auto"/>
        </w:rPr>
      </w:pPr>
    </w:p>
    <w:p>
      <w:pPr>
        <w:ind w:left="100" w:right="40"/>
        <w:spacing w:after="0" w:line="255" w:lineRule="auto"/>
        <w:rPr>
          <w:sz w:val="20"/>
          <w:szCs w:val="20"/>
          <w:color w:val="auto"/>
        </w:rPr>
      </w:pPr>
      <w:r>
        <w:rPr>
          <w:rFonts w:ascii="Calibri" w:cs="Calibri" w:eastAsia="Calibri" w:hAnsi="Calibri"/>
          <w:sz w:val="17"/>
          <w:szCs w:val="17"/>
          <w:b w:val="1"/>
          <w:bCs w:val="1"/>
          <w:color w:val="auto"/>
        </w:rPr>
        <w:t xml:space="preserve">Lockheed Martn Already Publishes a Human Rights Report. </w:t>
      </w:r>
      <w:r>
        <w:rPr>
          <w:rFonts w:ascii="Calibri" w:cs="Calibri" w:eastAsia="Calibri" w:hAnsi="Calibri"/>
          <w:sz w:val="17"/>
          <w:szCs w:val="17"/>
          <w:color w:val="auto"/>
        </w:rPr>
        <w:t>Lockheed Martn is deeply commited to human rights, and to transparency and engagement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with stockholders on this topic. In 2021, our stockholders considered a similar proposal from the same proponent requestng that Lockheed Martn publish a report on its human rights due diligence process. While this proposal failed with 68% of stockholders votng against the proposal, we sought to expand our understanding of stockholder views on human rights issues through engaging with many of our largest stockholders to seek their input. Based on this input, in the fall of 2021, we published our frst Human Rights Report to further enhance the availability and transparency of informaton on our human rights approach and our human rights accomplishments.</w:t>
      </w:r>
    </w:p>
    <w:p>
      <w:pPr>
        <w:spacing w:after="0" w:line="108" w:lineRule="exact"/>
        <w:rPr>
          <w:sz w:val="20"/>
          <w:szCs w:val="20"/>
          <w:color w:val="auto"/>
        </w:rPr>
      </w:pPr>
    </w:p>
    <w:p>
      <w:pPr>
        <w:jc w:val="both"/>
        <w:ind w:left="100" w:right="40"/>
        <w:spacing w:after="0" w:line="255" w:lineRule="auto"/>
        <w:rPr>
          <w:sz w:val="20"/>
          <w:szCs w:val="20"/>
          <w:color w:val="auto"/>
        </w:rPr>
      </w:pPr>
      <w:r>
        <w:rPr>
          <w:rFonts w:ascii="Calibri" w:cs="Calibri" w:eastAsia="Calibri" w:hAnsi="Calibri"/>
          <w:sz w:val="17"/>
          <w:szCs w:val="17"/>
          <w:color w:val="auto"/>
        </w:rPr>
        <w:t>Then, in 2022, our stockholders considered an almost identcal proposal to the current proposal from the same proponent, and 79% of stockholders voted against that proposal. Nonetheless, we sought additonal stockholder feedback to inform the publicaton of our updated 2022 Human Rights Report, which details our progress in a number of human rights initatves over the year.</w:t>
      </w:r>
    </w:p>
    <w:p>
      <w:pPr>
        <w:spacing w:after="0" w:line="122" w:lineRule="exact"/>
        <w:rPr>
          <w:sz w:val="20"/>
          <w:szCs w:val="20"/>
          <w:color w:val="auto"/>
        </w:rPr>
      </w:pPr>
    </w:p>
    <w:p>
      <w:pPr>
        <w:ind w:left="100" w:right="120"/>
        <w:spacing w:after="0" w:line="255" w:lineRule="auto"/>
        <w:rPr>
          <w:sz w:val="20"/>
          <w:szCs w:val="20"/>
          <w:color w:val="auto"/>
        </w:rPr>
      </w:pPr>
      <w:r>
        <w:rPr>
          <w:rFonts w:ascii="Calibri" w:cs="Calibri" w:eastAsia="Calibri" w:hAnsi="Calibri"/>
          <w:sz w:val="17"/>
          <w:szCs w:val="17"/>
          <w:color w:val="auto"/>
        </w:rPr>
        <w:t>We aim to provide an appropriate level of transparency to our stakeholders in balance with the important need to serve our customers and protect our business interests. Our 2021 and 2022 Human Rights Reports, which are available on our website, provide a comprehensive overview of our human rights related governance, including board and management oversight of human rights maters, policies, principles and due diligence processes that guide our approach, and have informaton on our progress on associated programs and goals. In partcular, the 2022 Human Rights Report describes the frst steps we have taken toward developing a human rights impact analysis framework for internal implementaton. We intend to update this report as appropriate as we contnue to engage with our stockholders, receive their input and evolve our processes.</w:t>
      </w:r>
    </w:p>
    <w:p>
      <w:pPr>
        <w:spacing w:after="0" w:line="108" w:lineRule="exact"/>
        <w:rPr>
          <w:sz w:val="20"/>
          <w:szCs w:val="20"/>
          <w:color w:val="auto"/>
        </w:rPr>
      </w:pPr>
    </w:p>
    <w:p>
      <w:pPr>
        <w:ind w:left="100" w:right="80"/>
        <w:spacing w:after="0" w:line="258" w:lineRule="auto"/>
        <w:rPr>
          <w:sz w:val="20"/>
          <w:szCs w:val="20"/>
          <w:color w:val="auto"/>
        </w:rPr>
      </w:pPr>
      <w:r>
        <w:rPr>
          <w:rFonts w:ascii="Calibri" w:cs="Calibri" w:eastAsia="Calibri" w:hAnsi="Calibri"/>
          <w:sz w:val="17"/>
          <w:szCs w:val="17"/>
          <w:b w:val="1"/>
          <w:bCs w:val="1"/>
          <w:color w:val="auto"/>
        </w:rPr>
        <w:t xml:space="preserve">Lockheed Martn Works with Our Customers to Support Human Rights and to Defend U.S. and Global Security. </w:t>
      </w:r>
      <w:r>
        <w:rPr>
          <w:rFonts w:ascii="Calibri" w:cs="Calibri" w:eastAsia="Calibri" w:hAnsi="Calibri"/>
          <w:sz w:val="17"/>
          <w:szCs w:val="17"/>
          <w:color w:val="auto"/>
        </w:rPr>
        <w:t>The proponent makes several statements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that are untrue or misleading, incorrectly conveying that Lockheed Martn is not meetng its human rights responsibilites. Rather, our work is closely aligned with our customers and is subject to oversight to ensure that our business complies with the requirements of law and furthers the interest of the U.S. Government and its allies to support human rights by helping to deter confict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470535</wp:posOffset>
            </wp:positionV>
            <wp:extent cx="1071880" cy="1803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92" w:name="page93"/>
    <w:bookmarkEnd w:id="92"/>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2E6D"/>
        </w:rPr>
        <w:t>Proposal 6: Stockholder Proposal to Issue a Human Rights Impact Assessment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57689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right="120"/>
        <w:spacing w:after="0" w:line="257" w:lineRule="auto"/>
        <w:rPr>
          <w:sz w:val="20"/>
          <w:szCs w:val="20"/>
          <w:color w:val="auto"/>
        </w:rPr>
      </w:pPr>
      <w:r>
        <w:rPr>
          <w:rFonts w:ascii="Calibri" w:cs="Calibri" w:eastAsia="Calibri" w:hAnsi="Calibri"/>
          <w:sz w:val="17"/>
          <w:szCs w:val="17"/>
          <w:color w:val="auto"/>
        </w:rPr>
        <w:t>Internatonal sales of our defense products and services occur on a government-to-government basis via foreign military sales (FMS) programs, managed by the Defense Security Cooperaton Agency on behalf of the U.S. Department of Defense, or by direct commercial sales from Lockheed Martn to our customers. Both transacton types are subject to rules promulgated under the Arms Export Control Act to ensure such transactons support U.S. natonal security and foreign policy objectves. In reviewing arms sales, the Executve Branch follows the U.S. Conventonal Arms Transfer Policy, which provides that in making arms transfer decisions, the Executve Branch shall consider the natonal security of the U.S., the efect on the U.S. defense industrial base and U.S. innovaton, the relatonships with allies and partners, human rights and internatonal humanitarian law, and nonproliferaton and other factors. For example, the stockholder proponent references a potental sale of F-16s to the Philippines that was reviewed and approved by the Executve Branch in June 2021 and notfed to Congress as required by law, and Congress tacitly approved by not taking acton to block or disapprove of the potental transacton. The ofcial U.S. Government notce of the potental sale to the Philippines stated that the potental sale will “support the foreign policy and natonal security of the United States by helping improve the security of a strategic partner that contnues to be an important force for politcal stability, peace and economic progress in South East Asia.” Thus, Congress did not oppose this transfer and in fact sanctoned it.</w:t>
      </w:r>
    </w:p>
    <w:p>
      <w:pPr>
        <w:spacing w:after="0" w:line="107" w:lineRule="exact"/>
        <w:rPr>
          <w:sz w:val="20"/>
          <w:szCs w:val="20"/>
          <w:color w:val="auto"/>
        </w:rPr>
      </w:pPr>
    </w:p>
    <w:p>
      <w:pPr>
        <w:ind w:left="100" w:right="200"/>
        <w:spacing w:after="0" w:line="256" w:lineRule="auto"/>
        <w:rPr>
          <w:sz w:val="20"/>
          <w:szCs w:val="20"/>
          <w:color w:val="auto"/>
        </w:rPr>
      </w:pPr>
      <w:r>
        <w:rPr>
          <w:rFonts w:ascii="Calibri" w:cs="Calibri" w:eastAsia="Calibri" w:hAnsi="Calibri"/>
          <w:sz w:val="17"/>
          <w:szCs w:val="17"/>
          <w:color w:val="auto"/>
        </w:rPr>
        <w:t>We strictly adhere to U.S. Government oversight and policy in all maters relatng to internatonal sales and specifcally to the transfer of products and technologies to foreign enttes, and we have a robust trade compliance program to ensure that all sales of our products are conducted in accordance not only with internatonal trade laws and regulatons of the U.S. but also of each foreign country in which we operate. The stockholder proponent identfes actons by a small number of lawmakers and proposed legislaton as creatng regulatory risk for our Company, which is untrue: if and when these actvites result in enacted law or fnal regulatons that are applicable to our operatons, we will comply with those laws and regulatons.</w:t>
      </w:r>
    </w:p>
    <w:p>
      <w:pPr>
        <w:spacing w:after="0" w:line="108" w:lineRule="exact"/>
        <w:rPr>
          <w:sz w:val="20"/>
          <w:szCs w:val="20"/>
          <w:color w:val="auto"/>
        </w:rPr>
      </w:pPr>
    </w:p>
    <w:p>
      <w:pPr>
        <w:ind w:left="100" w:right="140"/>
        <w:spacing w:after="0" w:line="257" w:lineRule="auto"/>
        <w:rPr>
          <w:sz w:val="20"/>
          <w:szCs w:val="20"/>
          <w:color w:val="auto"/>
        </w:rPr>
      </w:pPr>
      <w:r>
        <w:rPr>
          <w:rFonts w:ascii="Calibri" w:cs="Calibri" w:eastAsia="Calibri" w:hAnsi="Calibri"/>
          <w:sz w:val="17"/>
          <w:szCs w:val="17"/>
          <w:color w:val="auto"/>
        </w:rPr>
        <w:t>Our business supports global deterrence, which helps maintain freedom and security for billions of people worldwide. The regretable confict in Ukraine highlights that credible deterrence and the rights of natonal and collectve self-defense are of utmost importance. Our primary customers are the U.S. Government and its allies, among which cooperaton is critcal to maintaining an efectve deterrent against global confict. As described above, we support this goal of deterrence by adhering to U.S. Government oversight and policy objectves for all internatonal sales. These objectves include U.S. nuclear weapons policy, which states that as long as nuclear weapons exist, the fundamental role of U.S. nuclear weapons is to deter nuclear atack on the United States, our allies and partners. The stockholder proponent falsely claims that our nuclear weapons contracts are illegal under internatonal law due to the Treaty on the Prohibiton of Nuclear Weapons (TPNW). The TPNW by its terms applies only to those states that are partes and is not binding on the United States and other states that are not partes; in fact, there are many countries that contnue to maintain and even threaten to use nuclear weapons in contraventon of the TPNW. For these reasons, the TPNW is not internatonal law and does not render our programs illegal.</w:t>
      </w:r>
    </w:p>
    <w:p>
      <w:pPr>
        <w:spacing w:after="0" w:line="106" w:lineRule="exact"/>
        <w:rPr>
          <w:sz w:val="20"/>
          <w:szCs w:val="20"/>
          <w:color w:val="auto"/>
        </w:rPr>
      </w:pPr>
    </w:p>
    <w:p>
      <w:pPr>
        <w:ind w:left="100" w:right="100"/>
        <w:spacing w:after="0" w:line="256" w:lineRule="auto"/>
        <w:rPr>
          <w:sz w:val="20"/>
          <w:szCs w:val="20"/>
          <w:color w:val="auto"/>
        </w:rPr>
      </w:pPr>
      <w:r>
        <w:rPr>
          <w:rFonts w:ascii="Calibri" w:cs="Calibri" w:eastAsia="Calibri" w:hAnsi="Calibri"/>
          <w:sz w:val="17"/>
          <w:szCs w:val="17"/>
          <w:color w:val="auto"/>
        </w:rPr>
        <w:t>In additon to complying with all applicable laws and regulatons, as described above all of our sales are subject to our Code of Conduct. We will walk away from business rather than risk violatng ant-corrupton laws or our corporate values. For example, at tmes, we have decided not to pursue opportunites in certain countries, even where it is legally permissible, based on our assessment of the potental risks, such as a heightened risk of corrupton, which we consider closely intertwined with the protecton of human rights. Further, opportunites related to certain types of products or programs that carry increased risks require review of a mult-disciplinary corporate review commitee that is chaired by our CFO and COO and includes our SVP, Ethics and Enterprise Assurance, who reports to the Governance Commitee of the Board. Please see page 38 for additonal discussion of our human rights due diligence approach and the Board’s oversight of human rights.</w:t>
      </w:r>
    </w:p>
    <w:p>
      <w:pPr>
        <w:spacing w:after="0" w:line="125" w:lineRule="exact"/>
        <w:rPr>
          <w:sz w:val="20"/>
          <w:szCs w:val="20"/>
          <w:color w:val="auto"/>
        </w:rPr>
      </w:pPr>
    </w:p>
    <w:p>
      <w:pPr>
        <w:ind w:left="100" w:right="280"/>
        <w:spacing w:after="0" w:line="245" w:lineRule="auto"/>
        <w:rPr>
          <w:sz w:val="20"/>
          <w:szCs w:val="20"/>
          <w:color w:val="auto"/>
        </w:rPr>
      </w:pPr>
      <w:r>
        <w:rPr>
          <w:rFonts w:ascii="Calibri" w:cs="Calibri" w:eastAsia="Calibri" w:hAnsi="Calibri"/>
          <w:sz w:val="17"/>
          <w:szCs w:val="17"/>
          <w:b w:val="1"/>
          <w:bCs w:val="1"/>
          <w:color w:val="auto"/>
        </w:rPr>
        <w:t xml:space="preserve">Lockheed Martn’s Commitment to Human Rights is Refected in Our Policies and Practces. </w:t>
      </w:r>
      <w:r>
        <w:rPr>
          <w:rFonts w:ascii="Calibri" w:cs="Calibri" w:eastAsia="Calibri" w:hAnsi="Calibri"/>
          <w:sz w:val="17"/>
          <w:szCs w:val="17"/>
          <w:color w:val="auto"/>
        </w:rPr>
        <w:t>As discussed on page 38, our policies, procedures, practces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and Board oversight refect our strong commitment to ethical business practces and respect for human rights.</w:t>
      </w:r>
    </w:p>
    <w:p>
      <w:pPr>
        <w:spacing w:after="0" w:line="116" w:lineRule="exact"/>
        <w:rPr>
          <w:sz w:val="20"/>
          <w:szCs w:val="20"/>
          <w:color w:val="auto"/>
        </w:rPr>
      </w:pPr>
    </w:p>
    <w:p>
      <w:pPr>
        <w:ind w:left="100" w:right="300"/>
        <w:spacing w:after="0" w:line="255" w:lineRule="auto"/>
        <w:rPr>
          <w:sz w:val="20"/>
          <w:szCs w:val="20"/>
          <w:color w:val="auto"/>
        </w:rPr>
      </w:pPr>
      <w:r>
        <w:rPr>
          <w:rFonts w:ascii="Calibri" w:cs="Calibri" w:eastAsia="Calibri" w:hAnsi="Calibri"/>
          <w:sz w:val="17"/>
          <w:szCs w:val="17"/>
          <w:color w:val="auto"/>
        </w:rPr>
        <w:t>The Board remains commited to human rights and ensuring that Lockheed Martn contnues to adhere to the high standard for human rights to which it holds itself, our employees, our suppliers and our partners. For the reasons set forth above, we do not believe the preparaton of the additonal report called for by the proponent is constructve or in the best interests of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3" w:name="page94"/>
    <w:bookmarkEnd w:id="93"/>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color w:val="auto"/>
        </w:rPr>
        <w:t>Proposal 7</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80" w:type="dxa"/>
            <w:vAlign w:val="bottom"/>
            <w:tcBorders>
              <w:top w:val="single" w:sz="8" w:color="BCBEC0"/>
              <w:left w:val="single" w:sz="8" w:color="343434"/>
            </w:tcBorders>
            <w:shd w:val="clear" w:color="auto" w:fill="BCBEC0"/>
          </w:tcPr>
          <w:p>
            <w:pPr>
              <w:spacing w:after="0"/>
              <w:rPr>
                <w:sz w:val="24"/>
                <w:szCs w:val="24"/>
                <w:color w:val="auto"/>
              </w:rPr>
            </w:pPr>
          </w:p>
        </w:tc>
        <w:tc>
          <w:tcPr>
            <w:tcW w:w="7520" w:type="dxa"/>
            <w:vAlign w:val="bottom"/>
            <w:tcBorders>
              <w:top w:val="single" w:sz="8" w:color="BCBEC0"/>
            </w:tcBorders>
            <w:shd w:val="clear" w:color="auto" w:fill="BCBEC0"/>
          </w:tcPr>
          <w:p>
            <w:pPr>
              <w:ind w:left="60"/>
              <w:spacing w:after="0"/>
              <w:rPr>
                <w:sz w:val="20"/>
                <w:szCs w:val="20"/>
                <w:color w:val="auto"/>
              </w:rPr>
            </w:pPr>
            <w:r>
              <w:rPr>
                <w:rFonts w:ascii="Arial" w:cs="Arial" w:eastAsia="Arial" w:hAnsi="Arial"/>
                <w:sz w:val="25"/>
                <w:szCs w:val="25"/>
                <w:color w:val="343434"/>
              </w:rPr>
              <w:t>Stockholder Proposal to Issue a Report on the Company’s</w:t>
            </w:r>
          </w:p>
        </w:tc>
        <w:tc>
          <w:tcPr>
            <w:tcW w:w="920" w:type="dxa"/>
            <w:vAlign w:val="bottom"/>
            <w:tcBorders>
              <w:top w:val="single" w:sz="8" w:color="343434"/>
            </w:tcBorders>
            <w:shd w:val="clear" w:color="auto" w:fill="343434"/>
          </w:tcPr>
          <w:p>
            <w:pPr>
              <w:spacing w:after="0"/>
              <w:rPr>
                <w:sz w:val="24"/>
                <w:szCs w:val="24"/>
                <w:color w:val="auto"/>
              </w:rPr>
            </w:pPr>
          </w:p>
        </w:tc>
        <w:tc>
          <w:tcPr>
            <w:tcW w:w="2620" w:type="dxa"/>
            <w:vAlign w:val="bottom"/>
            <w:tcBorders>
              <w:top w:val="single" w:sz="8" w:color="343434"/>
            </w:tcBorders>
            <w:shd w:val="clear" w:color="auto" w:fill="343434"/>
          </w:tcPr>
          <w:p>
            <w:pPr>
              <w:ind w:left="20"/>
              <w:spacing w:after="0"/>
              <w:rPr>
                <w:sz w:val="20"/>
                <w:szCs w:val="20"/>
                <w:color w:val="auto"/>
              </w:rPr>
            </w:pPr>
            <w:r>
              <w:rPr>
                <w:rFonts w:ascii="Arial" w:cs="Arial" w:eastAsia="Arial" w:hAnsi="Arial"/>
                <w:sz w:val="17"/>
                <w:szCs w:val="17"/>
                <w:color w:val="FFFFFF"/>
              </w:rPr>
              <w:t>The Board recommends a vote</w:t>
            </w:r>
          </w:p>
        </w:tc>
        <w:tc>
          <w:tcPr>
            <w:tcW w:w="120" w:type="dxa"/>
            <w:vAlign w:val="bottom"/>
            <w:tcBorders>
              <w:top w:val="single" w:sz="8" w:color="343434"/>
            </w:tcBorders>
            <w:shd w:val="clear" w:color="auto" w:fill="343434"/>
          </w:tcPr>
          <w:p>
            <w:pPr>
              <w:spacing w:after="0"/>
              <w:rPr>
                <w:sz w:val="24"/>
                <w:szCs w:val="24"/>
                <w:color w:val="auto"/>
              </w:rPr>
            </w:pPr>
          </w:p>
        </w:tc>
      </w:tr>
      <w:tr>
        <w:trPr>
          <w:trHeight w:val="349"/>
        </w:trPr>
        <w:tc>
          <w:tcPr>
            <w:tcW w:w="80" w:type="dxa"/>
            <w:vAlign w:val="bottom"/>
            <w:tcBorders>
              <w:left w:val="single" w:sz="8" w:color="343434"/>
            </w:tcBorders>
            <w:shd w:val="clear" w:color="auto" w:fill="BCBEC0"/>
          </w:tcPr>
          <w:p>
            <w:pPr>
              <w:spacing w:after="0"/>
              <w:rPr>
                <w:sz w:val="24"/>
                <w:szCs w:val="24"/>
                <w:color w:val="auto"/>
              </w:rPr>
            </w:pPr>
          </w:p>
        </w:tc>
        <w:tc>
          <w:tcPr>
            <w:tcW w:w="7520" w:type="dxa"/>
            <w:vAlign w:val="bottom"/>
            <w:shd w:val="clear" w:color="auto" w:fill="BCBEC0"/>
          </w:tcPr>
          <w:p>
            <w:pPr>
              <w:ind w:left="60"/>
              <w:spacing w:after="0"/>
              <w:rPr>
                <w:sz w:val="20"/>
                <w:szCs w:val="20"/>
                <w:color w:val="auto"/>
              </w:rPr>
            </w:pPr>
            <w:r>
              <w:rPr>
                <w:rFonts w:ascii="Arial" w:cs="Arial" w:eastAsia="Arial" w:hAnsi="Arial"/>
                <w:sz w:val="25"/>
                <w:szCs w:val="25"/>
                <w:color w:val="343434"/>
              </w:rPr>
              <w:t>Intention to Reduce Full Value Chain GHG Emissions</w:t>
            </w:r>
          </w:p>
        </w:tc>
        <w:tc>
          <w:tcPr>
            <w:tcW w:w="920" w:type="dxa"/>
            <w:vAlign w:val="bottom"/>
            <w:shd w:val="clear" w:color="auto" w:fill="343434"/>
          </w:tcPr>
          <w:p>
            <w:pPr>
              <w:spacing w:after="0"/>
              <w:rPr>
                <w:sz w:val="24"/>
                <w:szCs w:val="24"/>
                <w:color w:val="auto"/>
              </w:rPr>
            </w:pPr>
          </w:p>
        </w:tc>
        <w:tc>
          <w:tcPr>
            <w:tcW w:w="2620" w:type="dxa"/>
            <w:vAlign w:val="bottom"/>
            <w:shd w:val="clear" w:color="auto" w:fill="343434"/>
          </w:tcPr>
          <w:p>
            <w:pPr>
              <w:ind w:left="20"/>
              <w:spacing w:after="0"/>
              <w:rPr>
                <w:sz w:val="20"/>
                <w:szCs w:val="20"/>
                <w:color w:val="auto"/>
              </w:rPr>
            </w:pPr>
            <w:r>
              <w:rPr>
                <w:rFonts w:ascii="Arial" w:cs="Arial" w:eastAsia="Arial" w:hAnsi="Arial"/>
                <w:sz w:val="22"/>
                <w:szCs w:val="22"/>
                <w:color w:val="FFFFFF"/>
              </w:rPr>
              <w:t xml:space="preserve">AGAINST </w:t>
            </w:r>
            <w:r>
              <w:rPr>
                <w:rFonts w:ascii="Arial" w:cs="Arial" w:eastAsia="Arial" w:hAnsi="Arial"/>
                <w:sz w:val="17"/>
                <w:szCs w:val="17"/>
                <w:color w:val="FFFFFF"/>
              </w:rPr>
              <w:t>this proposal</w:t>
            </w:r>
          </w:p>
        </w:tc>
        <w:tc>
          <w:tcPr>
            <w:tcW w:w="120" w:type="dxa"/>
            <w:vAlign w:val="bottom"/>
            <w:shd w:val="clear" w:color="auto" w:fill="343434"/>
          </w:tcPr>
          <w:p>
            <w:pPr>
              <w:spacing w:after="0"/>
              <w:rPr>
                <w:sz w:val="24"/>
                <w:szCs w:val="24"/>
                <w:color w:val="auto"/>
              </w:rPr>
            </w:pPr>
          </w:p>
        </w:tc>
      </w:tr>
      <w:tr>
        <w:trPr>
          <w:trHeight w:val="149"/>
        </w:trPr>
        <w:tc>
          <w:tcPr>
            <w:tcW w:w="80" w:type="dxa"/>
            <w:vAlign w:val="bottom"/>
            <w:tcBorders>
              <w:left w:val="single" w:sz="8" w:color="343434"/>
              <w:bottom w:val="single" w:sz="8" w:color="343434"/>
            </w:tcBorders>
            <w:shd w:val="clear" w:color="auto" w:fill="BCBEC0"/>
          </w:tcPr>
          <w:p>
            <w:pPr>
              <w:spacing w:after="0"/>
              <w:rPr>
                <w:sz w:val="13"/>
                <w:szCs w:val="13"/>
                <w:color w:val="auto"/>
              </w:rPr>
            </w:pPr>
          </w:p>
        </w:tc>
        <w:tc>
          <w:tcPr>
            <w:tcW w:w="7520" w:type="dxa"/>
            <w:vAlign w:val="bottom"/>
            <w:tcBorders>
              <w:bottom w:val="single" w:sz="8" w:color="343434"/>
            </w:tcBorders>
            <w:shd w:val="clear" w:color="auto" w:fill="BCBEC0"/>
          </w:tcPr>
          <w:p>
            <w:pPr>
              <w:spacing w:after="0"/>
              <w:rPr>
                <w:sz w:val="13"/>
                <w:szCs w:val="13"/>
                <w:color w:val="auto"/>
              </w:rPr>
            </w:pPr>
          </w:p>
        </w:tc>
        <w:tc>
          <w:tcPr>
            <w:tcW w:w="920" w:type="dxa"/>
            <w:vAlign w:val="bottom"/>
            <w:tcBorders>
              <w:bottom w:val="single" w:sz="8" w:color="343434"/>
            </w:tcBorders>
            <w:shd w:val="clear" w:color="auto" w:fill="343434"/>
          </w:tcPr>
          <w:p>
            <w:pPr>
              <w:spacing w:after="0"/>
              <w:rPr>
                <w:sz w:val="13"/>
                <w:szCs w:val="13"/>
                <w:color w:val="auto"/>
              </w:rPr>
            </w:pPr>
          </w:p>
        </w:tc>
        <w:tc>
          <w:tcPr>
            <w:tcW w:w="2620" w:type="dxa"/>
            <w:vAlign w:val="bottom"/>
            <w:tcBorders>
              <w:bottom w:val="single" w:sz="8" w:color="343434"/>
            </w:tcBorders>
            <w:shd w:val="clear" w:color="auto" w:fill="343434"/>
          </w:tcPr>
          <w:p>
            <w:pPr>
              <w:spacing w:after="0"/>
              <w:rPr>
                <w:sz w:val="13"/>
                <w:szCs w:val="13"/>
                <w:color w:val="auto"/>
              </w:rPr>
            </w:pPr>
          </w:p>
        </w:tc>
        <w:tc>
          <w:tcPr>
            <w:tcW w:w="120" w:type="dxa"/>
            <w:vAlign w:val="bottom"/>
            <w:tcBorders>
              <w:bottom w:val="single" w:sz="8" w:color="343434"/>
            </w:tcBorders>
            <w:shd w:val="clear" w:color="auto" w:fill="343434"/>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-471170</wp:posOffset>
            </wp:positionV>
            <wp:extent cx="300355" cy="291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00355" cy="291465"/>
                    </a:xfrm>
                    <a:prstGeom prst="rect">
                      <a:avLst/>
                    </a:prstGeom>
                    <a:noFill/>
                  </pic:spPr>
                </pic:pic>
              </a:graphicData>
            </a:graphic>
          </wp:anchor>
        </w:drawing>
      </w:r>
    </w:p>
    <w:p>
      <w:pPr>
        <w:spacing w:after="0" w:line="142" w:lineRule="exact"/>
        <w:rPr>
          <w:sz w:val="20"/>
          <w:szCs w:val="20"/>
          <w:color w:val="auto"/>
        </w:rPr>
      </w:pPr>
    </w:p>
    <w:p>
      <w:pPr>
        <w:ind w:right="120"/>
        <w:spacing w:after="0" w:line="245" w:lineRule="auto"/>
        <w:rPr>
          <w:sz w:val="20"/>
          <w:szCs w:val="20"/>
          <w:color w:val="auto"/>
        </w:rPr>
      </w:pPr>
      <w:r>
        <w:rPr>
          <w:rFonts w:ascii="Calibri" w:cs="Calibri" w:eastAsia="Calibri" w:hAnsi="Calibri"/>
          <w:sz w:val="17"/>
          <w:szCs w:val="17"/>
          <w:color w:val="auto"/>
        </w:rPr>
        <w:t>We have been informed that As You Sow, on behalf of the Remmer Family Foundaton Inc (S), owner of 19 shares, intends to introduce the proposal set forth below at the Annual Meetng.</w:t>
      </w:r>
    </w:p>
    <w:p>
      <w:pPr>
        <w:spacing w:after="0" w:line="11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Beginning of Stockholder Proposal—Text and Footnotes are Reprinted from the Stockholder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40575" cy="52635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0575" cy="5263515"/>
                    </a:xfrm>
                    <a:prstGeom prst="rect">
                      <a:avLst/>
                    </a:prstGeom>
                    <a:noFill/>
                  </pic:spPr>
                </pic:pic>
              </a:graphicData>
            </a:graphic>
          </wp:anchor>
        </w:drawing>
      </w:r>
    </w:p>
    <w:p>
      <w:pPr>
        <w:spacing w:after="0" w:line="262" w:lineRule="exact"/>
        <w:rPr>
          <w:sz w:val="20"/>
          <w:szCs w:val="20"/>
          <w:color w:val="auto"/>
        </w:rPr>
      </w:pPr>
    </w:p>
    <w:p>
      <w:pPr>
        <w:ind w:left="120" w:right="140"/>
        <w:spacing w:after="0" w:line="214" w:lineRule="auto"/>
        <w:rPr>
          <w:sz w:val="20"/>
          <w:szCs w:val="20"/>
          <w:color w:val="auto"/>
        </w:rPr>
      </w:pPr>
      <w:r>
        <w:rPr>
          <w:rFonts w:ascii="Calibri" w:cs="Calibri" w:eastAsia="Calibri" w:hAnsi="Calibri"/>
          <w:sz w:val="17"/>
          <w:szCs w:val="17"/>
          <w:b w:val="1"/>
          <w:bCs w:val="1"/>
          <w:color w:val="auto"/>
        </w:rPr>
        <w:t xml:space="preserve">WHEREAS: </w:t>
      </w:r>
      <w:r>
        <w:rPr>
          <w:rFonts w:ascii="Calibri" w:cs="Calibri" w:eastAsia="Calibri" w:hAnsi="Calibri"/>
          <w:sz w:val="17"/>
          <w:szCs w:val="17"/>
          <w:color w:val="auto"/>
        </w:rPr>
        <w:t>Climate change is creatng systemic economic, environmental, and social risks. The Commodity Futures Trading Commission recently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underscored that climate change could impair the productve capacity of the U.S. economy.</w:t>
      </w:r>
      <w:r>
        <w:rPr>
          <w:rFonts w:ascii="Calibri" w:cs="Calibri" w:eastAsia="Calibri" w:hAnsi="Calibri"/>
          <w:sz w:val="22"/>
          <w:szCs w:val="22"/>
          <w:color w:val="auto"/>
          <w:vertAlign w:val="superscript"/>
        </w:rPr>
        <w:t>1</w:t>
      </w:r>
      <w:r>
        <w:rPr>
          <w:rFonts w:ascii="Calibri" w:cs="Calibri" w:eastAsia="Calibri" w:hAnsi="Calibri"/>
          <w:sz w:val="17"/>
          <w:szCs w:val="17"/>
          <w:color w:val="auto"/>
        </w:rPr>
        <w:t xml:space="preserve"> According to the IPCC, the window for limitng global warming to 1.5°C and avoiding the worst impacts of climate change is quickly narrowing. Immediate, sharp emissions reducton is required of all market sectors.</w:t>
      </w:r>
      <w:r>
        <w:rPr>
          <w:rFonts w:ascii="Calibri" w:cs="Calibri" w:eastAsia="Calibri" w:hAnsi="Calibri"/>
          <w:sz w:val="22"/>
          <w:szCs w:val="22"/>
          <w:color w:val="auto"/>
          <w:vertAlign w:val="superscript"/>
        </w:rPr>
        <w:t>2</w:t>
      </w:r>
    </w:p>
    <w:p>
      <w:pPr>
        <w:spacing w:after="0" w:line="65" w:lineRule="exact"/>
        <w:rPr>
          <w:sz w:val="20"/>
          <w:szCs w:val="20"/>
          <w:color w:val="auto"/>
        </w:rPr>
      </w:pPr>
    </w:p>
    <w:p>
      <w:pPr>
        <w:ind w:left="120" w:right="140"/>
        <w:spacing w:after="0" w:line="233" w:lineRule="auto"/>
        <w:rPr>
          <w:sz w:val="20"/>
          <w:szCs w:val="20"/>
          <w:color w:val="auto"/>
        </w:rPr>
      </w:pPr>
      <w:r>
        <w:rPr>
          <w:rFonts w:ascii="Calibri" w:cs="Calibri" w:eastAsia="Calibri" w:hAnsi="Calibri"/>
          <w:sz w:val="17"/>
          <w:szCs w:val="17"/>
          <w:color w:val="auto"/>
        </w:rPr>
        <w:t>In response to material climate risk, the Climate Acton 100+ initatve (CA100+), a coaliton of over 700 investors with $60 trillion in assets, issued a Net Zero Benchmark (“Benchmark”) outlining metrics that create climate accountability for companies and transparency for shareholders. Expectatons include setng a net zero ambiton, adoptng 1.5°C aligned reducton goals across all relevant emission scopes, and disclosing decarbonizaton strategies.</w:t>
      </w:r>
      <w:r>
        <w:rPr>
          <w:rFonts w:ascii="Calibri" w:cs="Calibri" w:eastAsia="Calibri" w:hAnsi="Calibri"/>
          <w:sz w:val="22"/>
          <w:szCs w:val="22"/>
          <w:color w:val="auto"/>
          <w:vertAlign w:val="superscript"/>
        </w:rPr>
        <w:t>3</w:t>
      </w:r>
    </w:p>
    <w:p>
      <w:pPr>
        <w:spacing w:after="0" w:line="52" w:lineRule="exact"/>
        <w:rPr>
          <w:sz w:val="20"/>
          <w:szCs w:val="20"/>
          <w:color w:val="auto"/>
        </w:rPr>
      </w:pPr>
    </w:p>
    <w:p>
      <w:pPr>
        <w:ind w:left="120" w:right="140"/>
        <w:spacing w:after="0"/>
        <w:rPr>
          <w:sz w:val="20"/>
          <w:szCs w:val="20"/>
          <w:color w:val="auto"/>
        </w:rPr>
      </w:pPr>
      <w:r>
        <w:rPr>
          <w:rFonts w:ascii="Calibri" w:cs="Calibri" w:eastAsia="Calibri" w:hAnsi="Calibri"/>
          <w:sz w:val="17"/>
          <w:szCs w:val="17"/>
          <w:color w:val="auto"/>
        </w:rPr>
        <w:t>Credible climate transiton planning protects against fnancial risk, increases economic opportunity, and prepares companies to address climate regulatons which contnue to expand globally.</w:t>
      </w:r>
      <w:r>
        <w:rPr>
          <w:rFonts w:ascii="Calibri" w:cs="Calibri" w:eastAsia="Calibri" w:hAnsi="Calibri"/>
          <w:sz w:val="22"/>
          <w:szCs w:val="22"/>
          <w:color w:val="auto"/>
          <w:vertAlign w:val="superscript"/>
        </w:rPr>
        <w:t>4</w:t>
      </w:r>
      <w:r>
        <w:rPr>
          <w:rFonts w:ascii="Calibri" w:cs="Calibri" w:eastAsia="Calibri" w:hAnsi="Calibri"/>
          <w:sz w:val="17"/>
          <w:szCs w:val="17"/>
          <w:color w:val="auto"/>
        </w:rPr>
        <w:t xml:space="preserve"> More than 70 countries have now established Net Zero by 2050 commitments.</w:t>
      </w:r>
      <w:r>
        <w:rPr>
          <w:rFonts w:ascii="Calibri" w:cs="Calibri" w:eastAsia="Calibri" w:hAnsi="Calibri"/>
          <w:sz w:val="22"/>
          <w:szCs w:val="22"/>
          <w:color w:val="auto"/>
          <w:vertAlign w:val="superscript"/>
        </w:rPr>
        <w:t>5</w:t>
      </w:r>
      <w:r>
        <w:rPr>
          <w:rFonts w:ascii="Calibri" w:cs="Calibri" w:eastAsia="Calibri" w:hAnsi="Calibri"/>
          <w:sz w:val="17"/>
          <w:szCs w:val="17"/>
          <w:color w:val="auto"/>
        </w:rPr>
        <w:t xml:space="preserve"> Similarly, in response to the aerospace industry’s 2.4% contributon to global annual carbon dioxide emissions, NATO’s leaders have commited to reduce defense emissions.</w:t>
      </w:r>
      <w:r>
        <w:rPr>
          <w:rFonts w:ascii="Calibri" w:cs="Calibri" w:eastAsia="Calibri" w:hAnsi="Calibri"/>
          <w:sz w:val="22"/>
          <w:szCs w:val="22"/>
          <w:color w:val="auto"/>
          <w:vertAlign w:val="superscript"/>
        </w:rPr>
        <w:t>6</w:t>
      </w:r>
      <w:r>
        <w:rPr>
          <w:rFonts w:ascii="Calibri" w:cs="Calibri" w:eastAsia="Calibri" w:hAnsi="Calibri"/>
          <w:sz w:val="17"/>
          <w:szCs w:val="17"/>
          <w:color w:val="auto"/>
        </w:rPr>
        <w:t xml:space="preserve"> As governments strive to reach their climate goals, companies with net zero-aligned business models will be in a beter compettve positon to atract contracts and customers.</w:t>
      </w:r>
    </w:p>
    <w:p>
      <w:pPr>
        <w:spacing w:after="0" w:line="182" w:lineRule="exact"/>
        <w:rPr>
          <w:sz w:val="20"/>
          <w:szCs w:val="20"/>
          <w:color w:val="auto"/>
        </w:rPr>
      </w:pPr>
    </w:p>
    <w:p>
      <w:pPr>
        <w:ind w:left="120" w:right="140"/>
        <w:spacing w:after="0"/>
        <w:rPr>
          <w:sz w:val="20"/>
          <w:szCs w:val="20"/>
          <w:color w:val="auto"/>
        </w:rPr>
      </w:pPr>
      <w:r>
        <w:rPr>
          <w:rFonts w:ascii="Calibri" w:cs="Calibri" w:eastAsia="Calibri" w:hAnsi="Calibri"/>
          <w:sz w:val="17"/>
          <w:szCs w:val="17"/>
          <w:color w:val="auto"/>
        </w:rPr>
        <w:t>As a leading global security and aerospace company, Lockheed Martn creates signifcant carbon emissions from its value chain and is exposed to numerous climate-related risks. Failing to respond to this changing environment may make Lockheed Martn less compettve and have a negatve efect on its cost of capital and shareholders’ fnancial returns.</w:t>
      </w:r>
    </w:p>
    <w:p>
      <w:pPr>
        <w:spacing w:after="0" w:line="106" w:lineRule="exact"/>
        <w:rPr>
          <w:sz w:val="20"/>
          <w:szCs w:val="20"/>
          <w:color w:val="auto"/>
        </w:rPr>
      </w:pPr>
    </w:p>
    <w:p>
      <w:pPr>
        <w:ind w:left="120" w:right="320"/>
        <w:spacing w:after="0" w:line="224" w:lineRule="auto"/>
        <w:rPr>
          <w:sz w:val="20"/>
          <w:szCs w:val="20"/>
          <w:color w:val="auto"/>
        </w:rPr>
      </w:pPr>
      <w:r>
        <w:rPr>
          <w:rFonts w:ascii="Calibri" w:cs="Calibri" w:eastAsia="Calibri" w:hAnsi="Calibri"/>
          <w:sz w:val="17"/>
          <w:szCs w:val="17"/>
          <w:color w:val="auto"/>
        </w:rPr>
        <w:t>While our Company has commited to reduce Scope 1 and 2 emissions by 70% intensity by 2030, Lockheed Martn has not established 1.5°C aligned reducton goals that cover all segments of its business, including its Scope 3 value chain emissions, which comprise over 90% of Lockheed’s total emissions.</w:t>
      </w:r>
      <w:r>
        <w:rPr>
          <w:rFonts w:ascii="Calibri" w:cs="Calibri" w:eastAsia="Calibri" w:hAnsi="Calibri"/>
          <w:sz w:val="22"/>
          <w:szCs w:val="22"/>
          <w:color w:val="auto"/>
          <w:vertAlign w:val="superscript"/>
        </w:rPr>
        <w:t>7</w:t>
      </w:r>
      <w:r>
        <w:rPr>
          <w:rFonts w:ascii="Calibri" w:cs="Calibri" w:eastAsia="Calibri" w:hAnsi="Calibri"/>
          <w:sz w:val="17"/>
          <w:szCs w:val="17"/>
          <w:color w:val="auto"/>
        </w:rPr>
        <w:t xml:space="preserve"> By setng science-based reducton targets for its Scope 1-3 emissions, disclosing a decarbonizaton plan, and demonstratng progress toward achieving them, Lockheed Martn can provide investors with assurance that it is reducing its climate contributon and addressing the physical, transiton, and compettve risks associated with climate change.</w:t>
      </w:r>
    </w:p>
    <w:p>
      <w:pPr>
        <w:spacing w:after="0" w:line="109" w:lineRule="exact"/>
        <w:rPr>
          <w:sz w:val="20"/>
          <w:szCs w:val="20"/>
          <w:color w:val="auto"/>
        </w:rPr>
      </w:pPr>
    </w:p>
    <w:p>
      <w:pPr>
        <w:ind w:left="120" w:right="220"/>
        <w:spacing w:after="0"/>
        <w:rPr>
          <w:sz w:val="20"/>
          <w:szCs w:val="20"/>
          <w:color w:val="auto"/>
        </w:rPr>
      </w:pPr>
      <w:r>
        <w:rPr>
          <w:rFonts w:ascii="Calibri" w:cs="Calibri" w:eastAsia="Calibri" w:hAnsi="Calibri"/>
          <w:sz w:val="17"/>
          <w:szCs w:val="17"/>
          <w:b w:val="1"/>
          <w:bCs w:val="1"/>
          <w:color w:val="auto"/>
        </w:rPr>
        <w:t xml:space="preserve">RESOLVED: </w:t>
      </w:r>
      <w:r>
        <w:rPr>
          <w:rFonts w:ascii="Calibri" w:cs="Calibri" w:eastAsia="Calibri" w:hAnsi="Calibri"/>
          <w:sz w:val="17"/>
          <w:szCs w:val="17"/>
          <w:color w:val="auto"/>
        </w:rPr>
        <w:t>Shareholders request the Board issue a report, at reasonable expense and excluding confdental informaton, disclosing how the Company</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intends to reduce its full value chain greenhouse gas emissions in alignment with the Paris Agreement’s 1.5°C degree goal requiring Net Zero emissions by 2050.</w:t>
      </w:r>
    </w:p>
    <w:p>
      <w:pPr>
        <w:spacing w:after="0" w:line="297" w:lineRule="exact"/>
        <w:rPr>
          <w:sz w:val="20"/>
          <w:szCs w:val="20"/>
          <w:color w:val="auto"/>
        </w:rPr>
      </w:pPr>
    </w:p>
    <w:p>
      <w:pPr>
        <w:ind w:left="120"/>
        <w:spacing w:after="0"/>
        <w:rPr>
          <w:sz w:val="20"/>
          <w:szCs w:val="20"/>
          <w:color w:val="auto"/>
        </w:rPr>
      </w:pPr>
      <w:r>
        <w:rPr>
          <w:rFonts w:ascii="Calibri" w:cs="Calibri" w:eastAsia="Calibri" w:hAnsi="Calibri"/>
          <w:sz w:val="17"/>
          <w:szCs w:val="17"/>
          <w:b w:val="1"/>
          <w:bCs w:val="1"/>
          <w:color w:val="auto"/>
        </w:rPr>
        <w:t xml:space="preserve">SUPPORTING STATEMENT: </w:t>
      </w:r>
      <w:r>
        <w:rPr>
          <w:rFonts w:ascii="Calibri" w:cs="Calibri" w:eastAsia="Calibri" w:hAnsi="Calibri"/>
          <w:sz w:val="17"/>
          <w:szCs w:val="17"/>
          <w:color w:val="auto"/>
        </w:rPr>
        <w:t>Proponents suggest, at Board and Company discreton, that the report include:</w:t>
      </w:r>
    </w:p>
    <w:p>
      <w:pPr>
        <w:spacing w:after="0" w:line="116" w:lineRule="exact"/>
        <w:rPr>
          <w:sz w:val="20"/>
          <w:szCs w:val="20"/>
          <w:color w:val="auto"/>
        </w:rPr>
      </w:pPr>
    </w:p>
    <w:p>
      <w:pPr>
        <w:ind w:left="360" w:hanging="162"/>
        <w:spacing w:after="0"/>
        <w:tabs>
          <w:tab w:leader="none" w:pos="360" w:val="left"/>
        </w:tabs>
        <w:numPr>
          <w:ilvl w:val="1"/>
          <w:numId w:val="108"/>
        </w:numPr>
        <w:rPr>
          <w:rFonts w:ascii="Calibri" w:cs="Calibri" w:eastAsia="Calibri" w:hAnsi="Calibri"/>
          <w:sz w:val="17"/>
          <w:szCs w:val="17"/>
          <w:color w:val="auto"/>
        </w:rPr>
      </w:pPr>
      <w:r>
        <w:rPr>
          <w:rFonts w:ascii="Calibri" w:cs="Calibri" w:eastAsia="Calibri" w:hAnsi="Calibri"/>
          <w:sz w:val="17"/>
          <w:szCs w:val="17"/>
          <w:color w:val="auto"/>
        </w:rPr>
        <w:t>Disclosure of all relevant Scope 3 emissions;</w:t>
      </w:r>
    </w:p>
    <w:p>
      <w:pPr>
        <w:spacing w:after="0" w:line="102" w:lineRule="exact"/>
        <w:rPr>
          <w:rFonts w:ascii="Calibri" w:cs="Calibri" w:eastAsia="Calibri" w:hAnsi="Calibri"/>
          <w:sz w:val="17"/>
          <w:szCs w:val="17"/>
          <w:color w:val="auto"/>
        </w:rPr>
      </w:pPr>
    </w:p>
    <w:p>
      <w:pPr>
        <w:ind w:left="360" w:hanging="162"/>
        <w:spacing w:after="0"/>
        <w:tabs>
          <w:tab w:leader="none" w:pos="360" w:val="left"/>
        </w:tabs>
        <w:numPr>
          <w:ilvl w:val="1"/>
          <w:numId w:val="108"/>
        </w:numPr>
        <w:rPr>
          <w:rFonts w:ascii="Calibri" w:cs="Calibri" w:eastAsia="Calibri" w:hAnsi="Calibri"/>
          <w:sz w:val="17"/>
          <w:szCs w:val="17"/>
          <w:color w:val="auto"/>
        </w:rPr>
      </w:pPr>
      <w:r>
        <w:rPr>
          <w:rFonts w:ascii="Calibri" w:cs="Calibri" w:eastAsia="Calibri" w:hAnsi="Calibri"/>
          <w:sz w:val="17"/>
          <w:szCs w:val="17"/>
          <w:color w:val="auto"/>
        </w:rPr>
        <w:t>A tmeline for setng 1.5°C aligned Scope 3 reducton goals;</w:t>
      </w:r>
    </w:p>
    <w:p>
      <w:pPr>
        <w:spacing w:after="0" w:line="102" w:lineRule="exact"/>
        <w:rPr>
          <w:rFonts w:ascii="Calibri" w:cs="Calibri" w:eastAsia="Calibri" w:hAnsi="Calibri"/>
          <w:sz w:val="17"/>
          <w:szCs w:val="17"/>
          <w:color w:val="auto"/>
        </w:rPr>
      </w:pPr>
    </w:p>
    <w:p>
      <w:pPr>
        <w:ind w:left="360" w:hanging="162"/>
        <w:spacing w:after="0"/>
        <w:tabs>
          <w:tab w:leader="none" w:pos="360" w:val="left"/>
        </w:tabs>
        <w:numPr>
          <w:ilvl w:val="1"/>
          <w:numId w:val="108"/>
        </w:numPr>
        <w:rPr>
          <w:rFonts w:ascii="Calibri" w:cs="Calibri" w:eastAsia="Calibri" w:hAnsi="Calibri"/>
          <w:sz w:val="17"/>
          <w:szCs w:val="17"/>
          <w:color w:val="auto"/>
        </w:rPr>
      </w:pPr>
      <w:r>
        <w:rPr>
          <w:rFonts w:ascii="Calibri" w:cs="Calibri" w:eastAsia="Calibri" w:hAnsi="Calibri"/>
          <w:sz w:val="17"/>
          <w:szCs w:val="17"/>
          <w:color w:val="auto"/>
        </w:rPr>
        <w:t>A climate transiton plan to achieve emissions reductons goals across all relevant emissions scopes;</w:t>
      </w:r>
    </w:p>
    <w:p>
      <w:pPr>
        <w:spacing w:after="0" w:line="102" w:lineRule="exact"/>
        <w:rPr>
          <w:rFonts w:ascii="Calibri" w:cs="Calibri" w:eastAsia="Calibri" w:hAnsi="Calibri"/>
          <w:sz w:val="17"/>
          <w:szCs w:val="17"/>
          <w:color w:val="auto"/>
        </w:rPr>
      </w:pPr>
    </w:p>
    <w:p>
      <w:pPr>
        <w:ind w:left="360" w:hanging="162"/>
        <w:spacing w:after="0"/>
        <w:tabs>
          <w:tab w:leader="none" w:pos="360" w:val="left"/>
        </w:tabs>
        <w:numPr>
          <w:ilvl w:val="1"/>
          <w:numId w:val="108"/>
        </w:numPr>
        <w:rPr>
          <w:rFonts w:ascii="Calibri" w:cs="Calibri" w:eastAsia="Calibri" w:hAnsi="Calibri"/>
          <w:sz w:val="17"/>
          <w:szCs w:val="17"/>
          <w:color w:val="auto"/>
        </w:rPr>
      </w:pPr>
      <w:r>
        <w:rPr>
          <w:rFonts w:ascii="Calibri" w:cs="Calibri" w:eastAsia="Calibri" w:hAnsi="Calibri"/>
          <w:sz w:val="17"/>
          <w:szCs w:val="17"/>
          <w:color w:val="auto"/>
        </w:rPr>
        <w:t>Annual reports demonstratng progress towards meetng emissions reducton goals.</w:t>
      </w:r>
    </w:p>
    <w:p>
      <w:pPr>
        <w:spacing w:after="0" w:line="105" w:lineRule="exact"/>
        <w:rPr>
          <w:rFonts w:ascii="Calibri" w:cs="Calibri" w:eastAsia="Calibri" w:hAnsi="Calibri"/>
          <w:sz w:val="17"/>
          <w:szCs w:val="17"/>
          <w:color w:val="auto"/>
        </w:rPr>
      </w:pPr>
    </w:p>
    <w:p>
      <w:pPr>
        <w:ind w:left="360" w:right="2020" w:hanging="243"/>
        <w:spacing w:after="0" w:line="245" w:lineRule="auto"/>
        <w:rPr>
          <w:rFonts w:ascii="Calibri" w:cs="Calibri" w:eastAsia="Calibri" w:hAnsi="Calibri"/>
          <w:sz w:val="17"/>
          <w:szCs w:val="17"/>
          <w:color w:val="auto"/>
        </w:rPr>
      </w:pPr>
      <w:r>
        <w:rPr>
          <w:rFonts w:ascii="Calibri" w:cs="Calibri" w:eastAsia="Calibri" w:hAnsi="Calibri"/>
          <w:sz w:val="14"/>
          <w:szCs w:val="14"/>
          <w:color w:val="auto"/>
        </w:rPr>
        <w:t>1 htps://www.cfc.gov/sites/default/fles/2020-09/9-9-20%20Report%20of%20the%20Subcommitee%20on%20Climate- Related%20Market%20Risk%20-%20Managing%20Climate%20Risk%20in%20the%20U.S.%20Financial%20System%20for%20postng.pdf</w:t>
      </w:r>
    </w:p>
    <w:p>
      <w:pPr>
        <w:spacing w:after="0" w:line="1" w:lineRule="exact"/>
        <w:rPr>
          <w:sz w:val="20"/>
          <w:szCs w:val="20"/>
          <w:color w:val="auto"/>
        </w:rPr>
      </w:pPr>
    </w:p>
    <w:p>
      <w:pPr>
        <w:ind w:left="340" w:hanging="233"/>
        <w:spacing w:after="0"/>
        <w:tabs>
          <w:tab w:leader="none" w:pos="340" w:val="left"/>
        </w:tabs>
        <w:numPr>
          <w:ilvl w:val="0"/>
          <w:numId w:val="109"/>
        </w:numPr>
        <w:rPr>
          <w:rFonts w:ascii="Calibri" w:cs="Calibri" w:eastAsia="Calibri" w:hAnsi="Calibri"/>
          <w:sz w:val="14"/>
          <w:szCs w:val="14"/>
          <w:color w:val="auto"/>
        </w:rPr>
      </w:pPr>
      <w:r>
        <w:rPr>
          <w:rFonts w:ascii="Calibri" w:cs="Calibri" w:eastAsia="Calibri" w:hAnsi="Calibri"/>
          <w:sz w:val="14"/>
          <w:szCs w:val="14"/>
          <w:color w:val="auto"/>
        </w:rPr>
        <w:t>htps://report.ipcc.ch/ar6wg3/pdf/IPCC_AR6_WGIII_FinalDraf_FullReport.pdf</w:t>
      </w:r>
    </w:p>
    <w:p>
      <w:pPr>
        <w:spacing w:after="0" w:line="5" w:lineRule="exact"/>
        <w:rPr>
          <w:sz w:val="20"/>
          <w:szCs w:val="20"/>
          <w:color w:val="auto"/>
        </w:rPr>
      </w:pPr>
    </w:p>
    <w:p>
      <w:pPr>
        <w:ind w:left="340" w:hanging="233"/>
        <w:spacing w:after="0"/>
        <w:tabs>
          <w:tab w:leader="none" w:pos="340" w:val="left"/>
        </w:tabs>
        <w:numPr>
          <w:ilvl w:val="0"/>
          <w:numId w:val="110"/>
        </w:numPr>
        <w:rPr>
          <w:rFonts w:ascii="Calibri" w:cs="Calibri" w:eastAsia="Calibri" w:hAnsi="Calibri"/>
          <w:sz w:val="14"/>
          <w:szCs w:val="14"/>
          <w:color w:val="auto"/>
        </w:rPr>
      </w:pPr>
      <w:r>
        <w:rPr>
          <w:rFonts w:ascii="Calibri" w:cs="Calibri" w:eastAsia="Calibri" w:hAnsi="Calibri"/>
          <w:sz w:val="14"/>
          <w:szCs w:val="14"/>
          <w:color w:val="auto"/>
        </w:rPr>
        <w:t>htps://www.climateacton100.org/wp-content/uploads/2021/03/Climate-Acton-100-Benchmark-Indicators-FINAL-3.12.pdf</w:t>
      </w:r>
    </w:p>
    <w:p>
      <w:pPr>
        <w:ind w:left="340" w:hanging="233"/>
        <w:spacing w:after="0" w:line="227" w:lineRule="auto"/>
        <w:tabs>
          <w:tab w:leader="none" w:pos="340" w:val="left"/>
        </w:tabs>
        <w:numPr>
          <w:ilvl w:val="0"/>
          <w:numId w:val="111"/>
        </w:numPr>
        <w:rPr>
          <w:rFonts w:ascii="Calibri" w:cs="Calibri" w:eastAsia="Calibri" w:hAnsi="Calibri"/>
          <w:sz w:val="14"/>
          <w:szCs w:val="14"/>
          <w:color w:val="auto"/>
        </w:rPr>
      </w:pPr>
      <w:r>
        <w:rPr>
          <w:rFonts w:ascii="Calibri" w:cs="Calibri" w:eastAsia="Calibri" w:hAnsi="Calibri"/>
          <w:sz w:val="14"/>
          <w:szCs w:val="14"/>
          <w:color w:val="auto"/>
        </w:rPr>
        <w:t>htps://cdn.cdp.net/cdp-producton/cms/guidance_docs/pdfs/000/003/101/original/CDP_technical_note_-_Climate_transiton_plans.pdf?1643994309</w:t>
      </w:r>
    </w:p>
    <w:p>
      <w:pPr>
        <w:spacing w:after="0" w:line="4" w:lineRule="exact"/>
        <w:rPr>
          <w:rFonts w:ascii="Calibri" w:cs="Calibri" w:eastAsia="Calibri" w:hAnsi="Calibri"/>
          <w:sz w:val="14"/>
          <w:szCs w:val="14"/>
          <w:color w:val="auto"/>
        </w:rPr>
      </w:pPr>
    </w:p>
    <w:p>
      <w:pPr>
        <w:ind w:left="100"/>
        <w:spacing w:after="0"/>
        <w:rPr>
          <w:rFonts w:ascii="Calibri" w:cs="Calibri" w:eastAsia="Calibri" w:hAnsi="Calibri"/>
          <w:sz w:val="14"/>
          <w:szCs w:val="14"/>
          <w:color w:val="auto"/>
        </w:rPr>
      </w:pPr>
      <w:r>
        <w:rPr>
          <w:rFonts w:ascii="Calibri" w:cs="Calibri" w:eastAsia="Calibri" w:hAnsi="Calibri"/>
          <w:sz w:val="14"/>
          <w:szCs w:val="14"/>
          <w:color w:val="auto"/>
        </w:rPr>
        <w:t>5  htps://www.un.org/en/climatechange/net-zero-coaliton</w:t>
      </w:r>
    </w:p>
    <w:p>
      <w:pPr>
        <w:spacing w:after="0" w:line="5" w:lineRule="exact"/>
        <w:rPr>
          <w:rFonts w:ascii="Calibri" w:cs="Calibri" w:eastAsia="Calibri" w:hAnsi="Calibri"/>
          <w:sz w:val="14"/>
          <w:szCs w:val="14"/>
          <w:color w:val="auto"/>
        </w:rPr>
      </w:pPr>
    </w:p>
    <w:p>
      <w:pPr>
        <w:ind w:left="100" w:right="3480"/>
        <w:spacing w:after="0" w:line="245" w:lineRule="auto"/>
        <w:rPr>
          <w:rFonts w:ascii="Calibri" w:cs="Calibri" w:eastAsia="Calibri" w:hAnsi="Calibri"/>
          <w:sz w:val="14"/>
          <w:szCs w:val="14"/>
          <w:color w:val="auto"/>
        </w:rPr>
      </w:pPr>
      <w:r>
        <w:rPr>
          <w:rFonts w:ascii="Calibri" w:cs="Calibri" w:eastAsia="Calibri" w:hAnsi="Calibri"/>
          <w:sz w:val="14"/>
          <w:szCs w:val="14"/>
          <w:color w:val="auto"/>
        </w:rPr>
        <w:t>6 htps://www.mckinsey.com/industries/aerospace-and-defense/our-insights/decarbonizing-defense-imperatve-and-opportunity 7 htps://sustainability.lockheedmartn.com/sustainability/content/Lockheed_Martn_2021_Sustainability_Report.pdf</w:t>
      </w:r>
    </w:p>
    <w:p>
      <w:pPr>
        <w:spacing w:after="0" w:line="22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End of Stockholder Proposal—Board Vote Recommendaton on Proposal 7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341630</wp:posOffset>
            </wp:positionV>
            <wp:extent cx="1071880" cy="1803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sectPr>
      </w:pPr>
    </w:p>
    <w:bookmarkStart w:id="94" w:name="page95"/>
    <w:bookmarkEnd w:id="94"/>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2E6D"/>
        </w:rPr>
        <w:t>Proposal 7: Stockholder Proposal to Issue a Report on the Company’s Intention to Reduce Full Value Chain GHG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658368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658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0"/>
        <w:spacing w:after="0"/>
        <w:rPr>
          <w:sz w:val="20"/>
          <w:szCs w:val="20"/>
          <w:color w:val="auto"/>
        </w:rPr>
      </w:pPr>
      <w:r>
        <w:rPr>
          <w:rFonts w:ascii="Arial" w:cs="Arial" w:eastAsia="Arial" w:hAnsi="Arial"/>
          <w:sz w:val="29"/>
          <w:szCs w:val="29"/>
          <w:color w:val="003478"/>
        </w:rPr>
        <w:t>The Board of Directors Recommends Voting AGAINST Proposal 7</w:t>
      </w:r>
    </w:p>
    <w:p>
      <w:pPr>
        <w:spacing w:after="0" w:line="130" w:lineRule="exact"/>
        <w:rPr>
          <w:sz w:val="20"/>
          <w:szCs w:val="20"/>
          <w:color w:val="auto"/>
        </w:rPr>
      </w:pPr>
    </w:p>
    <w:p>
      <w:pPr>
        <w:ind w:left="100" w:right="100"/>
        <w:spacing w:after="0" w:line="244" w:lineRule="auto"/>
        <w:rPr>
          <w:sz w:val="20"/>
          <w:szCs w:val="20"/>
          <w:color w:val="auto"/>
        </w:rPr>
      </w:pPr>
      <w:r>
        <w:rPr>
          <w:rFonts w:ascii="Calibri" w:cs="Calibri" w:eastAsia="Calibri" w:hAnsi="Calibri"/>
          <w:sz w:val="17"/>
          <w:szCs w:val="17"/>
          <w:color w:val="auto"/>
        </w:rPr>
        <w:t>The Board of Directors recommends that stockholders vote AGAINST this proposal because we believe that its approach is duplicatve, unnecessarily prescriptve, premature and not in the best interest of our Company or our stockholders. Most signifcantly, the defense industry is not prepared to comprehensively address Scope 3 emissions reducton goals and climate transiton plans untl its customers provide support and partnership. Nevertheless, we are taking actons to address climate change and sustainability, including with respect to Scope 3 emissions reducton actvites, and we comprehensively report on these actons.</w:t>
      </w:r>
    </w:p>
    <w:p>
      <w:pPr>
        <w:spacing w:after="0" w:line="120" w:lineRule="exact"/>
        <w:rPr>
          <w:sz w:val="20"/>
          <w:szCs w:val="20"/>
          <w:color w:val="auto"/>
        </w:rPr>
      </w:pPr>
    </w:p>
    <w:p>
      <w:pPr>
        <w:ind w:left="100" w:right="260"/>
        <w:spacing w:after="0" w:line="245" w:lineRule="auto"/>
        <w:rPr>
          <w:sz w:val="20"/>
          <w:szCs w:val="20"/>
          <w:color w:val="auto"/>
        </w:rPr>
      </w:pPr>
      <w:r>
        <w:rPr>
          <w:rFonts w:ascii="Calibri" w:cs="Calibri" w:eastAsia="Calibri" w:hAnsi="Calibri"/>
          <w:sz w:val="17"/>
          <w:szCs w:val="17"/>
          <w:b w:val="1"/>
          <w:bCs w:val="1"/>
          <w:color w:val="auto"/>
        </w:rPr>
        <w:t>Our GHG reducton goals refect industry-standard practce and we are making progress toward meetng those targets. Setng Scope 3 goals as sought by the proponent is premature and impractcal given the nature of our industry and ultmate customers.</w:t>
      </w:r>
    </w:p>
    <w:p>
      <w:pPr>
        <w:spacing w:after="0" w:line="103" w:lineRule="exact"/>
        <w:rPr>
          <w:sz w:val="20"/>
          <w:szCs w:val="20"/>
          <w:color w:val="auto"/>
        </w:rPr>
      </w:pPr>
    </w:p>
    <w:p>
      <w:pPr>
        <w:ind w:left="100" w:right="480"/>
        <w:spacing w:after="0" w:line="247" w:lineRule="auto"/>
        <w:rPr>
          <w:sz w:val="20"/>
          <w:szCs w:val="20"/>
          <w:color w:val="auto"/>
        </w:rPr>
      </w:pPr>
      <w:r>
        <w:rPr>
          <w:rFonts w:ascii="Calibri" w:cs="Calibri" w:eastAsia="Calibri" w:hAnsi="Calibri"/>
          <w:sz w:val="17"/>
          <w:szCs w:val="17"/>
          <w:color w:val="auto"/>
        </w:rPr>
        <w:t>As discussed on page 34, within the last year we accelerated and restated our Scope 1 and Scope 2 carbon reducton and renewable energy goals. Our disclosures and goal scope are on par with those of other defense contractors. A key point is that defense contractors face unique issues in setng achievable Scope 3 emissions goals because of factors that fall outside of any defense contractor’s purview, including:</w:t>
      </w:r>
    </w:p>
    <w:p>
      <w:pPr>
        <w:spacing w:after="0" w:line="112" w:lineRule="exact"/>
        <w:rPr>
          <w:sz w:val="20"/>
          <w:szCs w:val="20"/>
          <w:color w:val="auto"/>
        </w:rPr>
      </w:pPr>
    </w:p>
    <w:p>
      <w:pPr>
        <w:ind w:left="340" w:hanging="159"/>
        <w:spacing w:after="0"/>
        <w:tabs>
          <w:tab w:leader="none" w:pos="340" w:val="left"/>
        </w:tabs>
        <w:numPr>
          <w:ilvl w:val="0"/>
          <w:numId w:val="112"/>
        </w:numPr>
        <w:rPr>
          <w:rFonts w:ascii="Calibri" w:cs="Calibri" w:eastAsia="Calibri" w:hAnsi="Calibri"/>
          <w:sz w:val="17"/>
          <w:szCs w:val="17"/>
          <w:color w:val="003478"/>
        </w:rPr>
      </w:pPr>
      <w:r>
        <w:rPr>
          <w:rFonts w:ascii="Calibri" w:cs="Calibri" w:eastAsia="Calibri" w:hAnsi="Calibri"/>
          <w:sz w:val="17"/>
          <w:szCs w:val="17"/>
          <w:color w:val="auto"/>
        </w:rPr>
        <w:t>Sovereign governments control the specifcaton of product requirements.</w:t>
      </w:r>
    </w:p>
    <w:p>
      <w:pPr>
        <w:spacing w:after="0" w:line="62" w:lineRule="exact"/>
        <w:rPr>
          <w:rFonts w:ascii="Calibri" w:cs="Calibri" w:eastAsia="Calibri" w:hAnsi="Calibri"/>
          <w:sz w:val="17"/>
          <w:szCs w:val="17"/>
          <w:color w:val="003478"/>
        </w:rPr>
      </w:pPr>
    </w:p>
    <w:p>
      <w:pPr>
        <w:ind w:left="340" w:hanging="159"/>
        <w:spacing w:after="0"/>
        <w:tabs>
          <w:tab w:leader="none" w:pos="340" w:val="left"/>
        </w:tabs>
        <w:numPr>
          <w:ilvl w:val="0"/>
          <w:numId w:val="112"/>
        </w:numPr>
        <w:rPr>
          <w:rFonts w:ascii="Calibri" w:cs="Calibri" w:eastAsia="Calibri" w:hAnsi="Calibri"/>
          <w:sz w:val="17"/>
          <w:szCs w:val="17"/>
          <w:color w:val="003478"/>
        </w:rPr>
      </w:pPr>
      <w:r>
        <w:rPr>
          <w:rFonts w:ascii="Calibri" w:cs="Calibri" w:eastAsia="Calibri" w:hAnsi="Calibri"/>
          <w:sz w:val="17"/>
          <w:szCs w:val="17"/>
          <w:color w:val="auto"/>
        </w:rPr>
        <w:t>Sovereign governments also control the ultmate end use of products.</w:t>
      </w:r>
    </w:p>
    <w:p>
      <w:pPr>
        <w:spacing w:after="0" w:line="62" w:lineRule="exact"/>
        <w:rPr>
          <w:rFonts w:ascii="Calibri" w:cs="Calibri" w:eastAsia="Calibri" w:hAnsi="Calibri"/>
          <w:sz w:val="17"/>
          <w:szCs w:val="17"/>
          <w:color w:val="003478"/>
        </w:rPr>
      </w:pPr>
    </w:p>
    <w:p>
      <w:pPr>
        <w:ind w:left="340" w:hanging="159"/>
        <w:spacing w:after="0"/>
        <w:tabs>
          <w:tab w:leader="none" w:pos="340" w:val="left"/>
        </w:tabs>
        <w:numPr>
          <w:ilvl w:val="0"/>
          <w:numId w:val="112"/>
        </w:numPr>
        <w:rPr>
          <w:rFonts w:ascii="Calibri" w:cs="Calibri" w:eastAsia="Calibri" w:hAnsi="Calibri"/>
          <w:sz w:val="17"/>
          <w:szCs w:val="17"/>
          <w:color w:val="003478"/>
        </w:rPr>
      </w:pPr>
      <w:r>
        <w:rPr>
          <w:rFonts w:ascii="Calibri" w:cs="Calibri" w:eastAsia="Calibri" w:hAnsi="Calibri"/>
          <w:sz w:val="17"/>
          <w:szCs w:val="17"/>
          <w:color w:val="auto"/>
        </w:rPr>
        <w:t>Customers are unable to provide contractors with product in use informaton.</w:t>
      </w:r>
    </w:p>
    <w:p>
      <w:pPr>
        <w:spacing w:after="0" w:line="48" w:lineRule="exact"/>
        <w:rPr>
          <w:rFonts w:ascii="Calibri" w:cs="Calibri" w:eastAsia="Calibri" w:hAnsi="Calibri"/>
          <w:sz w:val="17"/>
          <w:szCs w:val="17"/>
          <w:color w:val="003478"/>
        </w:rPr>
      </w:pPr>
    </w:p>
    <w:p>
      <w:pPr>
        <w:ind w:left="340" w:hanging="159"/>
        <w:spacing w:after="0"/>
        <w:tabs>
          <w:tab w:leader="none" w:pos="340" w:val="left"/>
        </w:tabs>
        <w:numPr>
          <w:ilvl w:val="0"/>
          <w:numId w:val="112"/>
        </w:numPr>
        <w:rPr>
          <w:rFonts w:ascii="Calibri" w:cs="Calibri" w:eastAsia="Calibri" w:hAnsi="Calibri"/>
          <w:sz w:val="17"/>
          <w:szCs w:val="17"/>
          <w:color w:val="003478"/>
        </w:rPr>
      </w:pPr>
      <w:r>
        <w:rPr>
          <w:rFonts w:ascii="Calibri" w:cs="Calibri" w:eastAsia="Calibri" w:hAnsi="Calibri"/>
          <w:sz w:val="17"/>
          <w:szCs w:val="17"/>
          <w:color w:val="auto"/>
        </w:rPr>
        <w:t>Any emissions reportng related to product use necessarily will be limited, at best, for natonal security reasons.</w:t>
      </w:r>
    </w:p>
    <w:p>
      <w:pPr>
        <w:spacing w:after="0" w:line="120" w:lineRule="exact"/>
        <w:rPr>
          <w:sz w:val="20"/>
          <w:szCs w:val="20"/>
          <w:color w:val="auto"/>
        </w:rPr>
      </w:pPr>
    </w:p>
    <w:p>
      <w:pPr>
        <w:ind w:left="100" w:right="320"/>
        <w:spacing w:after="0" w:line="248" w:lineRule="auto"/>
        <w:rPr>
          <w:sz w:val="20"/>
          <w:szCs w:val="20"/>
          <w:color w:val="auto"/>
        </w:rPr>
      </w:pPr>
      <w:r>
        <w:rPr>
          <w:rFonts w:ascii="Calibri" w:cs="Calibri" w:eastAsia="Calibri" w:hAnsi="Calibri"/>
          <w:sz w:val="17"/>
          <w:szCs w:val="17"/>
          <w:color w:val="auto"/>
        </w:rPr>
        <w:t>These factors make it extremely challenging for defense contractors to set the requested Scope 3 emissions targets at this tme, and inappropriate to include defense contractors like Lockheed Martn in a broader sector that includes companies that are not defense contractors, such as commercial aviaton or transportaton, for the purpose of setng Scope 3 emissions targets. We are unaware of any U.S.-based defense contractors that have set Net Zero Scope 3 reducton targets.</w:t>
      </w:r>
    </w:p>
    <w:p>
      <w:pPr>
        <w:spacing w:after="0" w:line="114" w:lineRule="exact"/>
        <w:rPr>
          <w:sz w:val="20"/>
          <w:szCs w:val="20"/>
          <w:color w:val="auto"/>
        </w:rPr>
      </w:pPr>
    </w:p>
    <w:p>
      <w:pPr>
        <w:ind w:left="100" w:right="180"/>
        <w:spacing w:after="0" w:line="245" w:lineRule="auto"/>
        <w:rPr>
          <w:sz w:val="20"/>
          <w:szCs w:val="20"/>
          <w:color w:val="auto"/>
        </w:rPr>
      </w:pPr>
      <w:r>
        <w:rPr>
          <w:rFonts w:ascii="Calibri" w:cs="Calibri" w:eastAsia="Calibri" w:hAnsi="Calibri"/>
          <w:sz w:val="17"/>
          <w:szCs w:val="17"/>
          <w:color w:val="auto"/>
        </w:rPr>
        <w:t>These challenges are exemplifed when considering that the largest contributon to our Scope 3 emissions is estmated to be in the category of use of sold products by our customers. These products are designed, developed and manufactured in accordance with customer design specifcatons. In additon, we have no control or infuence over the ultmate use of our products, which is dictated fully by U.S. Government and allied naton directves. Setng reducton targets for the use of sold products would require accountability and collaboraton with the U.S. Government, other natons and industry partners that to date has not occurred in large part because our customers determine how, when, and to what extent they use our products and because limitng post-sale use is fundamentally inconsistent with our government customer requirements. We are actng to address these headwinds by:</w:t>
      </w:r>
    </w:p>
    <w:p>
      <w:pPr>
        <w:spacing w:after="0" w:line="103" w:lineRule="exact"/>
        <w:rPr>
          <w:sz w:val="20"/>
          <w:szCs w:val="20"/>
          <w:color w:val="auto"/>
        </w:rPr>
      </w:pPr>
    </w:p>
    <w:p>
      <w:pPr>
        <w:ind w:left="340" w:hanging="159"/>
        <w:spacing w:after="0"/>
        <w:tabs>
          <w:tab w:leader="none" w:pos="340" w:val="left"/>
        </w:tabs>
        <w:numPr>
          <w:ilvl w:val="0"/>
          <w:numId w:val="113"/>
        </w:numPr>
        <w:rPr>
          <w:rFonts w:ascii="Calibri" w:cs="Calibri" w:eastAsia="Calibri" w:hAnsi="Calibri"/>
          <w:sz w:val="17"/>
          <w:szCs w:val="17"/>
          <w:color w:val="003478"/>
        </w:rPr>
      </w:pPr>
      <w:r>
        <w:rPr>
          <w:rFonts w:ascii="Calibri" w:cs="Calibri" w:eastAsia="Calibri" w:hAnsi="Calibri"/>
          <w:sz w:val="17"/>
          <w:szCs w:val="17"/>
          <w:color w:val="auto"/>
        </w:rPr>
        <w:t>Engaging with the White House and the Department of Defense to discuss climate impacts of our products.</w:t>
      </w:r>
    </w:p>
    <w:p>
      <w:pPr>
        <w:spacing w:after="0" w:line="65" w:lineRule="exact"/>
        <w:rPr>
          <w:rFonts w:ascii="Calibri" w:cs="Calibri" w:eastAsia="Calibri" w:hAnsi="Calibri"/>
          <w:sz w:val="17"/>
          <w:szCs w:val="17"/>
          <w:color w:val="003478"/>
        </w:rPr>
      </w:pPr>
    </w:p>
    <w:p>
      <w:pPr>
        <w:jc w:val="both"/>
        <w:ind w:left="340" w:right="140" w:hanging="159"/>
        <w:spacing w:after="0" w:line="247" w:lineRule="auto"/>
        <w:tabs>
          <w:tab w:leader="none" w:pos="333" w:val="left"/>
        </w:tabs>
        <w:numPr>
          <w:ilvl w:val="0"/>
          <w:numId w:val="113"/>
        </w:numPr>
        <w:rPr>
          <w:rFonts w:ascii="Calibri" w:cs="Calibri" w:eastAsia="Calibri" w:hAnsi="Calibri"/>
          <w:sz w:val="17"/>
          <w:szCs w:val="17"/>
          <w:color w:val="003478"/>
        </w:rPr>
      </w:pPr>
      <w:r>
        <w:rPr>
          <w:rFonts w:ascii="Calibri" w:cs="Calibri" w:eastAsia="Calibri" w:hAnsi="Calibri"/>
          <w:sz w:val="17"/>
          <w:szCs w:val="17"/>
          <w:color w:val="auto"/>
        </w:rPr>
        <w:t>Analyzing the proposed Federal Acquisiton Regulaton (FAR) and SEC rules that would require disclosure of climate-related informaton and, in the case of the FAR proposal, would require the establishment of science-based emissions reducton targets, inclusive of Scope 3. This work includes engaging to shape the fnal rules to account for our industry challenges.</w:t>
      </w:r>
    </w:p>
    <w:p>
      <w:pPr>
        <w:spacing w:after="0" w:line="115" w:lineRule="exact"/>
        <w:rPr>
          <w:sz w:val="20"/>
          <w:szCs w:val="20"/>
          <w:color w:val="auto"/>
        </w:rPr>
      </w:pPr>
    </w:p>
    <w:p>
      <w:pPr>
        <w:ind w:left="100" w:right="160"/>
        <w:spacing w:after="0" w:line="243" w:lineRule="auto"/>
        <w:rPr>
          <w:sz w:val="20"/>
          <w:szCs w:val="20"/>
          <w:color w:val="auto"/>
        </w:rPr>
      </w:pPr>
      <w:r>
        <w:rPr>
          <w:rFonts w:ascii="Calibri" w:cs="Calibri" w:eastAsia="Calibri" w:hAnsi="Calibri"/>
          <w:sz w:val="17"/>
          <w:szCs w:val="17"/>
          <w:color w:val="auto"/>
        </w:rPr>
        <w:t>The lack of an applicable and relevant framework for setng Scope 3 emissions targets for the defense industry and its shared supply chain further limits our current ability to implement this proposal. The non-existence of a sectoral framework greatly impacts our ability to publish a tmeline for setng Scope 3 reducton targets or to announce a climate transiton plan. Accordingly, at this tme it simply is not feasible for us to state a tmeline for setng 1.5°C aligned Scope 3 reducton goals or a climate transiton plan as requested by the proponents.</w:t>
      </w:r>
    </w:p>
    <w:p>
      <w:pPr>
        <w:spacing w:after="0" w:line="115" w:lineRule="exact"/>
        <w:rPr>
          <w:sz w:val="20"/>
          <w:szCs w:val="20"/>
          <w:color w:val="auto"/>
        </w:rPr>
      </w:pPr>
    </w:p>
    <w:p>
      <w:pPr>
        <w:ind w:left="100"/>
        <w:spacing w:after="0"/>
        <w:rPr>
          <w:sz w:val="20"/>
          <w:szCs w:val="20"/>
          <w:color w:val="auto"/>
        </w:rPr>
      </w:pPr>
      <w:r>
        <w:rPr>
          <w:rFonts w:ascii="Calibri" w:cs="Calibri" w:eastAsia="Calibri" w:hAnsi="Calibri"/>
          <w:sz w:val="17"/>
          <w:szCs w:val="17"/>
          <w:b w:val="1"/>
          <w:bCs w:val="1"/>
          <w:color w:val="auto"/>
        </w:rPr>
        <w:t>We are currently engaging in forward-looking Scope 3 emissions reducton actvites.</w:t>
      </w:r>
    </w:p>
    <w:p>
      <w:pPr>
        <w:spacing w:after="0" w:line="120" w:lineRule="exact"/>
        <w:rPr>
          <w:sz w:val="20"/>
          <w:szCs w:val="20"/>
          <w:color w:val="auto"/>
        </w:rPr>
      </w:pPr>
    </w:p>
    <w:p>
      <w:pPr>
        <w:ind w:left="100" w:right="380"/>
        <w:spacing w:after="0" w:line="247" w:lineRule="auto"/>
        <w:rPr>
          <w:sz w:val="20"/>
          <w:szCs w:val="20"/>
          <w:color w:val="auto"/>
        </w:rPr>
      </w:pPr>
      <w:r>
        <w:rPr>
          <w:rFonts w:ascii="Calibri" w:cs="Calibri" w:eastAsia="Calibri" w:hAnsi="Calibri"/>
          <w:sz w:val="17"/>
          <w:szCs w:val="17"/>
          <w:color w:val="auto"/>
        </w:rPr>
        <w:t>While setng Scope 3 emission reducton targets is a complex and challenging exercise for defense contractors, we are constantly evaluatng and developing opportunites across our value chain and related to our products with the goal of contnued engagement and the consideraton of reducton targets when appropriate. We are currently engaging in the following actvites that address Scope 3 emissions:</w:t>
      </w:r>
    </w:p>
    <w:p>
      <w:pPr>
        <w:spacing w:after="0" w:line="102" w:lineRule="exact"/>
        <w:rPr>
          <w:sz w:val="20"/>
          <w:szCs w:val="20"/>
          <w:color w:val="auto"/>
        </w:rPr>
      </w:pPr>
    </w:p>
    <w:p>
      <w:pPr>
        <w:ind w:left="340" w:right="200" w:hanging="159"/>
        <w:spacing w:after="0" w:line="245" w:lineRule="auto"/>
        <w:tabs>
          <w:tab w:leader="none" w:pos="333" w:val="left"/>
        </w:tabs>
        <w:numPr>
          <w:ilvl w:val="0"/>
          <w:numId w:val="114"/>
        </w:numPr>
        <w:rPr>
          <w:rFonts w:ascii="Calibri" w:cs="Calibri" w:eastAsia="Calibri" w:hAnsi="Calibri"/>
          <w:sz w:val="17"/>
          <w:szCs w:val="17"/>
          <w:color w:val="003478"/>
        </w:rPr>
      </w:pPr>
      <w:r>
        <w:rPr>
          <w:rFonts w:ascii="Calibri" w:cs="Calibri" w:eastAsia="Calibri" w:hAnsi="Calibri"/>
          <w:sz w:val="17"/>
          <w:szCs w:val="17"/>
          <w:color w:val="auto"/>
        </w:rPr>
        <w:t>Actvely partcipatng with our industry peers in the Internatonal Aerospace Environmental Group (IAEG) GHG Reportng and Management work group whose charter was broadened recently to promote industry-wide adopton of consistent emissions accountng and reportng practces.</w:t>
      </w:r>
    </w:p>
    <w:p>
      <w:pPr>
        <w:spacing w:after="0" w:line="72" w:lineRule="exact"/>
        <w:rPr>
          <w:rFonts w:ascii="Calibri" w:cs="Calibri" w:eastAsia="Calibri" w:hAnsi="Calibri"/>
          <w:sz w:val="17"/>
          <w:szCs w:val="17"/>
          <w:color w:val="003478"/>
        </w:rPr>
      </w:pPr>
    </w:p>
    <w:p>
      <w:pPr>
        <w:ind w:left="340" w:hanging="159"/>
        <w:spacing w:after="0"/>
        <w:tabs>
          <w:tab w:leader="none" w:pos="340" w:val="left"/>
        </w:tabs>
        <w:numPr>
          <w:ilvl w:val="0"/>
          <w:numId w:val="114"/>
        </w:numPr>
        <w:rPr>
          <w:rFonts w:ascii="Calibri" w:cs="Calibri" w:eastAsia="Calibri" w:hAnsi="Calibri"/>
          <w:sz w:val="17"/>
          <w:szCs w:val="17"/>
          <w:color w:val="003478"/>
        </w:rPr>
      </w:pPr>
      <w:r>
        <w:rPr>
          <w:rFonts w:ascii="Calibri" w:cs="Calibri" w:eastAsia="Calibri" w:hAnsi="Calibri"/>
          <w:sz w:val="17"/>
          <w:szCs w:val="17"/>
          <w:color w:val="auto"/>
        </w:rPr>
        <w:t>Leading and achieving industry support through IAEG to deliver supplier sustainability educaton across our joint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5" w:name="page96"/>
    <w:bookmarkEnd w:id="95"/>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2E6D"/>
        </w:rPr>
        <w:t>Proposal 7: Stockholder Proposal to Issue a Report on the Company's Intention to Reduce Full Value Chain GHG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51263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512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right="20" w:hanging="159"/>
        <w:spacing w:after="0" w:line="255" w:lineRule="auto"/>
        <w:tabs>
          <w:tab w:leader="none" w:pos="333" w:val="left"/>
        </w:tabs>
        <w:numPr>
          <w:ilvl w:val="0"/>
          <w:numId w:val="115"/>
        </w:numPr>
        <w:rPr>
          <w:rFonts w:ascii="Calibri" w:cs="Calibri" w:eastAsia="Calibri" w:hAnsi="Calibri"/>
          <w:sz w:val="17"/>
          <w:szCs w:val="17"/>
          <w:color w:val="003478"/>
        </w:rPr>
      </w:pPr>
      <w:r>
        <w:rPr>
          <w:rFonts w:ascii="Calibri" w:cs="Calibri" w:eastAsia="Calibri" w:hAnsi="Calibri"/>
          <w:sz w:val="17"/>
          <w:szCs w:val="17"/>
          <w:color w:val="auto"/>
        </w:rPr>
        <w:t>Spearheading the development of an aerospace and defense (A&amp;D) industry Supplier Renewable Energy Program that would support our supplier base to accelerate the adopton of renewable energy and thus reduce Scope 3 emissions across the sector. The program is designed to leverage the scale of a single industry’s global supply chain in a pre-compettve fashion to drive system-level change.</w:t>
      </w:r>
    </w:p>
    <w:p>
      <w:pPr>
        <w:spacing w:after="0" w:line="50" w:lineRule="exact"/>
        <w:rPr>
          <w:rFonts w:ascii="Calibri" w:cs="Calibri" w:eastAsia="Calibri" w:hAnsi="Calibri"/>
          <w:sz w:val="17"/>
          <w:szCs w:val="17"/>
          <w:color w:val="003478"/>
        </w:rPr>
      </w:pPr>
    </w:p>
    <w:p>
      <w:pPr>
        <w:ind w:left="340" w:hanging="159"/>
        <w:spacing w:after="0"/>
        <w:tabs>
          <w:tab w:leader="none" w:pos="340" w:val="left"/>
        </w:tabs>
        <w:numPr>
          <w:ilvl w:val="0"/>
          <w:numId w:val="115"/>
        </w:numPr>
        <w:rPr>
          <w:rFonts w:ascii="Calibri" w:cs="Calibri" w:eastAsia="Calibri" w:hAnsi="Calibri"/>
          <w:sz w:val="17"/>
          <w:szCs w:val="17"/>
          <w:color w:val="003478"/>
        </w:rPr>
      </w:pPr>
      <w:r>
        <w:rPr>
          <w:rFonts w:ascii="Calibri" w:cs="Calibri" w:eastAsia="Calibri" w:hAnsi="Calibri"/>
          <w:sz w:val="17"/>
          <w:szCs w:val="17"/>
          <w:color w:val="auto"/>
        </w:rPr>
        <w:t>Contnuing to develop products that reduce customer emissions. We are conductng contnued research, development, test and evaluaton related to</w:t>
      </w:r>
    </w:p>
    <w:p>
      <w:pPr>
        <w:spacing w:after="0" w:line="25" w:lineRule="exact"/>
        <w:rPr>
          <w:rFonts w:ascii="Calibri" w:cs="Calibri" w:eastAsia="Calibri" w:hAnsi="Calibri"/>
          <w:sz w:val="17"/>
          <w:szCs w:val="17"/>
          <w:color w:val="003478"/>
        </w:rPr>
      </w:pPr>
    </w:p>
    <w:p>
      <w:pPr>
        <w:ind w:left="340" w:right="160"/>
        <w:spacing w:after="0" w:line="245" w:lineRule="auto"/>
        <w:rPr>
          <w:rFonts w:ascii="Calibri" w:cs="Calibri" w:eastAsia="Calibri" w:hAnsi="Calibri"/>
          <w:sz w:val="17"/>
          <w:szCs w:val="17"/>
          <w:color w:val="003478"/>
        </w:rPr>
      </w:pPr>
      <w:r>
        <w:rPr>
          <w:rFonts w:ascii="Calibri" w:cs="Calibri" w:eastAsia="Calibri" w:hAnsi="Calibri"/>
          <w:sz w:val="17"/>
          <w:szCs w:val="17"/>
          <w:color w:val="auto"/>
        </w:rPr>
        <w:t>propulsion enhancements, including sustainable aviaton fuel use. For example, in March 2022, Lockheed Martn and partners successfully executed a commercial biofuel fight demonstraton of 1,500 miles using a Sikorsky S-92.</w:t>
      </w:r>
    </w:p>
    <w:p>
      <w:pPr>
        <w:spacing w:after="0" w:line="130" w:lineRule="exact"/>
        <w:rPr>
          <w:sz w:val="20"/>
          <w:szCs w:val="20"/>
          <w:color w:val="auto"/>
        </w:rPr>
      </w:pPr>
    </w:p>
    <w:p>
      <w:pPr>
        <w:ind w:left="100" w:right="40"/>
        <w:spacing w:after="0" w:line="245" w:lineRule="auto"/>
        <w:rPr>
          <w:sz w:val="20"/>
          <w:szCs w:val="20"/>
          <w:color w:val="auto"/>
        </w:rPr>
      </w:pPr>
      <w:r>
        <w:rPr>
          <w:rFonts w:ascii="Calibri" w:cs="Calibri" w:eastAsia="Calibri" w:hAnsi="Calibri"/>
          <w:sz w:val="17"/>
          <w:szCs w:val="17"/>
          <w:color w:val="auto"/>
        </w:rPr>
        <w:t>We intend to enhance our sustainability reportng this spring to provide more details about our reportng and our past, present, and future work related to Scope 3 GHG emissions management.</w:t>
      </w:r>
    </w:p>
    <w:p>
      <w:pPr>
        <w:spacing w:after="0" w:line="130" w:lineRule="exact"/>
        <w:rPr>
          <w:sz w:val="20"/>
          <w:szCs w:val="20"/>
          <w:color w:val="auto"/>
        </w:rPr>
      </w:pPr>
    </w:p>
    <w:p>
      <w:pPr>
        <w:ind w:left="100" w:right="280"/>
        <w:spacing w:after="0" w:line="245" w:lineRule="auto"/>
        <w:rPr>
          <w:sz w:val="20"/>
          <w:szCs w:val="20"/>
          <w:color w:val="auto"/>
        </w:rPr>
      </w:pPr>
      <w:r>
        <w:rPr>
          <w:rFonts w:ascii="Calibri" w:cs="Calibri" w:eastAsia="Calibri" w:hAnsi="Calibri"/>
          <w:sz w:val="17"/>
          <w:szCs w:val="17"/>
          <w:b w:val="1"/>
          <w:bCs w:val="1"/>
          <w:color w:val="auto"/>
        </w:rPr>
        <w:t>We are serious about climate change management and the reducton of our greenhouse gas (GHG) emissions, as demonstrated by our long-standing sustainability programs, forward-looking commitments and detailed actvity reportng.</w:t>
      </w:r>
    </w:p>
    <w:p>
      <w:pPr>
        <w:spacing w:after="0" w:line="130" w:lineRule="exact"/>
        <w:rPr>
          <w:sz w:val="20"/>
          <w:szCs w:val="20"/>
          <w:color w:val="auto"/>
        </w:rPr>
      </w:pPr>
    </w:p>
    <w:p>
      <w:pPr>
        <w:ind w:left="100" w:right="320"/>
        <w:spacing w:after="0" w:line="245" w:lineRule="auto"/>
        <w:rPr>
          <w:sz w:val="20"/>
          <w:szCs w:val="20"/>
          <w:color w:val="auto"/>
        </w:rPr>
      </w:pPr>
      <w:r>
        <w:rPr>
          <w:rFonts w:ascii="Calibri" w:cs="Calibri" w:eastAsia="Calibri" w:hAnsi="Calibri"/>
          <w:sz w:val="17"/>
          <w:szCs w:val="17"/>
          <w:color w:val="auto"/>
        </w:rPr>
        <w:t>For years, Lockheed Martn has been a sector and industry leader in the development of impactul, corporate-wide programs and processes to manage climate change risk and cost. Below are several examples of our actvites:</w:t>
      </w:r>
    </w:p>
    <w:p>
      <w:pPr>
        <w:spacing w:after="0" w:line="113" w:lineRule="exact"/>
        <w:rPr>
          <w:sz w:val="20"/>
          <w:szCs w:val="20"/>
          <w:color w:val="auto"/>
        </w:rPr>
      </w:pPr>
    </w:p>
    <w:p>
      <w:pPr>
        <w:ind w:left="340" w:hanging="159"/>
        <w:spacing w:after="0"/>
        <w:tabs>
          <w:tab w:leader="none" w:pos="340" w:val="left"/>
        </w:tabs>
        <w:numPr>
          <w:ilvl w:val="0"/>
          <w:numId w:val="116"/>
        </w:numPr>
        <w:rPr>
          <w:rFonts w:ascii="Calibri" w:cs="Calibri" w:eastAsia="Calibri" w:hAnsi="Calibri"/>
          <w:sz w:val="17"/>
          <w:szCs w:val="17"/>
          <w:color w:val="003478"/>
        </w:rPr>
      </w:pPr>
      <w:r>
        <w:rPr>
          <w:rFonts w:ascii="Calibri" w:cs="Calibri" w:eastAsia="Calibri" w:hAnsi="Calibri"/>
          <w:sz w:val="17"/>
          <w:szCs w:val="17"/>
          <w:color w:val="auto"/>
        </w:rPr>
        <w:t>In 2007, we established our Go Green program, through which we champion environmental stewardship and resource efciency across our facilites</w:t>
      </w:r>
    </w:p>
    <w:p>
      <w:pPr>
        <w:spacing w:after="0" w:line="25" w:lineRule="exact"/>
        <w:rPr>
          <w:rFonts w:ascii="Calibri" w:cs="Calibri" w:eastAsia="Calibri" w:hAnsi="Calibri"/>
          <w:sz w:val="17"/>
          <w:szCs w:val="17"/>
          <w:color w:val="003478"/>
        </w:rPr>
      </w:pPr>
    </w:p>
    <w:p>
      <w:pPr>
        <w:ind w:left="340" w:right="240"/>
        <w:spacing w:after="0" w:line="245" w:lineRule="auto"/>
        <w:rPr>
          <w:rFonts w:ascii="Calibri" w:cs="Calibri" w:eastAsia="Calibri" w:hAnsi="Calibri"/>
          <w:sz w:val="17"/>
          <w:szCs w:val="17"/>
          <w:color w:val="003478"/>
        </w:rPr>
      </w:pPr>
      <w:r>
        <w:rPr>
          <w:rFonts w:ascii="Calibri" w:cs="Calibri" w:eastAsia="Calibri" w:hAnsi="Calibri"/>
          <w:sz w:val="17"/>
          <w:szCs w:val="17"/>
          <w:color w:val="auto"/>
        </w:rPr>
        <w:t>worldwide. Since the incepton of the Go Green program, we have reduced carbon emissions by more than 50%, energy consumpton by almost 20% and waste-to-landfll output by nearly 50%.</w:t>
      </w:r>
    </w:p>
    <w:p>
      <w:pPr>
        <w:spacing w:after="0" w:line="75" w:lineRule="exact"/>
        <w:rPr>
          <w:rFonts w:ascii="Calibri" w:cs="Calibri" w:eastAsia="Calibri" w:hAnsi="Calibri"/>
          <w:sz w:val="17"/>
          <w:szCs w:val="17"/>
          <w:color w:val="003478"/>
        </w:rPr>
      </w:pPr>
    </w:p>
    <w:p>
      <w:pPr>
        <w:ind w:left="340" w:right="80" w:hanging="159"/>
        <w:spacing w:after="0" w:line="255" w:lineRule="auto"/>
        <w:tabs>
          <w:tab w:leader="none" w:pos="333" w:val="left"/>
        </w:tabs>
        <w:numPr>
          <w:ilvl w:val="0"/>
          <w:numId w:val="116"/>
        </w:numPr>
        <w:rPr>
          <w:rFonts w:ascii="Calibri" w:cs="Calibri" w:eastAsia="Calibri" w:hAnsi="Calibri"/>
          <w:sz w:val="17"/>
          <w:szCs w:val="17"/>
          <w:color w:val="003478"/>
        </w:rPr>
      </w:pPr>
      <w:r>
        <w:rPr>
          <w:rFonts w:ascii="Calibri" w:cs="Calibri" w:eastAsia="Calibri" w:hAnsi="Calibri"/>
          <w:sz w:val="17"/>
          <w:szCs w:val="17"/>
          <w:color w:val="auto"/>
        </w:rPr>
        <w:t>In 2010, we became the frst A&amp;D company, and one of the frst industrial-based companies, to report to the CDP (formerly known as the Carbon Disclosure Project) Climate Change questonnaire. This was followed by our establishment of a formal sustainability organizaton and publicaton of our frst sustainability report in 2012.</w:t>
      </w:r>
    </w:p>
    <w:p>
      <w:pPr>
        <w:spacing w:after="0" w:line="50" w:lineRule="exact"/>
        <w:rPr>
          <w:rFonts w:ascii="Calibri" w:cs="Calibri" w:eastAsia="Calibri" w:hAnsi="Calibri"/>
          <w:sz w:val="17"/>
          <w:szCs w:val="17"/>
          <w:color w:val="003478"/>
        </w:rPr>
      </w:pPr>
    </w:p>
    <w:p>
      <w:pPr>
        <w:ind w:left="340" w:hanging="159"/>
        <w:spacing w:after="0"/>
        <w:tabs>
          <w:tab w:leader="none" w:pos="340" w:val="left"/>
        </w:tabs>
        <w:numPr>
          <w:ilvl w:val="0"/>
          <w:numId w:val="116"/>
        </w:numPr>
        <w:rPr>
          <w:rFonts w:ascii="Calibri" w:cs="Calibri" w:eastAsia="Calibri" w:hAnsi="Calibri"/>
          <w:sz w:val="17"/>
          <w:szCs w:val="17"/>
          <w:color w:val="003478"/>
        </w:rPr>
      </w:pPr>
      <w:r>
        <w:rPr>
          <w:rFonts w:ascii="Calibri" w:cs="Calibri" w:eastAsia="Calibri" w:hAnsi="Calibri"/>
          <w:sz w:val="17"/>
          <w:szCs w:val="17"/>
          <w:color w:val="auto"/>
        </w:rPr>
        <w:t>In 2012, we initated the development of our methodologies to assess, calculate and disclose our Scope 3 emissions and engaged external experts to</w:t>
      </w:r>
    </w:p>
    <w:p>
      <w:pPr>
        <w:spacing w:after="0" w:line="25" w:lineRule="exact"/>
        <w:rPr>
          <w:rFonts w:ascii="Calibri" w:cs="Calibri" w:eastAsia="Calibri" w:hAnsi="Calibri"/>
          <w:sz w:val="17"/>
          <w:szCs w:val="17"/>
          <w:color w:val="003478"/>
        </w:rPr>
      </w:pPr>
    </w:p>
    <w:p>
      <w:pPr>
        <w:ind w:left="340" w:right="200"/>
        <w:spacing w:after="0" w:line="245" w:lineRule="auto"/>
        <w:rPr>
          <w:rFonts w:ascii="Calibri" w:cs="Calibri" w:eastAsia="Calibri" w:hAnsi="Calibri"/>
          <w:sz w:val="17"/>
          <w:szCs w:val="17"/>
          <w:color w:val="003478"/>
        </w:rPr>
      </w:pPr>
      <w:r>
        <w:rPr>
          <w:rFonts w:ascii="Calibri" w:cs="Calibri" w:eastAsia="Calibri" w:hAnsi="Calibri"/>
          <w:sz w:val="17"/>
          <w:szCs w:val="17"/>
          <w:color w:val="auto"/>
        </w:rPr>
        <w:t>assist us in this efort. We have worked contnually to refne and improve our Scope 3 emissions calculaton methodologies using available recognized standards in the years since.</w:t>
      </w:r>
    </w:p>
    <w:p>
      <w:pPr>
        <w:spacing w:after="0" w:line="75" w:lineRule="exact"/>
        <w:rPr>
          <w:rFonts w:ascii="Calibri" w:cs="Calibri" w:eastAsia="Calibri" w:hAnsi="Calibri"/>
          <w:sz w:val="17"/>
          <w:szCs w:val="17"/>
          <w:color w:val="003478"/>
        </w:rPr>
      </w:pPr>
    </w:p>
    <w:p>
      <w:pPr>
        <w:ind w:left="340" w:hanging="159"/>
        <w:spacing w:after="0" w:line="245" w:lineRule="auto"/>
        <w:tabs>
          <w:tab w:leader="none" w:pos="333" w:val="left"/>
        </w:tabs>
        <w:numPr>
          <w:ilvl w:val="0"/>
          <w:numId w:val="116"/>
        </w:numPr>
        <w:rPr>
          <w:rFonts w:ascii="Calibri" w:cs="Calibri" w:eastAsia="Calibri" w:hAnsi="Calibri"/>
          <w:sz w:val="17"/>
          <w:szCs w:val="17"/>
          <w:color w:val="003478"/>
        </w:rPr>
      </w:pPr>
      <w:r>
        <w:rPr>
          <w:rFonts w:ascii="Calibri" w:cs="Calibri" w:eastAsia="Calibri" w:hAnsi="Calibri"/>
          <w:sz w:val="17"/>
          <w:szCs w:val="17"/>
          <w:color w:val="auto"/>
        </w:rPr>
        <w:t>In 2020, we published our frst Climate-Related Risks and Opportunites report, which aligns with the Task Force on Climate-related Financial Disclosures (TCFD) recommendatons. We expect to publish an updated report in 2023.</w:t>
      </w:r>
    </w:p>
    <w:p>
      <w:pPr>
        <w:spacing w:after="0" w:line="62" w:lineRule="exact"/>
        <w:rPr>
          <w:rFonts w:ascii="Calibri" w:cs="Calibri" w:eastAsia="Calibri" w:hAnsi="Calibri"/>
          <w:sz w:val="17"/>
          <w:szCs w:val="17"/>
          <w:color w:val="003478"/>
        </w:rPr>
      </w:pPr>
    </w:p>
    <w:p>
      <w:pPr>
        <w:ind w:left="340" w:right="280" w:hanging="159"/>
        <w:spacing w:after="0" w:line="261" w:lineRule="auto"/>
        <w:tabs>
          <w:tab w:leader="none" w:pos="333" w:val="left"/>
        </w:tabs>
        <w:numPr>
          <w:ilvl w:val="0"/>
          <w:numId w:val="116"/>
        </w:numPr>
        <w:rPr>
          <w:rFonts w:ascii="Calibri" w:cs="Calibri" w:eastAsia="Calibri" w:hAnsi="Calibri"/>
          <w:sz w:val="17"/>
          <w:szCs w:val="17"/>
          <w:color w:val="003478"/>
        </w:rPr>
      </w:pPr>
      <w:r>
        <w:rPr>
          <w:rFonts w:ascii="Calibri" w:cs="Calibri" w:eastAsia="Calibri" w:hAnsi="Calibri"/>
          <w:sz w:val="17"/>
          <w:szCs w:val="17"/>
          <w:color w:val="auto"/>
        </w:rPr>
        <w:t>In 2022, we accelerated our existng goals, commitng to reduce absolute Scope 1 and 2 emissions by 36% by 2030 (as discussed on page 34), which builds on our long history of refreshing our GHG emission reducton targets.</w:t>
      </w:r>
    </w:p>
    <w:p>
      <w:pPr>
        <w:spacing w:after="0" w:line="48" w:lineRule="exact"/>
        <w:rPr>
          <w:sz w:val="20"/>
          <w:szCs w:val="20"/>
          <w:color w:val="auto"/>
        </w:rPr>
      </w:pPr>
    </w:p>
    <w:p>
      <w:pPr>
        <w:ind w:left="100" w:right="80"/>
        <w:spacing w:after="0" w:line="258" w:lineRule="auto"/>
        <w:rPr>
          <w:sz w:val="20"/>
          <w:szCs w:val="20"/>
          <w:color w:val="auto"/>
        </w:rPr>
      </w:pPr>
      <w:r>
        <w:rPr>
          <w:rFonts w:ascii="Calibri" w:cs="Calibri" w:eastAsia="Calibri" w:hAnsi="Calibri"/>
          <w:sz w:val="17"/>
          <w:szCs w:val="17"/>
          <w:color w:val="auto"/>
        </w:rPr>
        <w:t>Through our annual sustainability reports, we disclose progress towards our Scope 1 and 2 emission reducton goals. We also disclose details of our relevant Scope 3 emissions through our CDP Climate Change questonnaire and the ESG Performance Index, which are accessible on the ESG Portal on our sustainability website. Accordingly, we already produce annual reports detailing our programs and plans to achieve our emissions reducton targets and demonstratng our measured progress toward meetng emissions reductons goals. We also already disclose all relevant Scope 3 emissions informaton. As the proposal specifcally requests Scope 3 emissions disclosures and annual reports demonstratng progress towards meetng emissions reducton goals, these elements of the proposal are duplicatve and unnecessary.</w:t>
      </w:r>
    </w:p>
    <w:p>
      <w:pPr>
        <w:spacing w:after="0" w:line="145" w:lineRule="exact"/>
        <w:rPr>
          <w:sz w:val="20"/>
          <w:szCs w:val="20"/>
          <w:color w:val="auto"/>
        </w:rPr>
      </w:pPr>
    </w:p>
    <w:p>
      <w:pPr>
        <w:ind w:left="20"/>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407035</wp:posOffset>
            </wp:positionV>
            <wp:extent cx="1071880" cy="1797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96" w:name="page97"/>
    <w:bookmarkEnd w:id="96"/>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3"/>
          <w:szCs w:val="43"/>
          <w:color w:val="003478"/>
        </w:rPr>
        <w:t>Frequently Asked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4972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342" w:lineRule="exact"/>
        <w:rPr>
          <w:sz w:val="20"/>
          <w:szCs w:val="20"/>
          <w:color w:val="auto"/>
        </w:rPr>
      </w:pPr>
    </w:p>
    <w:p>
      <w:pPr>
        <w:ind w:left="100" w:right="860"/>
        <w:spacing w:after="0" w:line="244" w:lineRule="auto"/>
        <w:rPr>
          <w:sz w:val="20"/>
          <w:szCs w:val="20"/>
          <w:color w:val="auto"/>
        </w:rPr>
      </w:pPr>
      <w:r>
        <w:rPr>
          <w:rFonts w:ascii="Arial" w:cs="Arial" w:eastAsia="Arial" w:hAnsi="Arial"/>
          <w:sz w:val="25"/>
          <w:szCs w:val="25"/>
          <w:color w:val="003478"/>
        </w:rPr>
        <w:t xml:space="preserve">Your vote matters to us. </w:t>
      </w:r>
      <w:r>
        <w:rPr>
          <w:rFonts w:ascii="Calibri" w:cs="Calibri" w:eastAsia="Calibri" w:hAnsi="Calibri"/>
          <w:sz w:val="21"/>
          <w:szCs w:val="21"/>
          <w:color w:val="000000"/>
        </w:rPr>
        <w:t>We encourage all stockholders to vote on the proposals prior to the Annual Meetng in</w:t>
      </w:r>
      <w:r>
        <w:rPr>
          <w:rFonts w:ascii="Arial" w:cs="Arial" w:eastAsia="Arial" w:hAnsi="Arial"/>
          <w:sz w:val="25"/>
          <w:szCs w:val="25"/>
          <w:color w:val="003478"/>
        </w:rPr>
        <w:t xml:space="preserve"> </w:t>
      </w:r>
      <w:r>
        <w:rPr>
          <w:rFonts w:ascii="Calibri" w:cs="Calibri" w:eastAsia="Calibri" w:hAnsi="Calibri"/>
          <w:sz w:val="21"/>
          <w:szCs w:val="21"/>
          <w:color w:val="000000"/>
        </w:rPr>
        <w:t>accordance with the instructons that you receive with your proxy materials.</w:t>
      </w: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color w:val="003478"/>
        </w:rPr>
        <w:t>Voting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818EB4"/>
        </w:rPr>
        <w:t>Who is entitled to vote?</w:t>
      </w:r>
    </w:p>
    <w:p>
      <w:pPr>
        <w:spacing w:after="0" w:line="111" w:lineRule="exact"/>
        <w:rPr>
          <w:sz w:val="20"/>
          <w:szCs w:val="20"/>
          <w:color w:val="auto"/>
        </w:rPr>
      </w:pPr>
    </w:p>
    <w:p>
      <w:pPr>
        <w:ind w:right="20"/>
        <w:spacing w:after="0" w:line="255" w:lineRule="auto"/>
        <w:rPr>
          <w:sz w:val="20"/>
          <w:szCs w:val="20"/>
          <w:color w:val="auto"/>
        </w:rPr>
      </w:pPr>
      <w:r>
        <w:rPr>
          <w:rFonts w:ascii="Calibri" w:cs="Calibri" w:eastAsia="Calibri" w:hAnsi="Calibri"/>
          <w:sz w:val="17"/>
          <w:szCs w:val="17"/>
          <w:color w:val="auto"/>
        </w:rPr>
        <w:t>All holders of our common stock (Stockholders) at the close of business on February 24, 2023 (the Record Date) are enttled to vote their shares. This includes registered stockholders, Company savings plan partcipants and benefcial owners. As of the Record Date, there were 254,518,944 shares issued and outstanding. The common stock is the only class of securites enttled to vote at the meetng and each outstanding share enttles its holder to one vote.</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color w:val="818EB4"/>
        </w:rPr>
        <w:t>How do I vote?</w:t>
      </w:r>
    </w:p>
    <w:p>
      <w:pPr>
        <w:spacing w:after="0" w:line="97" w:lineRule="exact"/>
        <w:rPr>
          <w:sz w:val="20"/>
          <w:szCs w:val="20"/>
          <w:color w:val="auto"/>
        </w:rPr>
      </w:pPr>
    </w:p>
    <w:p>
      <w:pPr>
        <w:ind w:right="40"/>
        <w:spacing w:after="0" w:line="258" w:lineRule="auto"/>
        <w:rPr>
          <w:sz w:val="20"/>
          <w:szCs w:val="20"/>
          <w:color w:val="auto"/>
        </w:rPr>
      </w:pPr>
      <w:r>
        <w:rPr>
          <w:rFonts w:ascii="Calibri" w:cs="Calibri" w:eastAsia="Calibri" w:hAnsi="Calibri"/>
          <w:sz w:val="17"/>
          <w:szCs w:val="17"/>
          <w:color w:val="auto"/>
        </w:rPr>
        <w:t>The following table indicates the applicable votng methods for each type of share ownership prior to the meetng. See “How do I know what type of share ownership I have” below for more informaton on the types of share ownership. For informaton on how to vote during the Annual Meetng, see “How do I partcipate and vote in the Annual Meetng?” If you hold shares in multple accounts, you may receive multple proxy material packages (electronically and/or by mail). Please be sure to vote all of your Lockheed Martn shares in each of your accounts in accordance with the votng instructons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6995160" cy="1454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p>
      <w:pPr>
        <w:spacing w:after="0" w:line="183" w:lineRule="exact"/>
        <w:rPr>
          <w:sz w:val="20"/>
          <w:szCs w:val="20"/>
          <w:color w:val="auto"/>
        </w:rPr>
      </w:pPr>
    </w:p>
    <w:p>
      <w:pPr>
        <w:ind w:left="20"/>
        <w:spacing w:after="0"/>
        <w:rPr>
          <w:sz w:val="20"/>
          <w:szCs w:val="20"/>
          <w:color w:val="auto"/>
        </w:rPr>
      </w:pPr>
      <w:r>
        <w:rPr>
          <w:rFonts w:ascii="Arial" w:cs="Arial" w:eastAsia="Arial" w:hAnsi="Arial"/>
          <w:sz w:val="13"/>
          <w:szCs w:val="13"/>
          <w:color w:val="auto"/>
        </w:rPr>
        <w:t>Voting Methods</w:t>
      </w:r>
    </w:p>
    <w:p>
      <w:pPr>
        <w:spacing w:after="0" w:line="42" w:lineRule="exact"/>
        <w:rPr>
          <w:sz w:val="20"/>
          <w:szCs w:val="20"/>
          <w:color w:val="auto"/>
        </w:rPr>
      </w:pPr>
    </w:p>
    <w:p>
      <w:pPr>
        <w:ind w:left="660"/>
        <w:spacing w:after="0"/>
        <w:rPr>
          <w:sz w:val="20"/>
          <w:szCs w:val="20"/>
          <w:color w:val="auto"/>
        </w:rPr>
      </w:pPr>
      <w:r>
        <w:rPr>
          <w:rFonts w:ascii="Calibri" w:cs="Calibri" w:eastAsia="Calibri" w:hAnsi="Calibri"/>
          <w:sz w:val="14"/>
          <w:szCs w:val="14"/>
          <w:color w:val="auto"/>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92849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-64135</wp:posOffset>
            </wp:positionV>
            <wp:extent cx="257175" cy="2571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ind w:left="660"/>
        <w:spacing w:after="0" w:line="208" w:lineRule="auto"/>
        <w:rPr>
          <w:sz w:val="20"/>
          <w:szCs w:val="20"/>
          <w:color w:val="auto"/>
        </w:rPr>
      </w:pPr>
      <w:r>
        <w:rPr>
          <w:rFonts w:ascii="Calibri" w:cs="Calibri" w:eastAsia="Calibri" w:hAnsi="Calibri"/>
          <w:sz w:val="14"/>
          <w:szCs w:val="14"/>
          <w:color w:val="auto"/>
        </w:rPr>
        <w:t>(Recommended)</w:t>
      </w:r>
    </w:p>
    <w:p>
      <w:pPr>
        <w:spacing w:after="0" w:line="315" w:lineRule="exact"/>
        <w:rPr>
          <w:sz w:val="20"/>
          <w:szCs w:val="20"/>
          <w:color w:val="auto"/>
        </w:rPr>
      </w:pPr>
    </w:p>
    <w:p>
      <w:pPr>
        <w:ind w:left="660"/>
        <w:spacing w:after="0"/>
        <w:rPr>
          <w:sz w:val="20"/>
          <w:szCs w:val="20"/>
          <w:color w:val="auto"/>
        </w:rPr>
      </w:pPr>
      <w:r>
        <w:rPr>
          <w:rFonts w:ascii="Calibri" w:cs="Calibri" w:eastAsia="Calibri" w:hAnsi="Calibri"/>
          <w:sz w:val="14"/>
          <w:szCs w:val="14"/>
          <w:color w:val="auto"/>
        </w:rPr>
        <w:t>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9284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-38100</wp:posOffset>
            </wp:positionV>
            <wp:extent cx="214630" cy="3257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46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Calibri" w:cs="Calibri" w:eastAsia="Calibri" w:hAnsi="Calibri"/>
          <w:sz w:val="14"/>
          <w:szCs w:val="14"/>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928495" cy="291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928495" cy="29146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Calibri" w:cs="Calibri" w:eastAsia="Calibri" w:hAnsi="Calibri"/>
          <w:sz w:val="14"/>
          <w:szCs w:val="14"/>
          <w:color w:val="auto"/>
        </w:rPr>
        <w:t>At the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192849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1928495" cy="291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92849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56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Registered Stockholder</w:t>
            </w:r>
          </w:p>
        </w:tc>
        <w:tc>
          <w:tcPr>
            <w:tcW w:w="100" w:type="dxa"/>
            <w:vAlign w:val="bottom"/>
          </w:tcPr>
          <w:p>
            <w:pPr>
              <w:spacing w:after="0"/>
              <w:rPr>
                <w:sz w:val="17"/>
                <w:szCs w:val="17"/>
                <w:color w:val="auto"/>
              </w:rPr>
            </w:pPr>
          </w:p>
        </w:tc>
        <w:tc>
          <w:tcPr>
            <w:tcW w:w="256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Savings Plan Participant</w:t>
            </w:r>
          </w:p>
        </w:tc>
      </w:tr>
      <w:tr>
        <w:trPr>
          <w:trHeight w:val="20"/>
        </w:trPr>
        <w:tc>
          <w:tcPr>
            <w:tcW w:w="2560" w:type="dxa"/>
            <w:vAlign w:val="bottom"/>
            <w:shd w:val="clear" w:color="auto" w:fill="003478"/>
          </w:tcPr>
          <w:p>
            <w:pPr>
              <w:spacing w:after="0" w:line="20" w:lineRule="exact"/>
              <w:rPr>
                <w:sz w:val="1"/>
                <w:szCs w:val="1"/>
                <w:color w:val="auto"/>
              </w:rPr>
            </w:pPr>
          </w:p>
        </w:tc>
        <w:tc>
          <w:tcPr>
            <w:tcW w:w="100" w:type="dxa"/>
            <w:vAlign w:val="bottom"/>
            <w:shd w:val="clear" w:color="auto" w:fill="003478"/>
          </w:tcPr>
          <w:p>
            <w:pPr>
              <w:spacing w:after="0" w:line="20" w:lineRule="exact"/>
              <w:rPr>
                <w:sz w:val="1"/>
                <w:szCs w:val="1"/>
                <w:color w:val="auto"/>
              </w:rPr>
            </w:pPr>
          </w:p>
        </w:tc>
        <w:tc>
          <w:tcPr>
            <w:tcW w:w="2560" w:type="dxa"/>
            <w:vAlign w:val="bottom"/>
            <w:shd w:val="clear" w:color="auto" w:fill="003478"/>
          </w:tcPr>
          <w:p>
            <w:pPr>
              <w:spacing w:after="0" w:line="20" w:lineRule="exact"/>
              <w:rPr>
                <w:sz w:val="1"/>
                <w:szCs w:val="1"/>
                <w:color w:val="auto"/>
              </w:rPr>
            </w:pPr>
          </w:p>
        </w:tc>
      </w:tr>
    </w:tbl>
    <w:p>
      <w:pPr>
        <w:spacing w:after="0" w:line="12"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Visit www.investorvote.com/LMT</w:t>
      </w:r>
    </w:p>
    <w:p>
      <w:pPr>
        <w:spacing w:after="0" w:line="18"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Enter the Control Number printed on your proxy form.</w:t>
      </w:r>
    </w:p>
    <w:p>
      <w:pPr>
        <w:spacing w:after="0" w:line="18"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Available twenty four hours a day, seven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331724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67" w:lineRule="exact"/>
        <w:rPr>
          <w:sz w:val="20"/>
          <w:szCs w:val="20"/>
          <w:color w:val="auto"/>
        </w:rPr>
      </w:pPr>
    </w:p>
    <w:p>
      <w:pPr>
        <w:jc w:val="center"/>
        <w:ind w:left="-19" w:right="140"/>
        <w:spacing w:after="0" w:line="264" w:lineRule="auto"/>
        <w:rPr>
          <w:sz w:val="20"/>
          <w:szCs w:val="20"/>
          <w:color w:val="auto"/>
        </w:rPr>
      </w:pPr>
      <w:r>
        <w:rPr>
          <w:rFonts w:ascii="Calibri" w:cs="Calibri" w:eastAsia="Calibri" w:hAnsi="Calibri"/>
          <w:sz w:val="14"/>
          <w:szCs w:val="14"/>
          <w:color w:val="auto"/>
        </w:rPr>
        <w:t>Call toll free 1-800-652-8683 in the U.S., Canada and Puerto Rico; or 1-781-575-2300 from other locatons. Have your control number available. Available twenty four hours a day, seven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331724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Complete, sign, date and return your proxy or votng instructon card in the mail. It must</w:t>
      </w:r>
    </w:p>
    <w:p>
      <w:pPr>
        <w:spacing w:after="0" w:line="18"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be received prior to your applicable votng deadline.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Borders>
              <w:top w:val="single" w:sz="8" w:color="939598"/>
            </w:tcBorders>
          </w:tcPr>
          <w:p>
            <w:pPr>
              <w:jc w:val="center"/>
              <w:ind w:right="428"/>
              <w:spacing w:after="0"/>
              <w:rPr>
                <w:sz w:val="20"/>
                <w:szCs w:val="20"/>
                <w:color w:val="auto"/>
              </w:rPr>
            </w:pPr>
            <w:r>
              <w:rPr>
                <w:rFonts w:ascii="Calibri" w:cs="Calibri" w:eastAsia="Calibri" w:hAnsi="Calibri"/>
                <w:sz w:val="14"/>
                <w:szCs w:val="14"/>
                <w:color w:val="auto"/>
              </w:rPr>
              <w:t>Yes</w:t>
            </w:r>
          </w:p>
        </w:tc>
        <w:tc>
          <w:tcPr>
            <w:tcW w:w="2160" w:type="dxa"/>
            <w:vAlign w:val="bottom"/>
            <w:tcBorders>
              <w:top w:val="single" w:sz="8" w:color="939598"/>
            </w:tcBorders>
          </w:tcPr>
          <w:p>
            <w:pPr>
              <w:ind w:left="800"/>
              <w:spacing w:after="0"/>
              <w:rPr>
                <w:sz w:val="20"/>
                <w:szCs w:val="20"/>
                <w:color w:val="auto"/>
              </w:rPr>
            </w:pPr>
            <w:r>
              <w:rPr>
                <w:rFonts w:ascii="Calibri" w:cs="Calibri" w:eastAsia="Calibri" w:hAnsi="Calibri"/>
                <w:sz w:val="14"/>
                <w:szCs w:val="14"/>
                <w:color w:val="auto"/>
              </w:rPr>
              <w:t>No</w:t>
            </w:r>
          </w:p>
        </w:tc>
      </w:tr>
      <w:tr>
        <w:trPr>
          <w:trHeight w:val="189"/>
        </w:trPr>
        <w:tc>
          <w:tcPr>
            <w:tcW w:w="3060" w:type="dxa"/>
            <w:vAlign w:val="bottom"/>
          </w:tcPr>
          <w:p>
            <w:pPr>
              <w:jc w:val="center"/>
              <w:ind w:right="428"/>
              <w:spacing w:after="0"/>
              <w:rPr>
                <w:sz w:val="20"/>
                <w:szCs w:val="20"/>
                <w:color w:val="auto"/>
              </w:rPr>
            </w:pPr>
            <w:r>
              <w:rPr>
                <w:rFonts w:ascii="Calibri" w:cs="Calibri" w:eastAsia="Calibri" w:hAnsi="Calibri"/>
                <w:sz w:val="14"/>
                <w:szCs w:val="14"/>
                <w:color w:val="auto"/>
              </w:rPr>
              <w:t>See page 95 for more informaton</w:t>
            </w:r>
          </w:p>
        </w:tc>
        <w:tc>
          <w:tcPr>
            <w:tcW w:w="2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331724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27940</wp:posOffset>
            </wp:positionV>
            <wp:extent cx="162877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40"/>
        <w:spacing w:after="0" w:line="265" w:lineRule="auto"/>
        <w:rPr>
          <w:sz w:val="20"/>
          <w:szCs w:val="20"/>
          <w:color w:val="auto"/>
        </w:rPr>
      </w:pPr>
      <w:r>
        <w:rPr>
          <w:rFonts w:ascii="Calibri" w:cs="Calibri" w:eastAsia="Calibri" w:hAnsi="Calibri"/>
          <w:sz w:val="14"/>
          <w:szCs w:val="14"/>
          <w:color w:val="auto"/>
        </w:rPr>
        <w:t>Follow the instructons received from your broker, bank, or other nominee. We expect the vast majority of benefcial owners will be able to vote by Internet, phone, mail or at the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541655</wp:posOffset>
            </wp:positionV>
            <wp:extent cx="162877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43" w:lineRule="exact"/>
        <w:rPr>
          <w:sz w:val="20"/>
          <w:szCs w:val="20"/>
          <w:color w:val="auto"/>
        </w:rPr>
      </w:pPr>
    </w:p>
    <w:p>
      <w:pPr>
        <w:sectPr>
          <w:pgSz w:w="11900" w:h="16838" w:orient="portrait"/>
          <w:cols w:equalWidth="0" w:num="3">
            <w:col w:w="2420" w:space="720"/>
            <w:col w:w="5220" w:space="120"/>
            <w:col w:w="2740"/>
          </w:cols>
          <w:pgMar w:left="320" w:top="230" w:right="35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818EB4"/>
        </w:rPr>
        <w:t>How do I know what type of share ownership I have?</w:t>
      </w:r>
    </w:p>
    <w:p>
      <w:pPr>
        <w:spacing w:after="0" w:line="97" w:lineRule="exact"/>
        <w:rPr>
          <w:sz w:val="20"/>
          <w:szCs w:val="20"/>
          <w:color w:val="auto"/>
        </w:rPr>
      </w:pPr>
    </w:p>
    <w:p>
      <w:pPr>
        <w:ind w:right="260"/>
        <w:spacing w:after="0" w:line="245" w:lineRule="auto"/>
        <w:rPr>
          <w:sz w:val="20"/>
          <w:szCs w:val="20"/>
          <w:color w:val="auto"/>
        </w:rPr>
      </w:pPr>
      <w:r>
        <w:rPr>
          <w:rFonts w:ascii="Calibri" w:cs="Calibri" w:eastAsia="Calibri" w:hAnsi="Calibri"/>
          <w:sz w:val="17"/>
          <w:szCs w:val="17"/>
          <w:color w:val="auto"/>
        </w:rPr>
        <w:t>The table below provides descriptons of the diferent share ownership types, which are referenced throughout these FAQs. If you have multple accounts, you may hold shares via multple methods. If you have additonal questons, contact the entty from which you received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15175" cy="1460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Registered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23317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04" w:lineRule="exact"/>
        <w:rPr>
          <w:sz w:val="20"/>
          <w:szCs w:val="20"/>
          <w:color w:val="auto"/>
        </w:rPr>
      </w:pPr>
    </w:p>
    <w:p>
      <w:pPr>
        <w:ind w:left="20"/>
        <w:spacing w:after="0" w:line="264" w:lineRule="auto"/>
        <w:rPr>
          <w:sz w:val="20"/>
          <w:szCs w:val="20"/>
          <w:color w:val="auto"/>
        </w:rPr>
      </w:pPr>
      <w:r>
        <w:rPr>
          <w:rFonts w:ascii="Calibri" w:cs="Calibri" w:eastAsia="Calibri" w:hAnsi="Calibri"/>
          <w:sz w:val="14"/>
          <w:szCs w:val="14"/>
          <w:color w:val="auto"/>
        </w:rPr>
        <w:t>Your shares are registered directly in your name with the Company’s transfer agent, Computershare Trust Company, N.A. (“Computershare”).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33172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Savings Plan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27940</wp:posOffset>
            </wp:positionV>
            <wp:extent cx="23317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0" w:lineRule="exact"/>
        <w:rPr>
          <w:sz w:val="20"/>
          <w:szCs w:val="20"/>
          <w:color w:val="auto"/>
        </w:rPr>
      </w:pPr>
    </w:p>
    <w:p>
      <w:pPr>
        <w:spacing w:after="0" w:line="264" w:lineRule="auto"/>
        <w:rPr>
          <w:sz w:val="20"/>
          <w:szCs w:val="20"/>
          <w:color w:val="auto"/>
        </w:rPr>
      </w:pPr>
      <w:r>
        <w:rPr>
          <w:rFonts w:ascii="Calibri" w:cs="Calibri" w:eastAsia="Calibri" w:hAnsi="Calibri"/>
          <w:sz w:val="14"/>
          <w:szCs w:val="14"/>
          <w:color w:val="auto"/>
        </w:rPr>
        <w:t>Your shares are allocated to a Company savings plan account, such as a 401(k) or other defned contributon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215900</wp:posOffset>
            </wp:positionV>
            <wp:extent cx="233172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27940</wp:posOffset>
            </wp:positionV>
            <wp:extent cx="23317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0" w:lineRule="exact"/>
        <w:rPr>
          <w:sz w:val="20"/>
          <w:szCs w:val="20"/>
          <w:color w:val="auto"/>
        </w:rPr>
      </w:pPr>
    </w:p>
    <w:p>
      <w:pPr>
        <w:ind w:right="40"/>
        <w:spacing w:after="0" w:line="264" w:lineRule="auto"/>
        <w:rPr>
          <w:sz w:val="20"/>
          <w:szCs w:val="20"/>
          <w:color w:val="auto"/>
        </w:rPr>
      </w:pPr>
      <w:r>
        <w:rPr>
          <w:rFonts w:ascii="Calibri" w:cs="Calibri" w:eastAsia="Calibri" w:hAnsi="Calibri"/>
          <w:sz w:val="14"/>
          <w:szCs w:val="14"/>
          <w:color w:val="auto"/>
        </w:rPr>
        <w:t>Your shares are held in a stock brokerage account or by a bank or another nominee and registered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215900</wp:posOffset>
            </wp:positionV>
            <wp:extent cx="233172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41" w:lineRule="exact"/>
        <w:rPr>
          <w:sz w:val="20"/>
          <w:szCs w:val="20"/>
          <w:color w:val="auto"/>
        </w:rPr>
      </w:pPr>
    </w:p>
    <w:p>
      <w:pPr>
        <w:sectPr>
          <w:pgSz w:w="11900" w:h="16838" w:orient="portrait"/>
          <w:cols w:equalWidth="0" w:num="3">
            <w:col w:w="3420" w:space="380"/>
            <w:col w:w="3560" w:space="200"/>
            <w:col w:w="3660"/>
          </w:cols>
          <w:pgMar w:left="320" w:top="230" w:right="35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Frequently Asked Questions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818EB4"/>
        </w:rPr>
        <w:t>How will I receive the proxy voting materials and what materials should I expect to receive?</w:t>
      </w:r>
    </w:p>
    <w:p>
      <w:pPr>
        <w:spacing w:after="0" w:line="97" w:lineRule="exact"/>
        <w:rPr>
          <w:sz w:val="20"/>
          <w:szCs w:val="20"/>
          <w:color w:val="auto"/>
        </w:rPr>
      </w:pPr>
    </w:p>
    <w:p>
      <w:pPr>
        <w:ind w:right="200"/>
        <w:spacing w:after="0" w:line="256" w:lineRule="auto"/>
        <w:rPr>
          <w:sz w:val="20"/>
          <w:szCs w:val="20"/>
          <w:color w:val="auto"/>
        </w:rPr>
      </w:pPr>
      <w:r>
        <w:rPr>
          <w:rFonts w:ascii="Calibri" w:cs="Calibri" w:eastAsia="Calibri" w:hAnsi="Calibri"/>
          <w:sz w:val="17"/>
          <w:szCs w:val="17"/>
          <w:color w:val="auto"/>
        </w:rPr>
        <w:t>We are furnishing proxy materials to our stockholders primarily via “Notce and Access” delivery pursuant to SEC rules. On or about March 14, 2023, we mailed to our stockholders (other than those who previously requested a printed set) a “Notce Regarding the Availability of Proxy Materials” containing instructons on how to access the proxy materials via the Internet. This method of proxy delivery reduces the cost of producing and mailing the full set of proxy materials and helps us contribute to sustainable environmental practces and we encourage you to sign up for electronic delivery. Stockholders who previously consented to electronic delivery and certain savings plan partcipants will receive their proxy materials via email. Most actve employees who partcipate in the Company’s savings plans will receive an email notfcaton announcing Internet availability of the proxy materials. A paper copy will not be provided unless requested by the employee following the instructon in the email notfcaton.</w:t>
      </w:r>
    </w:p>
    <w:p>
      <w:pPr>
        <w:spacing w:after="0" w:line="111" w:lineRule="exact"/>
        <w:rPr>
          <w:sz w:val="20"/>
          <w:szCs w:val="20"/>
          <w:color w:val="auto"/>
        </w:rPr>
      </w:pPr>
    </w:p>
    <w:p>
      <w:pPr>
        <w:ind w:right="40"/>
        <w:spacing w:after="0" w:line="258" w:lineRule="auto"/>
        <w:rPr>
          <w:sz w:val="20"/>
          <w:szCs w:val="20"/>
          <w:color w:val="auto"/>
        </w:rPr>
      </w:pPr>
      <w:r>
        <w:rPr>
          <w:rFonts w:ascii="Calibri" w:cs="Calibri" w:eastAsia="Calibri" w:hAnsi="Calibri"/>
          <w:sz w:val="17"/>
          <w:szCs w:val="17"/>
          <w:color w:val="auto"/>
        </w:rPr>
        <w:t xml:space="preserve">The Proxy Statement and Annual Report are available to the public at </w:t>
      </w:r>
      <w:r>
        <w:rPr>
          <w:rFonts w:ascii="Calibri" w:cs="Calibri" w:eastAsia="Calibri" w:hAnsi="Calibri"/>
          <w:sz w:val="17"/>
          <w:szCs w:val="17"/>
          <w:i w:val="1"/>
          <w:iCs w:val="1"/>
          <w:color w:val="auto"/>
        </w:rPr>
        <w:t>www.edocumentview.com/LMT</w:t>
      </w:r>
      <w:r>
        <w:rPr>
          <w:rFonts w:ascii="Calibri" w:cs="Calibri" w:eastAsia="Calibri" w:hAnsi="Calibri"/>
          <w:sz w:val="17"/>
          <w:szCs w:val="17"/>
          <w:color w:val="auto"/>
        </w:rPr>
        <w:t xml:space="preserve"> or </w:t>
      </w:r>
      <w:r>
        <w:rPr>
          <w:rFonts w:ascii="Calibri" w:cs="Calibri" w:eastAsia="Calibri" w:hAnsi="Calibri"/>
          <w:sz w:val="17"/>
          <w:szCs w:val="17"/>
          <w:i w:val="1"/>
          <w:iCs w:val="1"/>
          <w:color w:val="auto"/>
        </w:rPr>
        <w:t>www.lockheedmartn.com/investor.</w:t>
      </w:r>
      <w:r>
        <w:rPr>
          <w:rFonts w:ascii="Calibri" w:cs="Calibri" w:eastAsia="Calibri" w:hAnsi="Calibri"/>
          <w:sz w:val="17"/>
          <w:szCs w:val="17"/>
          <w:color w:val="auto"/>
        </w:rPr>
        <w:t xml:space="preserve"> The SEC also maintains a website at </w:t>
      </w:r>
      <w:r>
        <w:rPr>
          <w:rFonts w:ascii="Calibri" w:cs="Calibri" w:eastAsia="Calibri" w:hAnsi="Calibri"/>
          <w:sz w:val="17"/>
          <w:szCs w:val="17"/>
          <w:i w:val="1"/>
          <w:iCs w:val="1"/>
          <w:color w:val="auto"/>
        </w:rPr>
        <w:t>www.sec.gov</w:t>
      </w:r>
      <w:r>
        <w:rPr>
          <w:rFonts w:ascii="Calibri" w:cs="Calibri" w:eastAsia="Calibri" w:hAnsi="Calibri"/>
          <w:sz w:val="17"/>
          <w:szCs w:val="17"/>
          <w:color w:val="auto"/>
        </w:rPr>
        <w:t xml:space="preserve"> that contains reports, proxy statements and other informaton regarding Lockheed Martn. If you are a registered stockholder and would like to receive electronic copies of the proxy materials in the future, you may visit </w:t>
      </w:r>
      <w:r>
        <w:rPr>
          <w:rFonts w:ascii="Calibri" w:cs="Calibri" w:eastAsia="Calibri" w:hAnsi="Calibri"/>
          <w:sz w:val="17"/>
          <w:szCs w:val="17"/>
          <w:i w:val="1"/>
          <w:iCs w:val="1"/>
          <w:color w:val="auto"/>
        </w:rPr>
        <w:t>www.lockheedmartn.com/investor</w:t>
      </w:r>
      <w:r>
        <w:rPr>
          <w:rFonts w:ascii="Calibri" w:cs="Calibri" w:eastAsia="Calibri" w:hAnsi="Calibri"/>
          <w:sz w:val="17"/>
          <w:szCs w:val="17"/>
          <w:color w:val="auto"/>
        </w:rPr>
        <w:t xml:space="preserve"> and complete the online consent form under the “Shareholder Services” secton. Requests for electronic copies will remain in efect for all future proxy votng materials, including the Annual Report, unless withdrawn. Withdrawal procedures are also available at </w:t>
      </w:r>
      <w:r>
        <w:rPr>
          <w:rFonts w:ascii="Calibri" w:cs="Calibri" w:eastAsia="Calibri" w:hAnsi="Calibri"/>
          <w:sz w:val="17"/>
          <w:szCs w:val="17"/>
          <w:i w:val="1"/>
          <w:iCs w:val="1"/>
          <w:color w:val="auto"/>
        </w:rPr>
        <w:t>www.lockheedmartn.com/investor</w:t>
      </w:r>
      <w:r>
        <w:rPr>
          <w:rFonts w:ascii="Calibri" w:cs="Calibri" w:eastAsia="Calibri" w:hAnsi="Calibri"/>
          <w:sz w:val="17"/>
          <w:szCs w:val="17"/>
          <w:color w:val="auto"/>
        </w:rPr>
        <w:t>. If you are a benefcial owner, contact your broker, bank or other nominee for informaton on electronic delivery of proxy materials.</w:t>
      </w:r>
    </w:p>
    <w:p>
      <w:pPr>
        <w:spacing w:after="0" w:line="106" w:lineRule="exact"/>
        <w:rPr>
          <w:sz w:val="20"/>
          <w:szCs w:val="20"/>
          <w:color w:val="auto"/>
        </w:rPr>
      </w:pPr>
    </w:p>
    <w:p>
      <w:pPr>
        <w:ind w:right="140"/>
        <w:spacing w:after="0" w:line="253" w:lineRule="auto"/>
        <w:rPr>
          <w:sz w:val="20"/>
          <w:szCs w:val="20"/>
          <w:color w:val="auto"/>
        </w:rPr>
      </w:pPr>
      <w:r>
        <w:rPr>
          <w:rFonts w:ascii="Calibri" w:cs="Calibri" w:eastAsia="Calibri" w:hAnsi="Calibri"/>
          <w:sz w:val="17"/>
          <w:szCs w:val="17"/>
          <w:color w:val="auto"/>
        </w:rPr>
        <w:t xml:space="preserve">We also will provide a copy of our Proxy Statement and Annual Report without charge, upon writen request, to any registered or benefcial owner of common stock enttled to vote at the Annual Meetng. Requests can be made in writng addressed to Investor Relatons, Lockheed Martn Corporaton, 6801 Rockledge Drive, Bethesda, MD 20817; by calling Lockheed Martn Stockholder Direct at 1-800-568-9758; or by accessing the Company’s website at </w:t>
      </w:r>
      <w:r>
        <w:rPr>
          <w:rFonts w:ascii="Calibri" w:cs="Calibri" w:eastAsia="Calibri" w:hAnsi="Calibri"/>
          <w:sz w:val="17"/>
          <w:szCs w:val="17"/>
          <w:i w:val="1"/>
          <w:iCs w:val="1"/>
          <w:color w:val="auto"/>
        </w:rPr>
        <w:t>www.lockheedmartn.com/investor.</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818EB4"/>
        </w:rPr>
        <w:t>How do you handle “householding”?</w:t>
      </w:r>
    </w:p>
    <w:p>
      <w:pPr>
        <w:spacing w:after="0" w:line="97" w:lineRule="exact"/>
        <w:rPr>
          <w:sz w:val="20"/>
          <w:szCs w:val="20"/>
          <w:color w:val="auto"/>
        </w:rPr>
      </w:pPr>
    </w:p>
    <w:p>
      <w:pPr>
        <w:spacing w:after="0" w:line="255" w:lineRule="auto"/>
        <w:rPr>
          <w:sz w:val="20"/>
          <w:szCs w:val="20"/>
          <w:color w:val="auto"/>
        </w:rPr>
      </w:pPr>
      <w:r>
        <w:rPr>
          <w:rFonts w:ascii="Calibri" w:cs="Calibri" w:eastAsia="Calibri" w:hAnsi="Calibri"/>
          <w:sz w:val="17"/>
          <w:szCs w:val="17"/>
          <w:color w:val="auto"/>
        </w:rPr>
        <w:t>Our Company has adopted a procedure approved by the SEC called “householding.” Under this procedure, we send a single hard copy of the Notce of Internet Availability or, if you requested full printed versions by mail, only one hard copy Proxy Statement and one hard copy Annual Report to eligible stockholders who share the same address, unless we have received instructons to the contrary from any stockholder at that address. Eligible stockholders who partcipate in householding will contnue to receive separate proxy cards. This practce is designed to reduce our Company’s printng and postage costs. We do not use householding for any other stockholder mailings, such as dividend checks, IRS Forms 1099 or account statements. If you are a benefcial owner, please contact your broker, bank or other nominee to inquire about any specifc householding procedure.</w:t>
      </w:r>
    </w:p>
    <w:p>
      <w:pPr>
        <w:spacing w:after="0" w:line="122" w:lineRule="exact"/>
        <w:rPr>
          <w:sz w:val="20"/>
          <w:szCs w:val="20"/>
          <w:color w:val="auto"/>
        </w:rPr>
      </w:pPr>
    </w:p>
    <w:p>
      <w:pPr>
        <w:ind w:right="40"/>
        <w:spacing w:after="0" w:line="252" w:lineRule="auto"/>
        <w:rPr>
          <w:sz w:val="20"/>
          <w:szCs w:val="20"/>
          <w:color w:val="auto"/>
        </w:rPr>
      </w:pPr>
      <w:r>
        <w:rPr>
          <w:rFonts w:ascii="Calibri" w:cs="Calibri" w:eastAsia="Calibri" w:hAnsi="Calibri"/>
          <w:sz w:val="17"/>
          <w:szCs w:val="17"/>
          <w:color w:val="auto"/>
        </w:rPr>
        <w:t>If you are eligible for householding, but received multple copies of the Notce of Internet Availability, Annual Report and Proxy Statement, and prefer to receive only a single copy of each of these documents for your household, please contact Computershare, Shareholder Relatons, P.O. Box 43006, Providence, RI 02940-3006, or call 1-877-498-8861. If you are a registered stockholder residing at an address with any other registered stockholder and wish to receive a separate Notce of Internet Availability, Annual Report or Proxy Statement, we will promptly provide you with a separate copy or send you a separate copy in the future upon writen or oral request to Computershare as indicated above.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818EB4"/>
        </w:rPr>
        <w:t>How early can I vote, and when are the voting deadlines?</w:t>
      </w:r>
    </w:p>
    <w:p>
      <w:pPr>
        <w:spacing w:after="0" w:line="111" w:lineRule="exact"/>
        <w:rPr>
          <w:sz w:val="20"/>
          <w:szCs w:val="20"/>
          <w:color w:val="auto"/>
        </w:rPr>
      </w:pPr>
    </w:p>
    <w:p>
      <w:pPr>
        <w:ind w:right="240"/>
        <w:spacing w:after="0" w:line="255" w:lineRule="auto"/>
        <w:rPr>
          <w:sz w:val="20"/>
          <w:szCs w:val="20"/>
          <w:color w:val="auto"/>
        </w:rPr>
      </w:pPr>
      <w:r>
        <w:rPr>
          <w:rFonts w:ascii="Calibri" w:cs="Calibri" w:eastAsia="Calibri" w:hAnsi="Calibri"/>
          <w:sz w:val="17"/>
          <w:szCs w:val="17"/>
          <w:color w:val="auto"/>
        </w:rPr>
        <w:t>Stockholders may vote as soon as they receive their proxy votng materials. We recommend that Stockholders vote prior to the Annual Meetng and before any earlier deadline specifed below. Early votng will ensure that your votes are properly received and tallied before the 2023 proxy votng deadlines,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0" w:type="dxa"/>
            <w:vAlign w:val="bottom"/>
            <w:tcBorders>
              <w:bottom w:val="single" w:sz="8" w:color="E5E7EF"/>
            </w:tcBorders>
            <w:shd w:val="clear" w:color="auto" w:fill="E5E7EF"/>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Registered Stockholder</w:t>
            </w:r>
          </w:p>
        </w:tc>
        <w:tc>
          <w:tcPr>
            <w:tcW w:w="100" w:type="dxa"/>
            <w:vAlign w:val="bottom"/>
          </w:tcPr>
          <w:p>
            <w:pPr>
              <w:spacing w:after="0"/>
              <w:rPr>
                <w:sz w:val="18"/>
                <w:szCs w:val="18"/>
                <w:color w:val="auto"/>
              </w:rPr>
            </w:pPr>
          </w:p>
        </w:tc>
        <w:tc>
          <w:tcPr>
            <w:tcW w:w="33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Savings Plan Participant</w:t>
            </w:r>
          </w:p>
        </w:tc>
        <w:tc>
          <w:tcPr>
            <w:tcW w:w="100" w:type="dxa"/>
            <w:vAlign w:val="bottom"/>
          </w:tcPr>
          <w:p>
            <w:pPr>
              <w:spacing w:after="0"/>
              <w:rPr>
                <w:sz w:val="18"/>
                <w:szCs w:val="18"/>
                <w:color w:val="auto"/>
              </w:rPr>
            </w:pPr>
          </w:p>
        </w:tc>
        <w:tc>
          <w:tcPr>
            <w:tcW w:w="3380" w:type="dxa"/>
            <w:vAlign w:val="bottom"/>
            <w:tcBorders>
              <w:bottom w:val="single" w:sz="8" w:color="E5E7EF"/>
            </w:tcBorders>
            <w:shd w:val="clear" w:color="auto" w:fill="E5E7EF"/>
          </w:tcPr>
          <w:p>
            <w:pPr>
              <w:spacing w:after="0"/>
              <w:rPr>
                <w:sz w:val="20"/>
                <w:szCs w:val="20"/>
                <w:color w:val="auto"/>
              </w:rPr>
            </w:pPr>
            <w:r>
              <w:rPr>
                <w:rFonts w:ascii="Arial" w:cs="Arial" w:eastAsia="Arial" w:hAnsi="Arial"/>
                <w:sz w:val="13"/>
                <w:szCs w:val="13"/>
                <w:color w:val="auto"/>
              </w:rPr>
              <w:t>Beneficial Owner</w:t>
            </w:r>
          </w:p>
        </w:tc>
        <w:tc>
          <w:tcPr>
            <w:tcW w:w="0" w:type="dxa"/>
            <w:vAlign w:val="bottom"/>
          </w:tcPr>
          <w:p>
            <w:pPr>
              <w:spacing w:after="0"/>
              <w:rPr>
                <w:sz w:val="1"/>
                <w:szCs w:val="1"/>
                <w:color w:val="auto"/>
              </w:rPr>
            </w:pPr>
          </w:p>
        </w:tc>
      </w:tr>
      <w:tr>
        <w:trPr>
          <w:trHeight w:val="176"/>
        </w:trPr>
        <w:tc>
          <w:tcPr>
            <w:tcW w:w="820" w:type="dxa"/>
            <w:vAlign w:val="bottom"/>
            <w:tcBorders>
              <w:top w:val="single" w:sz="8" w:color="003478"/>
            </w:tcBorders>
          </w:tcPr>
          <w:p>
            <w:pPr>
              <w:ind w:left="20"/>
              <w:spacing w:after="0"/>
              <w:rPr>
                <w:sz w:val="20"/>
                <w:szCs w:val="20"/>
                <w:color w:val="auto"/>
              </w:rPr>
            </w:pPr>
            <w:r>
              <w:rPr>
                <w:rFonts w:ascii="Calibri" w:cs="Calibri" w:eastAsia="Calibri" w:hAnsi="Calibri"/>
                <w:sz w:val="14"/>
                <w:szCs w:val="14"/>
                <w:color w:val="auto"/>
              </w:rPr>
              <w:t>Votng</w:t>
            </w:r>
          </w:p>
        </w:tc>
        <w:tc>
          <w:tcPr>
            <w:tcW w:w="100" w:type="dxa"/>
            <w:vAlign w:val="bottom"/>
          </w:tcPr>
          <w:p>
            <w:pPr>
              <w:spacing w:after="0"/>
              <w:rPr>
                <w:sz w:val="15"/>
                <w:szCs w:val="15"/>
                <w:color w:val="auto"/>
              </w:rPr>
            </w:pPr>
          </w:p>
        </w:tc>
        <w:tc>
          <w:tcPr>
            <w:tcW w:w="3360" w:type="dxa"/>
            <w:vAlign w:val="bottom"/>
            <w:tcBorders>
              <w:top w:val="single" w:sz="8" w:color="003478"/>
            </w:tcBorders>
            <w:vMerge w:val="restart"/>
          </w:tcPr>
          <w:p>
            <w:pPr>
              <w:ind w:left="20"/>
              <w:spacing w:after="0"/>
              <w:rPr>
                <w:sz w:val="20"/>
                <w:szCs w:val="20"/>
                <w:color w:val="auto"/>
              </w:rPr>
            </w:pPr>
            <w:r>
              <w:rPr>
                <w:rFonts w:ascii="Calibri" w:cs="Calibri" w:eastAsia="Calibri" w:hAnsi="Calibri"/>
                <w:sz w:val="14"/>
                <w:szCs w:val="14"/>
                <w:color w:val="auto"/>
              </w:rPr>
              <w:t>April 27, 2023</w:t>
            </w:r>
          </w:p>
        </w:tc>
        <w:tc>
          <w:tcPr>
            <w:tcW w:w="100" w:type="dxa"/>
            <w:vAlign w:val="bottom"/>
          </w:tcPr>
          <w:p>
            <w:pPr>
              <w:spacing w:after="0"/>
              <w:rPr>
                <w:sz w:val="15"/>
                <w:szCs w:val="15"/>
                <w:color w:val="auto"/>
              </w:rPr>
            </w:pPr>
          </w:p>
        </w:tc>
        <w:tc>
          <w:tcPr>
            <w:tcW w:w="3380" w:type="dxa"/>
            <w:vAlign w:val="bottom"/>
            <w:tcBorders>
              <w:top w:val="single" w:sz="8" w:color="003478"/>
            </w:tcBorders>
          </w:tcPr>
          <w:p>
            <w:pPr>
              <w:ind w:left="20"/>
              <w:spacing w:after="0"/>
              <w:rPr>
                <w:sz w:val="20"/>
                <w:szCs w:val="20"/>
                <w:color w:val="auto"/>
              </w:rPr>
            </w:pPr>
            <w:r>
              <w:rPr>
                <w:rFonts w:ascii="Calibri" w:cs="Calibri" w:eastAsia="Calibri" w:hAnsi="Calibri"/>
                <w:sz w:val="14"/>
                <w:szCs w:val="14"/>
                <w:color w:val="auto"/>
              </w:rPr>
              <w:t>April 24, 2023</w:t>
            </w:r>
          </w:p>
        </w:tc>
        <w:tc>
          <w:tcPr>
            <w:tcW w:w="100" w:type="dxa"/>
            <w:vAlign w:val="bottom"/>
          </w:tcPr>
          <w:p>
            <w:pPr>
              <w:spacing w:after="0"/>
              <w:rPr>
                <w:sz w:val="15"/>
                <w:szCs w:val="15"/>
                <w:color w:val="auto"/>
              </w:rPr>
            </w:pPr>
          </w:p>
        </w:tc>
        <w:tc>
          <w:tcPr>
            <w:tcW w:w="3380" w:type="dxa"/>
            <w:vAlign w:val="bottom"/>
            <w:tcBorders>
              <w:top w:val="single" w:sz="8" w:color="003478"/>
            </w:tcBorders>
          </w:tcPr>
          <w:p>
            <w:pPr>
              <w:spacing w:after="0"/>
              <w:rPr>
                <w:sz w:val="20"/>
                <w:szCs w:val="20"/>
                <w:color w:val="auto"/>
              </w:rPr>
            </w:pPr>
            <w:r>
              <w:rPr>
                <w:rFonts w:ascii="Calibri" w:cs="Calibri" w:eastAsia="Calibri" w:hAnsi="Calibri"/>
                <w:sz w:val="14"/>
                <w:szCs w:val="14"/>
                <w:color w:val="auto"/>
              </w:rPr>
              <w:t>Follow applicable deadlines on the informaton received</w:t>
            </w:r>
          </w:p>
        </w:tc>
        <w:tc>
          <w:tcPr>
            <w:tcW w:w="0" w:type="dxa"/>
            <w:vAlign w:val="bottom"/>
          </w:tcPr>
          <w:p>
            <w:pPr>
              <w:spacing w:after="0"/>
              <w:rPr>
                <w:sz w:val="1"/>
                <w:szCs w:val="1"/>
                <w:color w:val="auto"/>
              </w:rPr>
            </w:pPr>
          </w:p>
        </w:tc>
      </w:tr>
      <w:tr>
        <w:trPr>
          <w:trHeight w:val="54"/>
        </w:trPr>
        <w:tc>
          <w:tcPr>
            <w:tcW w:w="820" w:type="dxa"/>
            <w:vAlign w:val="bottom"/>
            <w:vMerge w:val="restart"/>
          </w:tcPr>
          <w:p>
            <w:pPr>
              <w:ind w:left="20"/>
              <w:spacing w:after="0"/>
              <w:rPr>
                <w:sz w:val="20"/>
                <w:szCs w:val="20"/>
                <w:color w:val="auto"/>
              </w:rPr>
            </w:pPr>
            <w:r>
              <w:rPr>
                <w:rFonts w:ascii="Calibri" w:cs="Calibri" w:eastAsia="Calibri" w:hAnsi="Calibri"/>
                <w:sz w:val="14"/>
                <w:szCs w:val="14"/>
                <w:color w:val="auto"/>
              </w:rPr>
              <w:t>Deadlines</w:t>
            </w:r>
          </w:p>
        </w:tc>
        <w:tc>
          <w:tcPr>
            <w:tcW w:w="10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80" w:type="dxa"/>
            <w:vAlign w:val="bottom"/>
            <w:vMerge w:val="restart"/>
          </w:tcPr>
          <w:p>
            <w:pPr>
              <w:spacing w:after="0"/>
              <w:rPr>
                <w:sz w:val="20"/>
                <w:szCs w:val="20"/>
                <w:color w:val="auto"/>
              </w:rPr>
            </w:pPr>
            <w:r>
              <w:rPr>
                <w:rFonts w:ascii="Calibri" w:cs="Calibri" w:eastAsia="Calibri" w:hAnsi="Calibri"/>
                <w:sz w:val="14"/>
                <w:szCs w:val="14"/>
                <w:color w:val="auto"/>
              </w:rPr>
              <w:t>from your broker, bank or other nominee</w:t>
            </w:r>
          </w:p>
        </w:tc>
        <w:tc>
          <w:tcPr>
            <w:tcW w:w="0" w:type="dxa"/>
            <w:vAlign w:val="bottom"/>
          </w:tcPr>
          <w:p>
            <w:pPr>
              <w:spacing w:after="0"/>
              <w:rPr>
                <w:sz w:val="1"/>
                <w:szCs w:val="1"/>
                <w:color w:val="auto"/>
              </w:rPr>
            </w:pPr>
          </w:p>
        </w:tc>
      </w:tr>
      <w:tr>
        <w:trPr>
          <w:trHeight w:val="135"/>
        </w:trPr>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360" w:type="dxa"/>
            <w:vAlign w:val="bottom"/>
            <w:vMerge w:val="restart"/>
          </w:tcPr>
          <w:p>
            <w:pPr>
              <w:ind w:left="20"/>
              <w:spacing w:after="0"/>
              <w:rPr>
                <w:sz w:val="20"/>
                <w:szCs w:val="20"/>
                <w:color w:val="auto"/>
              </w:rPr>
            </w:pPr>
            <w:r>
              <w:rPr>
                <w:rFonts w:ascii="Calibri" w:cs="Calibri" w:eastAsia="Calibri" w:hAnsi="Calibri"/>
                <w:sz w:val="14"/>
                <w:szCs w:val="14"/>
                <w:color w:val="auto"/>
              </w:rPr>
              <w:t>Upon Poll Closure during Annual Meetng</w:t>
            </w:r>
          </w:p>
        </w:tc>
        <w:tc>
          <w:tcPr>
            <w:tcW w:w="100" w:type="dxa"/>
            <w:vAlign w:val="bottom"/>
          </w:tcPr>
          <w:p>
            <w:pPr>
              <w:spacing w:after="0"/>
              <w:rPr>
                <w:sz w:val="11"/>
                <w:szCs w:val="11"/>
                <w:color w:val="auto"/>
              </w:rPr>
            </w:pPr>
          </w:p>
        </w:tc>
        <w:tc>
          <w:tcPr>
            <w:tcW w:w="3380" w:type="dxa"/>
            <w:vAlign w:val="bottom"/>
            <w:vMerge w:val="restart"/>
          </w:tcPr>
          <w:p>
            <w:pPr>
              <w:ind w:left="20"/>
              <w:spacing w:after="0"/>
              <w:rPr>
                <w:sz w:val="20"/>
                <w:szCs w:val="20"/>
                <w:color w:val="auto"/>
              </w:rPr>
            </w:pPr>
            <w:r>
              <w:rPr>
                <w:rFonts w:ascii="Calibri" w:cs="Calibri" w:eastAsia="Calibri" w:hAnsi="Calibri"/>
                <w:sz w:val="14"/>
                <w:szCs w:val="14"/>
                <w:color w:val="auto"/>
              </w:rPr>
              <w:t>Before 11:59 PM ET</w:t>
            </w:r>
          </w:p>
        </w:tc>
        <w:tc>
          <w:tcPr>
            <w:tcW w:w="100" w:type="dxa"/>
            <w:vAlign w:val="bottom"/>
          </w:tcPr>
          <w:p>
            <w:pPr>
              <w:spacing w:after="0"/>
              <w:rPr>
                <w:sz w:val="11"/>
                <w:szCs w:val="11"/>
                <w:color w:val="auto"/>
              </w:rPr>
            </w:pPr>
          </w:p>
        </w:tc>
        <w:tc>
          <w:tcPr>
            <w:tcW w:w="3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59595"/>
            </w:tcBorders>
          </w:tcPr>
          <w:p>
            <w:pPr>
              <w:spacing w:after="0"/>
              <w:rPr>
                <w:sz w:val="9"/>
                <w:szCs w:val="9"/>
                <w:color w:val="auto"/>
              </w:rPr>
            </w:pPr>
          </w:p>
        </w:tc>
        <w:tc>
          <w:tcPr>
            <w:tcW w:w="100" w:type="dxa"/>
            <w:vAlign w:val="bottom"/>
          </w:tcPr>
          <w:p>
            <w:pPr>
              <w:spacing w:after="0"/>
              <w:rPr>
                <w:sz w:val="9"/>
                <w:szCs w:val="9"/>
                <w:color w:val="auto"/>
              </w:rPr>
            </w:pPr>
          </w:p>
        </w:tc>
        <w:tc>
          <w:tcPr>
            <w:tcW w:w="3360" w:type="dxa"/>
            <w:vAlign w:val="bottom"/>
            <w:tcBorders>
              <w:bottom w:val="single" w:sz="8" w:color="959595"/>
            </w:tcBorders>
          </w:tcPr>
          <w:p>
            <w:pPr>
              <w:spacing w:after="0"/>
              <w:rPr>
                <w:sz w:val="9"/>
                <w:szCs w:val="9"/>
                <w:color w:val="auto"/>
              </w:rPr>
            </w:pPr>
          </w:p>
        </w:tc>
        <w:tc>
          <w:tcPr>
            <w:tcW w:w="100" w:type="dxa"/>
            <w:vAlign w:val="bottom"/>
          </w:tcPr>
          <w:p>
            <w:pPr>
              <w:spacing w:after="0"/>
              <w:rPr>
                <w:sz w:val="9"/>
                <w:szCs w:val="9"/>
                <w:color w:val="auto"/>
              </w:rPr>
            </w:pPr>
          </w:p>
        </w:tc>
        <w:tc>
          <w:tcPr>
            <w:tcW w:w="3380" w:type="dxa"/>
            <w:vAlign w:val="bottom"/>
            <w:tcBorders>
              <w:bottom w:val="single" w:sz="8" w:color="959595"/>
            </w:tcBorders>
          </w:tcPr>
          <w:p>
            <w:pPr>
              <w:spacing w:after="0"/>
              <w:rPr>
                <w:sz w:val="9"/>
                <w:szCs w:val="9"/>
                <w:color w:val="auto"/>
              </w:rPr>
            </w:pPr>
          </w:p>
        </w:tc>
        <w:tc>
          <w:tcPr>
            <w:tcW w:w="100" w:type="dxa"/>
            <w:vAlign w:val="bottom"/>
          </w:tcPr>
          <w:p>
            <w:pPr>
              <w:spacing w:after="0"/>
              <w:rPr>
                <w:sz w:val="9"/>
                <w:szCs w:val="9"/>
                <w:color w:val="auto"/>
              </w:rPr>
            </w:pPr>
          </w:p>
        </w:tc>
        <w:tc>
          <w:tcPr>
            <w:tcW w:w="3380" w:type="dxa"/>
            <w:vAlign w:val="bottom"/>
            <w:tcBorders>
              <w:bottom w:val="single" w:sz="8" w:color="959595"/>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818EB4"/>
        </w:rPr>
        <w:t>How do I change or revoke my vote?</w:t>
      </w:r>
    </w:p>
    <w:p>
      <w:pPr>
        <w:spacing w:after="0" w:line="111" w:lineRule="exact"/>
        <w:rPr>
          <w:sz w:val="20"/>
          <w:szCs w:val="20"/>
          <w:color w:val="auto"/>
        </w:rPr>
      </w:pPr>
    </w:p>
    <w:p>
      <w:pPr>
        <w:jc w:val="both"/>
        <w:spacing w:after="0" w:line="261" w:lineRule="auto"/>
        <w:rPr>
          <w:sz w:val="20"/>
          <w:szCs w:val="20"/>
          <w:color w:val="auto"/>
        </w:rPr>
      </w:pPr>
      <w:r>
        <w:rPr>
          <w:rFonts w:ascii="Calibri" w:cs="Calibri" w:eastAsia="Calibri" w:hAnsi="Calibri"/>
          <w:sz w:val="17"/>
          <w:szCs w:val="17"/>
          <w:color w:val="auto"/>
        </w:rPr>
        <w:t>For registered stockholders and savings plan partcipants, you may change or revoke your proxy or votng instructons prior to the meetng by submitng later-dated instructons by Internet, telephone or mail or providing writen notce to Lockheed Martn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262255</wp:posOffset>
            </wp:positionV>
            <wp:extent cx="1071880" cy="1803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8" w:name="page99"/>
    <w:bookmarkEnd w:id="98"/>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003478"/>
        </w:rPr>
        <w:t>Frequently Asked Questions</w:t>
      </w:r>
    </w:p>
    <w:p>
      <w:pPr>
        <w:spacing w:after="0" w:line="200" w:lineRule="exact"/>
        <w:rPr>
          <w:sz w:val="20"/>
          <w:szCs w:val="20"/>
          <w:color w:val="auto"/>
        </w:rPr>
      </w:pPr>
    </w:p>
    <w:p>
      <w:pPr>
        <w:spacing w:after="0" w:line="374" w:lineRule="exact"/>
        <w:rPr>
          <w:sz w:val="20"/>
          <w:szCs w:val="20"/>
          <w:color w:val="auto"/>
        </w:rPr>
      </w:pPr>
    </w:p>
    <w:p>
      <w:pPr>
        <w:jc w:val="both"/>
        <w:ind w:right="300"/>
        <w:spacing w:after="0" w:line="253" w:lineRule="auto"/>
        <w:rPr>
          <w:sz w:val="20"/>
          <w:szCs w:val="20"/>
          <w:color w:val="auto"/>
        </w:rPr>
      </w:pPr>
      <w:r>
        <w:rPr>
          <w:rFonts w:ascii="Calibri" w:cs="Calibri" w:eastAsia="Calibri" w:hAnsi="Calibri"/>
          <w:sz w:val="17"/>
          <w:szCs w:val="17"/>
          <w:color w:val="auto"/>
        </w:rPr>
        <w:t>Corporaton, Atenton: Senior Vice President, General Counsel and Corporate Secretary, 6801 Rockledge Drive, Bethesda, MD 20817, before your original proxy is voted at the Annual Meetng. To be efectve, revocaton instructons must be received by the applicable votng deadlines. Registered stockholders may also revoke their proxy by atending and votng their shares at the Annual Meetng. Atending the meetng, by itself, will not revoke a proxy. Benefcial owners should contact their broker, bank or nominee for informaton on how to change or revoke any prior votes.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818EB4"/>
        </w:rPr>
        <w:t>What will happen if I return my proxy without voting instructions, or if I do not return my proxy?</w:t>
      </w:r>
    </w:p>
    <w:p>
      <w:pPr>
        <w:spacing w:after="0" w:line="107" w:lineRule="exact"/>
        <w:rPr>
          <w:sz w:val="20"/>
          <w:szCs w:val="20"/>
          <w:color w:val="auto"/>
        </w:rPr>
      </w:pPr>
    </w:p>
    <w:p>
      <w:pPr>
        <w:spacing w:after="0"/>
        <w:rPr>
          <w:sz w:val="20"/>
          <w:szCs w:val="20"/>
          <w:color w:val="auto"/>
        </w:rPr>
      </w:pPr>
      <w:r>
        <w:rPr>
          <w:rFonts w:ascii="Calibri" w:cs="Calibri" w:eastAsia="Calibri" w:hAnsi="Calibri"/>
          <w:sz w:val="17"/>
          <w:szCs w:val="17"/>
          <w:color w:val="auto"/>
        </w:rPr>
        <w:t>Votng outcomes will vary, per the scenarios as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6960870" cy="1454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60870" cy="14541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sectPr>
      </w:pPr>
    </w:p>
    <w:p>
      <w:pPr>
        <w:spacing w:after="0" w:line="197" w:lineRule="exact"/>
        <w:rPr>
          <w:sz w:val="20"/>
          <w:szCs w:val="20"/>
          <w:color w:val="auto"/>
        </w:rPr>
      </w:pPr>
    </w:p>
    <w:p>
      <w:pPr>
        <w:ind w:left="20"/>
        <w:spacing w:after="0"/>
        <w:rPr>
          <w:sz w:val="20"/>
          <w:szCs w:val="20"/>
          <w:color w:val="auto"/>
        </w:rPr>
      </w:pPr>
      <w:r>
        <w:rPr>
          <w:rFonts w:ascii="Arial" w:cs="Arial" w:eastAsia="Arial" w:hAnsi="Arial"/>
          <w:sz w:val="12"/>
          <w:szCs w:val="12"/>
          <w:color w:val="auto"/>
        </w:rPr>
        <w:t>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68846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Registered Stockholder</w:t>
            </w:r>
          </w:p>
        </w:tc>
        <w:tc>
          <w:tcPr>
            <w:tcW w:w="80" w:type="dxa"/>
            <w:vAlign w:val="bottom"/>
          </w:tcPr>
          <w:p>
            <w:pPr>
              <w:spacing w:after="0"/>
              <w:rPr>
                <w:sz w:val="17"/>
                <w:szCs w:val="17"/>
                <w:color w:val="auto"/>
              </w:rPr>
            </w:pPr>
          </w:p>
        </w:tc>
        <w:tc>
          <w:tcPr>
            <w:tcW w:w="26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Savings Plan Participant</w:t>
            </w:r>
          </w:p>
        </w:tc>
      </w:tr>
      <w:tr>
        <w:trPr>
          <w:trHeight w:val="20"/>
        </w:trPr>
        <w:tc>
          <w:tcPr>
            <w:tcW w:w="2680" w:type="dxa"/>
            <w:vAlign w:val="bottom"/>
            <w:shd w:val="clear" w:color="auto" w:fill="00347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shd w:val="clear" w:color="auto" w:fill="00347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34925</wp:posOffset>
            </wp:positionV>
            <wp:extent cx="16973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3">
            <w:col w:w="2040" w:space="720"/>
            <w:col w:w="5440" w:space="120"/>
            <w:col w:w="2940"/>
          </w:cols>
          <w:pgMar w:left="320" w:top="230" w:right="319" w:bottom="1440" w:gutter="0" w:footer="0" w:header="0"/>
          <w:type w:val="continuous"/>
        </w:sectPr>
      </w:pPr>
    </w:p>
    <w:p>
      <w:pPr>
        <w:ind w:left="20"/>
        <w:spacing w:after="0" w:line="264" w:lineRule="auto"/>
        <w:rPr>
          <w:sz w:val="20"/>
          <w:szCs w:val="20"/>
          <w:color w:val="auto"/>
        </w:rPr>
      </w:pPr>
      <w:r>
        <w:rPr>
          <w:rFonts w:ascii="Calibri" w:cs="Calibri" w:eastAsia="Calibri" w:hAnsi="Calibri"/>
          <w:sz w:val="14"/>
          <w:szCs w:val="14"/>
          <w:b w:val="1"/>
          <w:bCs w:val="1"/>
          <w:color w:val="auto"/>
        </w:rPr>
        <w:t xml:space="preserve">I return my proxy </w:t>
      </w:r>
      <w:r>
        <w:rPr>
          <w:rFonts w:ascii="Calibri" w:cs="Calibri" w:eastAsia="Calibri" w:hAnsi="Calibri"/>
          <w:sz w:val="14"/>
          <w:szCs w:val="14"/>
          <w:b w:val="1"/>
          <w:bCs w:val="1"/>
          <w:i w:val="1"/>
          <w:iCs w:val="1"/>
          <w:u w:val="single" w:color="auto"/>
          <w:color w:val="auto"/>
        </w:rPr>
        <w:t>without</w:t>
      </w:r>
      <w:r>
        <w:rPr>
          <w:rFonts w:ascii="Calibri" w:cs="Calibri" w:eastAsia="Calibri" w:hAnsi="Calibri"/>
          <w:sz w:val="14"/>
          <w:szCs w:val="14"/>
          <w:b w:val="1"/>
          <w:bCs w:val="1"/>
          <w:color w:val="auto"/>
        </w:rPr>
        <w:t xml:space="preserve"> my votng instructons.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168846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 xml:space="preserve">I do </w:t>
      </w:r>
      <w:r>
        <w:rPr>
          <w:rFonts w:ascii="Calibri" w:cs="Calibri" w:eastAsia="Calibri" w:hAnsi="Calibri"/>
          <w:sz w:val="14"/>
          <w:szCs w:val="14"/>
          <w:b w:val="1"/>
          <w:bCs w:val="1"/>
          <w:i w:val="1"/>
          <w:iCs w:val="1"/>
          <w:u w:val="single" w:color="auto"/>
          <w:color w:val="auto"/>
        </w:rPr>
        <w:t>not</w:t>
      </w:r>
      <w:r>
        <w:rPr>
          <w:rFonts w:ascii="Calibri" w:cs="Calibri" w:eastAsia="Calibri" w:hAnsi="Calibri"/>
          <w:sz w:val="14"/>
          <w:szCs w:val="14"/>
          <w:b w:val="1"/>
          <w:bCs w:val="1"/>
          <w:color w:val="auto"/>
        </w:rPr>
        <w:t xml:space="preserve"> return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168846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60"/>
        <w:spacing w:after="0" w:line="264" w:lineRule="auto"/>
        <w:rPr>
          <w:sz w:val="20"/>
          <w:szCs w:val="20"/>
          <w:color w:val="auto"/>
        </w:rPr>
      </w:pPr>
      <w:r>
        <w:rPr>
          <w:rFonts w:ascii="Calibri" w:cs="Calibri" w:eastAsia="Calibri" w:hAnsi="Calibri"/>
          <w:sz w:val="14"/>
          <w:szCs w:val="14"/>
          <w:color w:val="auto"/>
        </w:rPr>
        <w:t xml:space="preserve">Your shares </w:t>
      </w:r>
      <w:r>
        <w:rPr>
          <w:rFonts w:ascii="Calibri" w:cs="Calibri" w:eastAsia="Calibri" w:hAnsi="Calibri"/>
          <w:sz w:val="14"/>
          <w:szCs w:val="14"/>
          <w:b w:val="1"/>
          <w:bCs w:val="1"/>
          <w:color w:val="auto"/>
        </w:rPr>
        <w:t>will be voted according to the</w:t>
      </w:r>
      <w:r>
        <w:rPr>
          <w:rFonts w:ascii="Calibri" w:cs="Calibri" w:eastAsia="Calibri" w:hAnsi="Calibri"/>
          <w:sz w:val="14"/>
          <w:szCs w:val="14"/>
          <w:color w:val="auto"/>
        </w:rPr>
        <w:t xml:space="preserve"> </w:t>
      </w:r>
      <w:r>
        <w:rPr>
          <w:rFonts w:ascii="Calibri" w:cs="Calibri" w:eastAsia="Calibri" w:hAnsi="Calibri"/>
          <w:sz w:val="14"/>
          <w:szCs w:val="14"/>
          <w:b w:val="1"/>
          <w:bCs w:val="1"/>
          <w:color w:val="auto"/>
        </w:rPr>
        <w:t>votng recommendatons of the Board of</w:t>
      </w:r>
    </w:p>
    <w:p>
      <w:pPr>
        <w:spacing w:after="0" w:line="2" w:lineRule="exact"/>
        <w:rPr>
          <w:sz w:val="20"/>
          <w:szCs w:val="20"/>
          <w:color w:val="auto"/>
        </w:rPr>
      </w:pPr>
    </w:p>
    <w:p>
      <w:pPr>
        <w:spacing w:after="0" w:line="264" w:lineRule="auto"/>
        <w:rPr>
          <w:sz w:val="20"/>
          <w:szCs w:val="20"/>
          <w:color w:val="auto"/>
        </w:rPr>
      </w:pPr>
      <w:r>
        <w:rPr>
          <w:rFonts w:ascii="Calibri" w:cs="Calibri" w:eastAsia="Calibri" w:hAnsi="Calibri"/>
          <w:sz w:val="14"/>
          <w:szCs w:val="14"/>
          <w:b w:val="1"/>
          <w:bCs w:val="1"/>
          <w:color w:val="auto"/>
        </w:rPr>
        <w:t xml:space="preserve">Directors. </w:t>
      </w:r>
      <w:r>
        <w:rPr>
          <w:rFonts w:ascii="Calibri" w:cs="Calibri" w:eastAsia="Calibri" w:hAnsi="Calibri"/>
          <w:sz w:val="14"/>
          <w:szCs w:val="14"/>
          <w:color w:val="auto"/>
        </w:rPr>
        <w:t>It is in the best judgment of the</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named proxy holders if any other maters are properly brought before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208280</wp:posOffset>
            </wp:positionV>
            <wp:extent cx="16973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34" w:lineRule="exact"/>
        <w:rPr>
          <w:sz w:val="20"/>
          <w:szCs w:val="20"/>
          <w:color w:val="auto"/>
        </w:rPr>
      </w:pPr>
    </w:p>
    <w:p>
      <w:pPr>
        <w:ind w:right="80"/>
        <w:spacing w:after="0" w:line="264" w:lineRule="auto"/>
        <w:rPr>
          <w:sz w:val="20"/>
          <w:szCs w:val="20"/>
          <w:color w:val="auto"/>
        </w:rPr>
      </w:pPr>
      <w:r>
        <w:rPr>
          <w:rFonts w:ascii="Calibri" w:cs="Calibri" w:eastAsia="Calibri" w:hAnsi="Calibri"/>
          <w:sz w:val="14"/>
          <w:szCs w:val="14"/>
          <w:color w:val="auto"/>
        </w:rPr>
        <w:t xml:space="preserve">Your shares will </w:t>
      </w:r>
      <w:r>
        <w:rPr>
          <w:rFonts w:ascii="Calibri" w:cs="Calibri" w:eastAsia="Calibri" w:hAnsi="Calibri"/>
          <w:sz w:val="14"/>
          <w:szCs w:val="14"/>
          <w:b w:val="1"/>
          <w:bCs w:val="1"/>
          <w:color w:val="auto"/>
        </w:rPr>
        <w:t>not</w:t>
      </w:r>
      <w:r>
        <w:rPr>
          <w:rFonts w:ascii="Calibri" w:cs="Calibri" w:eastAsia="Calibri" w:hAnsi="Calibri"/>
          <w:sz w:val="14"/>
          <w:szCs w:val="14"/>
          <w:color w:val="auto"/>
        </w:rPr>
        <w:t xml:space="preserve"> be voted </w:t>
      </w:r>
      <w:r>
        <w:rPr>
          <w:rFonts w:ascii="Calibri" w:cs="Calibri" w:eastAsia="Calibri" w:hAnsi="Calibri"/>
          <w:sz w:val="14"/>
          <w:szCs w:val="14"/>
          <w:b w:val="1"/>
          <w:bCs w:val="1"/>
          <w:color w:val="auto"/>
        </w:rPr>
        <w:t>unless</w:t>
      </w:r>
      <w:r>
        <w:rPr>
          <w:rFonts w:ascii="Calibri" w:cs="Calibri" w:eastAsia="Calibri" w:hAnsi="Calibri"/>
          <w:sz w:val="14"/>
          <w:szCs w:val="14"/>
          <w:color w:val="auto"/>
        </w:rPr>
        <w:t xml:space="preserve"> you vote. Your vote must be received before the votng 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69735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264" w:lineRule="auto"/>
        <w:rPr>
          <w:sz w:val="20"/>
          <w:szCs w:val="20"/>
          <w:color w:val="auto"/>
        </w:rPr>
      </w:pPr>
      <w:r>
        <w:rPr>
          <w:rFonts w:ascii="Calibri" w:cs="Calibri" w:eastAsia="Calibri" w:hAnsi="Calibri"/>
          <w:sz w:val="14"/>
          <w:szCs w:val="14"/>
          <w:color w:val="auto"/>
        </w:rPr>
        <w:t xml:space="preserve">The shares allocated to your account(s) </w:t>
      </w:r>
      <w:r>
        <w:rPr>
          <w:rFonts w:ascii="Calibri" w:cs="Calibri" w:eastAsia="Calibri" w:hAnsi="Calibri"/>
          <w:sz w:val="14"/>
          <w:szCs w:val="14"/>
          <w:b w:val="1"/>
          <w:bCs w:val="1"/>
          <w:color w:val="auto"/>
        </w:rPr>
        <w:t>will</w:t>
      </w:r>
      <w:r>
        <w:rPr>
          <w:rFonts w:ascii="Calibri" w:cs="Calibri" w:eastAsia="Calibri" w:hAnsi="Calibri"/>
          <w:sz w:val="14"/>
          <w:szCs w:val="14"/>
          <w:color w:val="auto"/>
        </w:rPr>
        <w:t xml:space="preserve"> </w:t>
      </w:r>
      <w:r>
        <w:rPr>
          <w:rFonts w:ascii="Calibri" w:cs="Calibri" w:eastAsia="Calibri" w:hAnsi="Calibri"/>
          <w:sz w:val="14"/>
          <w:szCs w:val="14"/>
          <w:b w:val="1"/>
          <w:bCs w:val="1"/>
          <w:color w:val="auto"/>
        </w:rPr>
        <w:t xml:space="preserve">be voted by the plan trustee </w:t>
      </w:r>
      <w:r>
        <w:rPr>
          <w:rFonts w:ascii="Calibri" w:cs="Calibri" w:eastAsia="Calibri" w:hAnsi="Calibri"/>
          <w:sz w:val="14"/>
          <w:szCs w:val="14"/>
          <w:color w:val="auto"/>
        </w:rPr>
        <w:t>depending on</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the terms of your plan or other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397510</wp:posOffset>
            </wp:positionV>
            <wp:extent cx="169735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320"/>
        <w:spacing w:after="0" w:line="265" w:lineRule="auto"/>
        <w:rPr>
          <w:sz w:val="20"/>
          <w:szCs w:val="20"/>
          <w:color w:val="auto"/>
        </w:rPr>
      </w:pPr>
      <w:r>
        <w:rPr>
          <w:rFonts w:ascii="Calibri" w:cs="Calibri" w:eastAsia="Calibri" w:hAnsi="Calibri"/>
          <w:sz w:val="14"/>
          <w:szCs w:val="14"/>
          <w:color w:val="auto"/>
        </w:rPr>
        <w:t xml:space="preserve">Under New York Stock Exchange rules, your broker, bank or other nominee may </w:t>
      </w:r>
      <w:r>
        <w:rPr>
          <w:rFonts w:ascii="Calibri" w:cs="Calibri" w:eastAsia="Calibri" w:hAnsi="Calibri"/>
          <w:sz w:val="14"/>
          <w:szCs w:val="14"/>
          <w:b w:val="1"/>
          <w:bCs w:val="1"/>
          <w:color w:val="auto"/>
        </w:rPr>
        <w:t>vote</w:t>
      </w:r>
      <w:r>
        <w:rPr>
          <w:rFonts w:ascii="Calibri" w:cs="Calibri" w:eastAsia="Calibri" w:hAnsi="Calibri"/>
          <w:sz w:val="14"/>
          <w:szCs w:val="14"/>
          <w:color w:val="auto"/>
        </w:rPr>
        <w:t xml:space="preserve"> </w:t>
      </w:r>
      <w:r>
        <w:rPr>
          <w:rFonts w:ascii="Calibri" w:cs="Calibri" w:eastAsia="Calibri" w:hAnsi="Calibri"/>
          <w:sz w:val="14"/>
          <w:szCs w:val="14"/>
          <w:b w:val="1"/>
          <w:bCs w:val="1"/>
          <w:color w:val="auto"/>
        </w:rPr>
        <w:t xml:space="preserve">your shares on routne maters only. </w:t>
      </w:r>
      <w:r>
        <w:rPr>
          <w:rFonts w:ascii="Calibri" w:cs="Calibri" w:eastAsia="Calibri" w:hAnsi="Calibri"/>
          <w:sz w:val="14"/>
          <w:szCs w:val="14"/>
          <w:color w:val="auto"/>
        </w:rPr>
        <w:t>For this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annual meetng, the only routne mater is Proposal 4 (Ratfcaton of Appointment of Ernst &amp;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276225</wp:posOffset>
            </wp:positionV>
            <wp:extent cx="169735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590" w:lineRule="exact"/>
        <w:rPr>
          <w:sz w:val="20"/>
          <w:szCs w:val="20"/>
          <w:color w:val="auto"/>
        </w:rPr>
      </w:pPr>
    </w:p>
    <w:p>
      <w:pPr>
        <w:sectPr>
          <w:pgSz w:w="11900" w:h="16838" w:orient="portrait"/>
          <w:cols w:equalWidth="0" w:num="4">
            <w:col w:w="2180" w:space="600"/>
            <w:col w:w="2640" w:space="120"/>
            <w:col w:w="2540" w:space="240"/>
            <w:col w:w="2940"/>
          </w:cols>
          <w:pgMar w:left="320" w:top="230" w:right="319" w:bottom="1440" w:gutter="0" w:footer="0" w:header="0"/>
          <w:type w:val="continuous"/>
        </w:sectPr>
      </w:pPr>
    </w:p>
    <w:p>
      <w:pPr>
        <w:spacing w:after="0" w:line="47" w:lineRule="exact"/>
        <w:rPr>
          <w:sz w:val="20"/>
          <w:szCs w:val="20"/>
          <w:color w:val="auto"/>
        </w:rPr>
      </w:pPr>
    </w:p>
    <w:p>
      <w:pPr>
        <w:ind w:right="240"/>
        <w:spacing w:after="0" w:line="255" w:lineRule="auto"/>
        <w:rPr>
          <w:sz w:val="20"/>
          <w:szCs w:val="20"/>
          <w:color w:val="auto"/>
        </w:rPr>
      </w:pPr>
      <w:r>
        <w:rPr>
          <w:rFonts w:ascii="Calibri" w:cs="Calibri" w:eastAsia="Calibri" w:hAnsi="Calibri"/>
          <w:sz w:val="17"/>
          <w:szCs w:val="17"/>
          <w:b w:val="1"/>
          <w:bCs w:val="1"/>
          <w:color w:val="auto"/>
        </w:rPr>
        <w:t xml:space="preserve">Note: </w:t>
      </w:r>
      <w:r>
        <w:rPr>
          <w:rFonts w:ascii="Calibri" w:cs="Calibri" w:eastAsia="Calibri" w:hAnsi="Calibri"/>
          <w:sz w:val="17"/>
          <w:szCs w:val="17"/>
          <w:color w:val="auto"/>
        </w:rPr>
        <w:t>The Company cannot provide a single proxy or instructon card for stockholders who own shares in multple forms as registered stockholders, savings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plan partcipants or benefcial owners. As a result, if your shares are held in multple stockholder accounts, you must submit your votes for each type of account in accordance with the instructons that you receive for the respectve account.</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818EB4"/>
        </w:rPr>
        <w:t>What am I voting on and what are the Board’s voting recommendations?</w:t>
      </w:r>
    </w:p>
    <w:p>
      <w:pPr>
        <w:spacing w:after="0" w:line="124" w:lineRule="exact"/>
        <w:rPr>
          <w:sz w:val="20"/>
          <w:szCs w:val="20"/>
          <w:color w:val="auto"/>
        </w:rPr>
      </w:pPr>
    </w:p>
    <w:p>
      <w:pPr>
        <w:ind w:right="200"/>
        <w:spacing w:after="0" w:line="245" w:lineRule="auto"/>
        <w:rPr>
          <w:sz w:val="20"/>
          <w:szCs w:val="20"/>
          <w:color w:val="auto"/>
        </w:rPr>
      </w:pPr>
      <w:r>
        <w:rPr>
          <w:rFonts w:ascii="Calibri" w:cs="Calibri" w:eastAsia="Calibri" w:hAnsi="Calibri"/>
          <w:sz w:val="17"/>
          <w:szCs w:val="17"/>
          <w:color w:val="auto"/>
        </w:rPr>
        <w:t>The following table summarizes the Board’s votng recommendatons for each proposal, if properly presented during the Annual Meetng, the vote required for each proposal to pass, and the efect of abstentons and uninstructed shares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49465" cy="22720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27203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shd w:val="clear" w:color="auto" w:fill="E5E7EF"/>
          </w:tcPr>
          <w:p>
            <w:pPr>
              <w:spacing w:after="0"/>
              <w:rPr>
                <w:sz w:val="14"/>
                <w:szCs w:val="14"/>
                <w:color w:val="auto"/>
              </w:rPr>
            </w:pPr>
          </w:p>
        </w:tc>
        <w:tc>
          <w:tcPr>
            <w:tcW w:w="660" w:type="dxa"/>
            <w:vAlign w:val="bottom"/>
            <w:shd w:val="clear" w:color="auto" w:fill="E5E7EF"/>
          </w:tcPr>
          <w:p>
            <w:pPr>
              <w:spacing w:after="0"/>
              <w:rPr>
                <w:sz w:val="14"/>
                <w:szCs w:val="14"/>
                <w:color w:val="auto"/>
              </w:rPr>
            </w:pPr>
          </w:p>
        </w:tc>
        <w:tc>
          <w:tcPr>
            <w:tcW w:w="4400" w:type="dxa"/>
            <w:vAlign w:val="bottom"/>
            <w:shd w:val="clear" w:color="auto" w:fill="E5E7EF"/>
          </w:tcPr>
          <w:p>
            <w:pPr>
              <w:spacing w:after="0"/>
              <w:rPr>
                <w:sz w:val="14"/>
                <w:szCs w:val="14"/>
                <w:color w:val="auto"/>
              </w:rPr>
            </w:pPr>
          </w:p>
        </w:tc>
        <w:tc>
          <w:tcPr>
            <w:tcW w:w="500" w:type="dxa"/>
            <w:vAlign w:val="bottom"/>
            <w:shd w:val="clear" w:color="auto" w:fill="E5E7EF"/>
          </w:tcPr>
          <w:p>
            <w:pPr>
              <w:spacing w:after="0"/>
              <w:rPr>
                <w:sz w:val="14"/>
                <w:szCs w:val="14"/>
                <w:color w:val="auto"/>
              </w:rPr>
            </w:pPr>
          </w:p>
        </w:tc>
        <w:tc>
          <w:tcPr>
            <w:tcW w:w="1400" w:type="dxa"/>
            <w:vAlign w:val="bottom"/>
            <w:shd w:val="clear" w:color="auto" w:fill="E5E7EF"/>
          </w:tcPr>
          <w:p>
            <w:pPr>
              <w:spacing w:after="0"/>
              <w:rPr>
                <w:sz w:val="14"/>
                <w:szCs w:val="14"/>
                <w:color w:val="auto"/>
              </w:rPr>
            </w:pPr>
          </w:p>
        </w:tc>
        <w:tc>
          <w:tcPr>
            <w:tcW w:w="2240" w:type="dxa"/>
            <w:vAlign w:val="bottom"/>
            <w:shd w:val="clear" w:color="auto" w:fill="E5E7EF"/>
          </w:tcPr>
          <w:p>
            <w:pPr>
              <w:spacing w:after="0"/>
              <w:rPr>
                <w:sz w:val="14"/>
                <w:szCs w:val="14"/>
                <w:color w:val="auto"/>
              </w:rPr>
            </w:pPr>
          </w:p>
        </w:tc>
        <w:tc>
          <w:tcPr>
            <w:tcW w:w="9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Effect of</w:t>
            </w:r>
          </w:p>
        </w:tc>
        <w:tc>
          <w:tcPr>
            <w:tcW w:w="1060" w:type="dxa"/>
            <w:vAlign w:val="bottom"/>
            <w:tcBorders>
              <w:right w:val="single" w:sz="8" w:color="E5E7EF"/>
            </w:tcBorders>
            <w:shd w:val="clear" w:color="auto" w:fill="E5E7E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E5E7EF"/>
          </w:tcPr>
          <w:p>
            <w:pPr>
              <w:spacing w:after="0"/>
              <w:rPr>
                <w:sz w:val="12"/>
                <w:szCs w:val="12"/>
                <w:color w:val="auto"/>
              </w:rPr>
            </w:pPr>
          </w:p>
        </w:tc>
        <w:tc>
          <w:tcPr>
            <w:tcW w:w="660" w:type="dxa"/>
            <w:vAlign w:val="bottom"/>
            <w:shd w:val="clear" w:color="auto" w:fill="E5E7EF"/>
          </w:tcPr>
          <w:p>
            <w:pPr>
              <w:spacing w:after="0"/>
              <w:rPr>
                <w:sz w:val="12"/>
                <w:szCs w:val="12"/>
                <w:color w:val="auto"/>
              </w:rPr>
            </w:pPr>
          </w:p>
        </w:tc>
        <w:tc>
          <w:tcPr>
            <w:tcW w:w="4400" w:type="dxa"/>
            <w:vAlign w:val="bottom"/>
            <w:shd w:val="clear" w:color="auto" w:fill="E5E7EF"/>
          </w:tcPr>
          <w:p>
            <w:pPr>
              <w:spacing w:after="0"/>
              <w:rPr>
                <w:sz w:val="12"/>
                <w:szCs w:val="12"/>
                <w:color w:val="auto"/>
              </w:rPr>
            </w:pPr>
          </w:p>
        </w:tc>
        <w:tc>
          <w:tcPr>
            <w:tcW w:w="500" w:type="dxa"/>
            <w:vAlign w:val="bottom"/>
            <w:shd w:val="clear" w:color="auto" w:fill="E5E7EF"/>
          </w:tcPr>
          <w:p>
            <w:pPr>
              <w:spacing w:after="0"/>
              <w:rPr>
                <w:sz w:val="12"/>
                <w:szCs w:val="12"/>
                <w:color w:val="auto"/>
              </w:rPr>
            </w:pPr>
          </w:p>
        </w:tc>
        <w:tc>
          <w:tcPr>
            <w:tcW w:w="14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Board Voting</w:t>
            </w:r>
          </w:p>
        </w:tc>
        <w:tc>
          <w:tcPr>
            <w:tcW w:w="2240" w:type="dxa"/>
            <w:vAlign w:val="bottom"/>
            <w:shd w:val="clear" w:color="auto" w:fill="E5E7EF"/>
          </w:tcPr>
          <w:p>
            <w:pPr>
              <w:spacing w:after="0"/>
              <w:rPr>
                <w:sz w:val="12"/>
                <w:szCs w:val="12"/>
                <w:color w:val="auto"/>
              </w:rPr>
            </w:pPr>
          </w:p>
        </w:tc>
        <w:tc>
          <w:tcPr>
            <w:tcW w:w="9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Abstentions on</w:t>
            </w:r>
          </w:p>
        </w:tc>
        <w:tc>
          <w:tcPr>
            <w:tcW w:w="1060" w:type="dxa"/>
            <w:vAlign w:val="bottom"/>
            <w:tcBorders>
              <w:right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Effect of Broker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E5E7EF"/>
          </w:tcPr>
          <w:p>
            <w:pPr>
              <w:spacing w:after="0"/>
              <w:rPr>
                <w:sz w:val="18"/>
                <w:szCs w:val="18"/>
                <w:color w:val="auto"/>
              </w:rPr>
            </w:pPr>
          </w:p>
        </w:tc>
        <w:tc>
          <w:tcPr>
            <w:tcW w:w="660" w:type="dxa"/>
            <w:vAlign w:val="bottom"/>
            <w:shd w:val="clear" w:color="auto" w:fill="E5E7EF"/>
          </w:tcPr>
          <w:p>
            <w:pPr>
              <w:ind w:left="20"/>
              <w:spacing w:after="0"/>
              <w:rPr>
                <w:sz w:val="20"/>
                <w:szCs w:val="20"/>
                <w:color w:val="auto"/>
              </w:rPr>
            </w:pPr>
            <w:r>
              <w:rPr>
                <w:rFonts w:ascii="Arial" w:cs="Arial" w:eastAsia="Arial" w:hAnsi="Arial"/>
                <w:sz w:val="13"/>
                <w:szCs w:val="13"/>
                <w:color w:val="auto"/>
              </w:rPr>
              <w:t>Proposal</w:t>
            </w:r>
          </w:p>
        </w:tc>
        <w:tc>
          <w:tcPr>
            <w:tcW w:w="4400" w:type="dxa"/>
            <w:vAlign w:val="bottom"/>
            <w:shd w:val="clear" w:color="auto" w:fill="E5E7EF"/>
          </w:tcPr>
          <w:p>
            <w:pPr>
              <w:ind w:left="120"/>
              <w:spacing w:after="0"/>
              <w:rPr>
                <w:sz w:val="20"/>
                <w:szCs w:val="20"/>
                <w:color w:val="auto"/>
              </w:rPr>
            </w:pPr>
            <w:r>
              <w:rPr>
                <w:rFonts w:ascii="Arial" w:cs="Arial" w:eastAsia="Arial" w:hAnsi="Arial"/>
                <w:sz w:val="13"/>
                <w:szCs w:val="13"/>
                <w:color w:val="auto"/>
              </w:rPr>
              <w:t>Description</w:t>
            </w:r>
          </w:p>
        </w:tc>
        <w:tc>
          <w:tcPr>
            <w:tcW w:w="5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Page</w:t>
            </w:r>
          </w:p>
        </w:tc>
        <w:tc>
          <w:tcPr>
            <w:tcW w:w="14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Recommendations</w:t>
            </w:r>
          </w:p>
        </w:tc>
        <w:tc>
          <w:tcPr>
            <w:tcW w:w="2240" w:type="dxa"/>
            <w:vAlign w:val="bottom"/>
            <w:shd w:val="clear" w:color="auto" w:fill="E5E7EF"/>
          </w:tcPr>
          <w:p>
            <w:pPr>
              <w:jc w:val="right"/>
              <w:ind w:right="29"/>
              <w:spacing w:after="0"/>
              <w:rPr>
                <w:sz w:val="20"/>
                <w:szCs w:val="20"/>
                <w:color w:val="auto"/>
              </w:rPr>
            </w:pPr>
            <w:r>
              <w:rPr>
                <w:rFonts w:ascii="Arial" w:cs="Arial" w:eastAsia="Arial" w:hAnsi="Arial"/>
                <w:sz w:val="13"/>
                <w:szCs w:val="13"/>
                <w:color w:val="auto"/>
              </w:rPr>
              <w:t>Required Vote to Pass</w:t>
            </w:r>
            <w:r>
              <w:rPr>
                <w:rFonts w:ascii="Arial" w:cs="Arial" w:eastAsia="Arial" w:hAnsi="Arial"/>
                <w:sz w:val="16"/>
                <w:szCs w:val="16"/>
                <w:color w:val="auto"/>
                <w:vertAlign w:val="superscript"/>
              </w:rPr>
              <w:t>(1)</w:t>
            </w:r>
          </w:p>
        </w:tc>
        <w:tc>
          <w:tcPr>
            <w:tcW w:w="9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Votes Cast</w:t>
            </w:r>
            <w:r>
              <w:rPr>
                <w:rFonts w:ascii="Arial" w:cs="Arial" w:eastAsia="Arial" w:hAnsi="Arial"/>
                <w:sz w:val="16"/>
                <w:szCs w:val="16"/>
                <w:color w:val="auto"/>
                <w:vertAlign w:val="superscript"/>
              </w:rPr>
              <w:t>(2)</w:t>
            </w:r>
          </w:p>
        </w:tc>
        <w:tc>
          <w:tcPr>
            <w:tcW w:w="1060" w:type="dxa"/>
            <w:vAlign w:val="bottom"/>
            <w:tcBorders>
              <w:right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Non-Votes</w:t>
            </w:r>
            <w:r>
              <w:rPr>
                <w:rFonts w:ascii="Arial" w:cs="Arial" w:eastAsia="Arial" w:hAnsi="Arial"/>
                <w:sz w:val="16"/>
                <w:szCs w:val="16"/>
                <w:color w:val="auto"/>
                <w:vertAlign w:val="superscript"/>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Borders>
              <w:top w:val="single" w:sz="8" w:color="003478"/>
            </w:tcBorders>
          </w:tcPr>
          <w:p>
            <w:pPr>
              <w:ind w:left="20"/>
              <w:spacing w:after="0"/>
              <w:rPr>
                <w:sz w:val="20"/>
                <w:szCs w:val="20"/>
                <w:color w:val="auto"/>
              </w:rPr>
            </w:pPr>
            <w:r>
              <w:rPr>
                <w:rFonts w:ascii="Calibri" w:cs="Calibri" w:eastAsia="Calibri" w:hAnsi="Calibri"/>
                <w:sz w:val="14"/>
                <w:szCs w:val="14"/>
                <w:b w:val="1"/>
                <w:bCs w:val="1"/>
                <w:color w:val="auto"/>
              </w:rPr>
              <w:t>1</w:t>
            </w:r>
          </w:p>
        </w:tc>
        <w:tc>
          <w:tcPr>
            <w:tcW w:w="4400" w:type="dxa"/>
            <w:vAlign w:val="bottom"/>
            <w:tcBorders>
              <w:top w:val="single" w:sz="8" w:color="003478"/>
            </w:tcBorders>
          </w:tcPr>
          <w:p>
            <w:pPr>
              <w:ind w:left="140"/>
              <w:spacing w:after="0"/>
              <w:rPr>
                <w:sz w:val="20"/>
                <w:szCs w:val="20"/>
                <w:color w:val="auto"/>
              </w:rPr>
            </w:pPr>
            <w:r>
              <w:rPr>
                <w:rFonts w:ascii="Calibri" w:cs="Calibri" w:eastAsia="Calibri" w:hAnsi="Calibri"/>
                <w:sz w:val="14"/>
                <w:szCs w:val="14"/>
                <w:color w:val="auto"/>
              </w:rPr>
              <w:t>Electon of Directors</w:t>
            </w:r>
          </w:p>
        </w:tc>
        <w:tc>
          <w:tcPr>
            <w:tcW w:w="500" w:type="dxa"/>
            <w:vAlign w:val="bottom"/>
            <w:tcBorders>
              <w:top w:val="single" w:sz="8" w:color="003478"/>
            </w:tcBorders>
          </w:tcPr>
          <w:p>
            <w:pPr>
              <w:jc w:val="right"/>
              <w:spacing w:after="0"/>
              <w:rPr>
                <w:sz w:val="20"/>
                <w:szCs w:val="20"/>
                <w:color w:val="auto"/>
              </w:rPr>
            </w:pPr>
            <w:r>
              <w:rPr>
                <w:rFonts w:ascii="Calibri" w:cs="Calibri" w:eastAsia="Calibri" w:hAnsi="Calibri"/>
                <w:sz w:val="14"/>
                <w:szCs w:val="14"/>
                <w:color w:val="auto"/>
              </w:rPr>
              <w:t>6</w:t>
            </w:r>
          </w:p>
        </w:tc>
        <w:tc>
          <w:tcPr>
            <w:tcW w:w="1400" w:type="dxa"/>
            <w:vAlign w:val="bottom"/>
            <w:tcBorders>
              <w:top w:val="single" w:sz="8" w:color="003478"/>
            </w:tcBorders>
            <w:shd w:val="clear" w:color="auto" w:fill="E5E7EF"/>
          </w:tcPr>
          <w:p>
            <w:pPr>
              <w:jc w:val="right"/>
              <w:spacing w:after="0"/>
              <w:rPr>
                <w:sz w:val="20"/>
                <w:szCs w:val="20"/>
                <w:color w:val="auto"/>
              </w:rPr>
            </w:pPr>
            <w:r>
              <w:rPr>
                <w:rFonts w:ascii="Calibri" w:cs="Calibri" w:eastAsia="Calibri" w:hAnsi="Calibri"/>
                <w:sz w:val="14"/>
                <w:szCs w:val="14"/>
                <w:b w:val="1"/>
                <w:bCs w:val="1"/>
                <w:color w:val="auto"/>
              </w:rPr>
              <w:t>FOR ALL DIRECTOR</w:t>
            </w:r>
          </w:p>
        </w:tc>
        <w:tc>
          <w:tcPr>
            <w:tcW w:w="2240" w:type="dxa"/>
            <w:vAlign w:val="bottom"/>
            <w:tcBorders>
              <w:top w:val="single" w:sz="8" w:color="003478"/>
            </w:tcBorders>
          </w:tcPr>
          <w:p>
            <w:pPr>
              <w:jc w:val="right"/>
              <w:ind w:right="29"/>
              <w:spacing w:after="0"/>
              <w:rPr>
                <w:sz w:val="20"/>
                <w:szCs w:val="20"/>
                <w:color w:val="auto"/>
              </w:rPr>
            </w:pPr>
            <w:r>
              <w:rPr>
                <w:rFonts w:ascii="Calibri" w:cs="Calibri" w:eastAsia="Calibri" w:hAnsi="Calibri"/>
                <w:sz w:val="14"/>
                <w:szCs w:val="14"/>
                <w:color w:val="auto"/>
              </w:rPr>
              <w:t>Majority of votes cast for each</w:t>
            </w:r>
          </w:p>
        </w:tc>
        <w:tc>
          <w:tcPr>
            <w:tcW w:w="960" w:type="dxa"/>
            <w:vAlign w:val="bottom"/>
            <w:tcBorders>
              <w:top w:val="single" w:sz="8" w:color="003478"/>
            </w:tcBorders>
          </w:tcPr>
          <w:p>
            <w:pPr>
              <w:jc w:val="right"/>
              <w:spacing w:after="0"/>
              <w:rPr>
                <w:sz w:val="20"/>
                <w:szCs w:val="20"/>
                <w:color w:val="auto"/>
              </w:rPr>
            </w:pPr>
            <w:r>
              <w:rPr>
                <w:rFonts w:ascii="Calibri" w:cs="Calibri" w:eastAsia="Calibri" w:hAnsi="Calibri"/>
                <w:sz w:val="14"/>
                <w:szCs w:val="14"/>
                <w:color w:val="auto"/>
              </w:rPr>
              <w:t>None</w:t>
            </w:r>
          </w:p>
        </w:tc>
        <w:tc>
          <w:tcPr>
            <w:tcW w:w="1060" w:type="dxa"/>
            <w:vAlign w:val="bottom"/>
            <w:tcBorders>
              <w:top w:val="single" w:sz="8" w:color="003478"/>
            </w:tcBorders>
          </w:tcPr>
          <w:p>
            <w:pPr>
              <w:jc w:val="right"/>
              <w:spacing w:after="0"/>
              <w:rPr>
                <w:sz w:val="20"/>
                <w:szCs w:val="20"/>
                <w:color w:val="auto"/>
              </w:rPr>
            </w:pPr>
            <w:r>
              <w:rPr>
                <w:rFonts w:ascii="Calibri" w:cs="Calibri" w:eastAsia="Calibri" w:hAnsi="Calibri"/>
                <w:sz w:val="14"/>
                <w:szCs w:val="14"/>
                <w:color w:val="auto"/>
              </w:rPr>
              <w:t>None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shd w:val="clear" w:color="auto" w:fill="E5E7EF"/>
          </w:tcPr>
          <w:p>
            <w:pPr>
              <w:jc w:val="right"/>
              <w:spacing w:after="0"/>
              <w:rPr>
                <w:sz w:val="20"/>
                <w:szCs w:val="20"/>
                <w:color w:val="auto"/>
              </w:rPr>
            </w:pPr>
            <w:r>
              <w:rPr>
                <w:rFonts w:ascii="Calibri" w:cs="Calibri" w:eastAsia="Calibri" w:hAnsi="Calibri"/>
                <w:sz w:val="14"/>
                <w:szCs w:val="14"/>
                <w:b w:val="1"/>
                <w:bCs w:val="1"/>
                <w:color w:val="auto"/>
              </w:rPr>
              <w:t>NOMINEES</w:t>
            </w:r>
          </w:p>
        </w:tc>
        <w:tc>
          <w:tcPr>
            <w:tcW w:w="2240" w:type="dxa"/>
            <w:vAlign w:val="bottom"/>
          </w:tcPr>
          <w:p>
            <w:pPr>
              <w:jc w:val="right"/>
              <w:ind w:right="29"/>
              <w:spacing w:after="0"/>
              <w:rPr>
                <w:sz w:val="20"/>
                <w:szCs w:val="20"/>
                <w:color w:val="auto"/>
              </w:rPr>
            </w:pPr>
            <w:r>
              <w:rPr>
                <w:rFonts w:ascii="Calibri" w:cs="Calibri" w:eastAsia="Calibri" w:hAnsi="Calibri"/>
                <w:sz w:val="14"/>
                <w:szCs w:val="14"/>
                <w:color w:val="auto"/>
              </w:rPr>
              <w:t>nominee</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60" w:type="dxa"/>
            <w:vAlign w:val="bottom"/>
            <w:tcBorders>
              <w:bottom w:val="single" w:sz="8" w:color="939598"/>
            </w:tcBorders>
          </w:tcPr>
          <w:p>
            <w:pPr>
              <w:spacing w:after="0"/>
              <w:rPr>
                <w:sz w:val="6"/>
                <w:szCs w:val="6"/>
                <w:color w:val="auto"/>
              </w:rPr>
            </w:pPr>
          </w:p>
        </w:tc>
        <w:tc>
          <w:tcPr>
            <w:tcW w:w="4400" w:type="dxa"/>
            <w:vAlign w:val="bottom"/>
            <w:tcBorders>
              <w:bottom w:val="single" w:sz="8" w:color="939598"/>
            </w:tcBorders>
          </w:tcPr>
          <w:p>
            <w:pPr>
              <w:spacing w:after="0"/>
              <w:rPr>
                <w:sz w:val="6"/>
                <w:szCs w:val="6"/>
                <w:color w:val="auto"/>
              </w:rPr>
            </w:pPr>
          </w:p>
        </w:tc>
        <w:tc>
          <w:tcPr>
            <w:tcW w:w="500" w:type="dxa"/>
            <w:vAlign w:val="bottom"/>
            <w:tcBorders>
              <w:bottom w:val="single" w:sz="8" w:color="939598"/>
            </w:tcBorders>
          </w:tcPr>
          <w:p>
            <w:pPr>
              <w:spacing w:after="0"/>
              <w:rPr>
                <w:sz w:val="6"/>
                <w:szCs w:val="6"/>
                <w:color w:val="auto"/>
              </w:rPr>
            </w:pPr>
          </w:p>
        </w:tc>
        <w:tc>
          <w:tcPr>
            <w:tcW w:w="1400" w:type="dxa"/>
            <w:vAlign w:val="bottom"/>
            <w:tcBorders>
              <w:bottom w:val="single" w:sz="8" w:color="939598"/>
            </w:tcBorders>
            <w:shd w:val="clear" w:color="auto" w:fill="E5E7EF"/>
          </w:tcPr>
          <w:p>
            <w:pPr>
              <w:spacing w:after="0"/>
              <w:rPr>
                <w:sz w:val="6"/>
                <w:szCs w:val="6"/>
                <w:color w:val="auto"/>
              </w:rPr>
            </w:pPr>
          </w:p>
        </w:tc>
        <w:tc>
          <w:tcPr>
            <w:tcW w:w="224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106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Calibri" w:cs="Calibri" w:eastAsia="Calibri" w:hAnsi="Calibri"/>
                <w:sz w:val="14"/>
                <w:szCs w:val="14"/>
                <w:b w:val="1"/>
                <w:bCs w:val="1"/>
                <w:color w:val="auto"/>
              </w:rPr>
              <w:t>2</w:t>
            </w:r>
          </w:p>
        </w:tc>
        <w:tc>
          <w:tcPr>
            <w:tcW w:w="4400" w:type="dxa"/>
            <w:vAlign w:val="bottom"/>
          </w:tcPr>
          <w:p>
            <w:pPr>
              <w:ind w:left="140"/>
              <w:spacing w:after="0" w:line="142" w:lineRule="exact"/>
              <w:rPr>
                <w:sz w:val="20"/>
                <w:szCs w:val="20"/>
                <w:color w:val="auto"/>
              </w:rPr>
            </w:pPr>
            <w:r>
              <w:rPr>
                <w:rFonts w:ascii="Calibri" w:cs="Calibri" w:eastAsia="Calibri" w:hAnsi="Calibri"/>
                <w:sz w:val="14"/>
                <w:szCs w:val="14"/>
                <w:color w:val="auto"/>
              </w:rPr>
              <w:t>Advisory Vote to Approve the Compensaton of our Named Executve</w:t>
            </w:r>
          </w:p>
        </w:tc>
        <w:tc>
          <w:tcPr>
            <w:tcW w:w="500" w:type="dxa"/>
            <w:vAlign w:val="bottom"/>
          </w:tcPr>
          <w:p>
            <w:pPr>
              <w:jc w:val="right"/>
              <w:spacing w:after="0" w:line="142" w:lineRule="exact"/>
              <w:rPr>
                <w:sz w:val="20"/>
                <w:szCs w:val="20"/>
                <w:color w:val="auto"/>
              </w:rPr>
            </w:pPr>
            <w:r>
              <w:rPr>
                <w:rFonts w:ascii="Calibri" w:cs="Calibri" w:eastAsia="Calibri" w:hAnsi="Calibri"/>
                <w:sz w:val="14"/>
                <w:szCs w:val="14"/>
                <w:color w:val="auto"/>
              </w:rPr>
              <w:t>39</w:t>
            </w:r>
          </w:p>
        </w:tc>
        <w:tc>
          <w:tcPr>
            <w:tcW w:w="1400" w:type="dxa"/>
            <w:vAlign w:val="bottom"/>
            <w:shd w:val="clear" w:color="auto" w:fill="E5E7EF"/>
          </w:tcPr>
          <w:p>
            <w:pPr>
              <w:jc w:val="right"/>
              <w:spacing w:after="0" w:line="142" w:lineRule="exact"/>
              <w:rPr>
                <w:sz w:val="20"/>
                <w:szCs w:val="20"/>
                <w:color w:val="auto"/>
              </w:rPr>
            </w:pPr>
            <w:r>
              <w:rPr>
                <w:rFonts w:ascii="Calibri" w:cs="Calibri" w:eastAsia="Calibri" w:hAnsi="Calibri"/>
                <w:sz w:val="14"/>
                <w:szCs w:val="14"/>
                <w:b w:val="1"/>
                <w:bCs w:val="1"/>
                <w:color w:val="auto"/>
              </w:rPr>
              <w:t>FOR</w:t>
            </w:r>
          </w:p>
        </w:tc>
        <w:tc>
          <w:tcPr>
            <w:tcW w:w="2240" w:type="dxa"/>
            <w:vAlign w:val="bottom"/>
          </w:tcPr>
          <w:p>
            <w:pPr>
              <w:jc w:val="right"/>
              <w:ind w:right="29"/>
              <w:spacing w:after="0" w:line="142" w:lineRule="exact"/>
              <w:rPr>
                <w:sz w:val="20"/>
                <w:szCs w:val="20"/>
                <w:color w:val="auto"/>
              </w:rPr>
            </w:pPr>
            <w:r>
              <w:rPr>
                <w:rFonts w:ascii="Calibri" w:cs="Calibri" w:eastAsia="Calibri" w:hAnsi="Calibri"/>
                <w:sz w:val="14"/>
                <w:szCs w:val="14"/>
                <w:color w:val="auto"/>
              </w:rPr>
              <w:t>Majority of votes cast; advisory and</w:t>
            </w:r>
          </w:p>
        </w:tc>
        <w:tc>
          <w:tcPr>
            <w:tcW w:w="960" w:type="dxa"/>
            <w:vAlign w:val="bottom"/>
          </w:tcPr>
          <w:p>
            <w:pPr>
              <w:jc w:val="right"/>
              <w:spacing w:after="0" w:line="142" w:lineRule="exact"/>
              <w:rPr>
                <w:sz w:val="20"/>
                <w:szCs w:val="20"/>
                <w:color w:val="auto"/>
              </w:rPr>
            </w:pPr>
            <w:r>
              <w:rPr>
                <w:rFonts w:ascii="Calibri" w:cs="Calibri" w:eastAsia="Calibri" w:hAnsi="Calibri"/>
                <w:sz w:val="14"/>
                <w:szCs w:val="14"/>
                <w:color w:val="auto"/>
              </w:rPr>
              <w:t>None</w:t>
            </w:r>
          </w:p>
        </w:tc>
        <w:tc>
          <w:tcPr>
            <w:tcW w:w="1060" w:type="dxa"/>
            <w:vAlign w:val="bottom"/>
          </w:tcPr>
          <w:p>
            <w:pPr>
              <w:jc w:val="right"/>
              <w:spacing w:after="0" w:line="142" w:lineRule="exact"/>
              <w:rPr>
                <w:sz w:val="20"/>
                <w:szCs w:val="20"/>
                <w:color w:val="auto"/>
              </w:rPr>
            </w:pPr>
            <w:r>
              <w:rPr>
                <w:rFonts w:ascii="Calibri" w:cs="Calibri" w:eastAsia="Calibri" w:hAnsi="Calibri"/>
                <w:sz w:val="14"/>
                <w:szCs w:val="14"/>
                <w:color w:val="auto"/>
              </w:rPr>
              <w:t>None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0" w:type="dxa"/>
            <w:vAlign w:val="bottom"/>
            <w:vMerge w:val="restart"/>
          </w:tcPr>
          <w:p>
            <w:pPr>
              <w:ind w:left="140"/>
              <w:spacing w:after="0"/>
              <w:rPr>
                <w:sz w:val="20"/>
                <w:szCs w:val="20"/>
                <w:color w:val="auto"/>
              </w:rPr>
            </w:pPr>
            <w:r>
              <w:rPr>
                <w:rFonts w:ascii="Calibri" w:cs="Calibri" w:eastAsia="Calibri" w:hAnsi="Calibri"/>
                <w:sz w:val="14"/>
                <w:szCs w:val="14"/>
                <w:color w:val="auto"/>
              </w:rPr>
              <w:t>Ofcers (Say-on-Pay)</w:t>
            </w:r>
          </w:p>
        </w:tc>
        <w:tc>
          <w:tcPr>
            <w:tcW w:w="500" w:type="dxa"/>
            <w:vAlign w:val="bottom"/>
          </w:tcPr>
          <w:p>
            <w:pPr>
              <w:spacing w:after="0"/>
              <w:rPr>
                <w:sz w:val="14"/>
                <w:szCs w:val="14"/>
                <w:color w:val="auto"/>
              </w:rPr>
            </w:pPr>
          </w:p>
        </w:tc>
        <w:tc>
          <w:tcPr>
            <w:tcW w:w="1400" w:type="dxa"/>
            <w:vAlign w:val="bottom"/>
            <w:shd w:val="clear" w:color="auto" w:fill="E5E7EF"/>
          </w:tcPr>
          <w:p>
            <w:pPr>
              <w:spacing w:after="0"/>
              <w:rPr>
                <w:sz w:val="14"/>
                <w:szCs w:val="14"/>
                <w:color w:val="auto"/>
              </w:rPr>
            </w:pPr>
          </w:p>
        </w:tc>
        <w:tc>
          <w:tcPr>
            <w:tcW w:w="2240" w:type="dxa"/>
            <w:vAlign w:val="bottom"/>
          </w:tcPr>
          <w:p>
            <w:pPr>
              <w:jc w:val="right"/>
              <w:ind w:right="29"/>
              <w:spacing w:after="0"/>
              <w:rPr>
                <w:sz w:val="20"/>
                <w:szCs w:val="20"/>
                <w:color w:val="auto"/>
              </w:rPr>
            </w:pPr>
            <w:r>
              <w:rPr>
                <w:rFonts w:ascii="Calibri" w:cs="Calibri" w:eastAsia="Calibri" w:hAnsi="Calibri"/>
                <w:sz w:val="14"/>
                <w:szCs w:val="14"/>
                <w:color w:val="auto"/>
              </w:rPr>
              <w:t>non-binding</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shd w:val="clear" w:color="auto" w:fill="E5E7EF"/>
          </w:tcPr>
          <w:p>
            <w:pPr>
              <w:spacing w:after="0"/>
              <w:rPr>
                <w:sz w:val="3"/>
                <w:szCs w:val="3"/>
                <w:color w:val="auto"/>
              </w:rPr>
            </w:pPr>
          </w:p>
        </w:tc>
        <w:tc>
          <w:tcPr>
            <w:tcW w:w="2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vMerge w:val="restart"/>
          </w:tcPr>
          <w:p>
            <w:pPr>
              <w:spacing w:after="0"/>
              <w:rPr>
                <w:sz w:val="6"/>
                <w:szCs w:val="6"/>
                <w:color w:val="auto"/>
              </w:rPr>
            </w:pPr>
          </w:p>
        </w:tc>
        <w:tc>
          <w:tcPr>
            <w:tcW w:w="660" w:type="dxa"/>
            <w:vAlign w:val="bottom"/>
            <w:tcBorders>
              <w:bottom w:val="single" w:sz="8" w:color="939598"/>
            </w:tcBorders>
          </w:tcPr>
          <w:p>
            <w:pPr>
              <w:spacing w:after="0"/>
              <w:rPr>
                <w:sz w:val="6"/>
                <w:szCs w:val="6"/>
                <w:color w:val="auto"/>
              </w:rPr>
            </w:pPr>
          </w:p>
        </w:tc>
        <w:tc>
          <w:tcPr>
            <w:tcW w:w="4400" w:type="dxa"/>
            <w:vAlign w:val="bottom"/>
            <w:tcBorders>
              <w:bottom w:val="single" w:sz="8" w:color="939598"/>
            </w:tcBorders>
          </w:tcPr>
          <w:p>
            <w:pPr>
              <w:spacing w:after="0"/>
              <w:rPr>
                <w:sz w:val="6"/>
                <w:szCs w:val="6"/>
                <w:color w:val="auto"/>
              </w:rPr>
            </w:pPr>
          </w:p>
        </w:tc>
        <w:tc>
          <w:tcPr>
            <w:tcW w:w="500" w:type="dxa"/>
            <w:vAlign w:val="bottom"/>
            <w:tcBorders>
              <w:bottom w:val="single" w:sz="8" w:color="939598"/>
            </w:tcBorders>
          </w:tcPr>
          <w:p>
            <w:pPr>
              <w:spacing w:after="0"/>
              <w:rPr>
                <w:sz w:val="6"/>
                <w:szCs w:val="6"/>
                <w:color w:val="auto"/>
              </w:rPr>
            </w:pPr>
          </w:p>
        </w:tc>
        <w:tc>
          <w:tcPr>
            <w:tcW w:w="1400" w:type="dxa"/>
            <w:vAlign w:val="bottom"/>
            <w:tcBorders>
              <w:bottom w:val="single" w:sz="8" w:color="939598"/>
            </w:tcBorders>
            <w:shd w:val="clear" w:color="auto" w:fill="E5E7EF"/>
          </w:tcPr>
          <w:p>
            <w:pPr>
              <w:spacing w:after="0"/>
              <w:rPr>
                <w:sz w:val="6"/>
                <w:szCs w:val="6"/>
                <w:color w:val="auto"/>
              </w:rPr>
            </w:pPr>
          </w:p>
        </w:tc>
        <w:tc>
          <w:tcPr>
            <w:tcW w:w="224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1060" w:type="dxa"/>
            <w:vAlign w:val="bottom"/>
            <w:tcBorders>
              <w:bottom w:val="single" w:sz="8" w:color="939598"/>
            </w:tcBorders>
          </w:tcPr>
          <w:p>
            <w:pPr>
              <w:spacing w:after="0"/>
              <w:rPr>
                <w:sz w:val="6"/>
                <w:szCs w:val="6"/>
                <w:color w:val="auto"/>
              </w:rPr>
            </w:pPr>
          </w:p>
        </w:tc>
        <w:tc>
          <w:tcPr>
            <w:tcW w:w="2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Calibri" w:cs="Calibri" w:eastAsia="Calibri" w:hAnsi="Calibri"/>
                <w:sz w:val="14"/>
                <w:szCs w:val="14"/>
                <w:b w:val="1"/>
                <w:bCs w:val="1"/>
                <w:color w:val="auto"/>
              </w:rPr>
              <w:t>3</w:t>
            </w:r>
          </w:p>
        </w:tc>
        <w:tc>
          <w:tcPr>
            <w:tcW w:w="4400" w:type="dxa"/>
            <w:vAlign w:val="bottom"/>
          </w:tcPr>
          <w:p>
            <w:pPr>
              <w:ind w:left="140"/>
              <w:spacing w:after="0" w:line="142" w:lineRule="exact"/>
              <w:rPr>
                <w:sz w:val="20"/>
                <w:szCs w:val="20"/>
                <w:color w:val="auto"/>
              </w:rPr>
            </w:pPr>
            <w:r>
              <w:rPr>
                <w:rFonts w:ascii="Calibri" w:cs="Calibri" w:eastAsia="Calibri" w:hAnsi="Calibri"/>
                <w:sz w:val="14"/>
                <w:szCs w:val="14"/>
                <w:color w:val="auto"/>
              </w:rPr>
              <w:t>Advisory Vote on the Frequency of Holding Votes on Say-on-Pay</w:t>
            </w:r>
          </w:p>
        </w:tc>
        <w:tc>
          <w:tcPr>
            <w:tcW w:w="500" w:type="dxa"/>
            <w:vAlign w:val="bottom"/>
          </w:tcPr>
          <w:p>
            <w:pPr>
              <w:jc w:val="right"/>
              <w:spacing w:after="0" w:line="142" w:lineRule="exact"/>
              <w:rPr>
                <w:sz w:val="20"/>
                <w:szCs w:val="20"/>
                <w:color w:val="auto"/>
              </w:rPr>
            </w:pPr>
            <w:r>
              <w:rPr>
                <w:rFonts w:ascii="Calibri" w:cs="Calibri" w:eastAsia="Calibri" w:hAnsi="Calibri"/>
                <w:sz w:val="14"/>
                <w:szCs w:val="14"/>
                <w:color w:val="auto"/>
              </w:rPr>
              <w:t>40</w:t>
            </w:r>
          </w:p>
        </w:tc>
        <w:tc>
          <w:tcPr>
            <w:tcW w:w="1400" w:type="dxa"/>
            <w:vAlign w:val="bottom"/>
            <w:shd w:val="clear" w:color="auto" w:fill="E5E7EF"/>
          </w:tcPr>
          <w:p>
            <w:pPr>
              <w:jc w:val="right"/>
              <w:spacing w:after="0" w:line="142" w:lineRule="exact"/>
              <w:rPr>
                <w:sz w:val="20"/>
                <w:szCs w:val="20"/>
                <w:color w:val="auto"/>
              </w:rPr>
            </w:pPr>
            <w:r>
              <w:rPr>
                <w:rFonts w:ascii="Calibri" w:cs="Calibri" w:eastAsia="Calibri" w:hAnsi="Calibri"/>
                <w:sz w:val="14"/>
                <w:szCs w:val="14"/>
                <w:b w:val="1"/>
                <w:bCs w:val="1"/>
                <w:color w:val="auto"/>
              </w:rPr>
              <w:t>FOR “ONE YEAR”</w:t>
            </w:r>
          </w:p>
        </w:tc>
        <w:tc>
          <w:tcPr>
            <w:tcW w:w="2240" w:type="dxa"/>
            <w:vAlign w:val="bottom"/>
          </w:tcPr>
          <w:p>
            <w:pPr>
              <w:jc w:val="right"/>
              <w:ind w:right="29"/>
              <w:spacing w:after="0" w:line="142" w:lineRule="exact"/>
              <w:rPr>
                <w:sz w:val="20"/>
                <w:szCs w:val="20"/>
                <w:color w:val="auto"/>
              </w:rPr>
            </w:pPr>
            <w:r>
              <w:rPr>
                <w:rFonts w:ascii="Calibri" w:cs="Calibri" w:eastAsia="Calibri" w:hAnsi="Calibri"/>
                <w:sz w:val="12"/>
                <w:szCs w:val="12"/>
                <w:color w:val="auto"/>
              </w:rPr>
              <w:t>Majority of votes cast</w:t>
            </w:r>
            <w:r>
              <w:rPr>
                <w:rFonts w:ascii="Calibri" w:cs="Calibri" w:eastAsia="Calibri" w:hAnsi="Calibri"/>
                <w:sz w:val="15"/>
                <w:szCs w:val="15"/>
                <w:color w:val="auto"/>
                <w:vertAlign w:val="superscript"/>
              </w:rPr>
              <w:t>(4)</w:t>
            </w:r>
            <w:r>
              <w:rPr>
                <w:rFonts w:ascii="Calibri" w:cs="Calibri" w:eastAsia="Calibri" w:hAnsi="Calibri"/>
                <w:sz w:val="12"/>
                <w:szCs w:val="12"/>
                <w:color w:val="auto"/>
              </w:rPr>
              <w:t>; advisory</w:t>
            </w:r>
          </w:p>
        </w:tc>
        <w:tc>
          <w:tcPr>
            <w:tcW w:w="960" w:type="dxa"/>
            <w:vAlign w:val="bottom"/>
          </w:tcPr>
          <w:p>
            <w:pPr>
              <w:jc w:val="right"/>
              <w:spacing w:after="0" w:line="142" w:lineRule="exact"/>
              <w:rPr>
                <w:sz w:val="20"/>
                <w:szCs w:val="20"/>
                <w:color w:val="auto"/>
              </w:rPr>
            </w:pPr>
            <w:r>
              <w:rPr>
                <w:rFonts w:ascii="Calibri" w:cs="Calibri" w:eastAsia="Calibri" w:hAnsi="Calibri"/>
                <w:sz w:val="14"/>
                <w:szCs w:val="14"/>
                <w:color w:val="auto"/>
              </w:rPr>
              <w:t>None</w:t>
            </w:r>
          </w:p>
        </w:tc>
        <w:tc>
          <w:tcPr>
            <w:tcW w:w="1060" w:type="dxa"/>
            <w:vAlign w:val="bottom"/>
          </w:tcPr>
          <w:p>
            <w:pPr>
              <w:jc w:val="right"/>
              <w:spacing w:after="0" w:line="142" w:lineRule="exact"/>
              <w:rPr>
                <w:sz w:val="20"/>
                <w:szCs w:val="20"/>
                <w:color w:val="auto"/>
              </w:rPr>
            </w:pPr>
            <w:r>
              <w:rPr>
                <w:rFonts w:ascii="Calibri" w:cs="Calibri" w:eastAsia="Calibri" w:hAnsi="Calibri"/>
                <w:sz w:val="14"/>
                <w:szCs w:val="14"/>
                <w:color w:val="auto"/>
              </w:rPr>
              <w:t>None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Borders>
              <w:bottom w:val="single" w:sz="8" w:color="939598"/>
            </w:tcBorders>
          </w:tcPr>
          <w:p>
            <w:pPr>
              <w:spacing w:after="0"/>
              <w:rPr>
                <w:sz w:val="15"/>
                <w:szCs w:val="15"/>
                <w:color w:val="auto"/>
              </w:rPr>
            </w:pPr>
          </w:p>
        </w:tc>
        <w:tc>
          <w:tcPr>
            <w:tcW w:w="4400" w:type="dxa"/>
            <w:vAlign w:val="bottom"/>
            <w:tcBorders>
              <w:bottom w:val="single" w:sz="8" w:color="939598"/>
            </w:tcBorders>
          </w:tcPr>
          <w:p>
            <w:pPr>
              <w:spacing w:after="0"/>
              <w:rPr>
                <w:sz w:val="15"/>
                <w:szCs w:val="15"/>
                <w:color w:val="auto"/>
              </w:rPr>
            </w:pPr>
          </w:p>
        </w:tc>
        <w:tc>
          <w:tcPr>
            <w:tcW w:w="500" w:type="dxa"/>
            <w:vAlign w:val="bottom"/>
            <w:tcBorders>
              <w:bottom w:val="single" w:sz="8" w:color="939598"/>
            </w:tcBorders>
          </w:tcPr>
          <w:p>
            <w:pPr>
              <w:spacing w:after="0"/>
              <w:rPr>
                <w:sz w:val="15"/>
                <w:szCs w:val="15"/>
                <w:color w:val="auto"/>
              </w:rPr>
            </w:pPr>
          </w:p>
        </w:tc>
        <w:tc>
          <w:tcPr>
            <w:tcW w:w="1400" w:type="dxa"/>
            <w:vAlign w:val="bottom"/>
            <w:tcBorders>
              <w:bottom w:val="single" w:sz="8" w:color="939598"/>
            </w:tcBorders>
            <w:shd w:val="clear" w:color="auto" w:fill="E5E7EF"/>
          </w:tcPr>
          <w:p>
            <w:pPr>
              <w:spacing w:after="0"/>
              <w:rPr>
                <w:sz w:val="15"/>
                <w:szCs w:val="15"/>
                <w:color w:val="auto"/>
              </w:rPr>
            </w:pPr>
          </w:p>
        </w:tc>
        <w:tc>
          <w:tcPr>
            <w:tcW w:w="2240" w:type="dxa"/>
            <w:vAlign w:val="bottom"/>
            <w:tcBorders>
              <w:bottom w:val="single" w:sz="8" w:color="939598"/>
            </w:tcBorders>
          </w:tcPr>
          <w:p>
            <w:pPr>
              <w:jc w:val="right"/>
              <w:ind w:right="29"/>
              <w:spacing w:after="0"/>
              <w:rPr>
                <w:sz w:val="20"/>
                <w:szCs w:val="20"/>
                <w:color w:val="auto"/>
              </w:rPr>
            </w:pPr>
            <w:r>
              <w:rPr>
                <w:rFonts w:ascii="Calibri" w:cs="Calibri" w:eastAsia="Calibri" w:hAnsi="Calibri"/>
                <w:sz w:val="14"/>
                <w:szCs w:val="14"/>
                <w:color w:val="auto"/>
              </w:rPr>
              <w:t>and non-binding</w:t>
            </w:r>
          </w:p>
        </w:tc>
        <w:tc>
          <w:tcPr>
            <w:tcW w:w="960" w:type="dxa"/>
            <w:vAlign w:val="bottom"/>
            <w:tcBorders>
              <w:bottom w:val="single" w:sz="8" w:color="939598"/>
            </w:tcBorders>
          </w:tcPr>
          <w:p>
            <w:pPr>
              <w:spacing w:after="0"/>
              <w:rPr>
                <w:sz w:val="15"/>
                <w:szCs w:val="15"/>
                <w:color w:val="auto"/>
              </w:rPr>
            </w:pPr>
          </w:p>
        </w:tc>
        <w:tc>
          <w:tcPr>
            <w:tcW w:w="1060" w:type="dxa"/>
            <w:vAlign w:val="bottom"/>
            <w:tcBorders>
              <w:bottom w:val="single" w:sz="8" w:color="939598"/>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ind w:left="20"/>
              <w:spacing w:after="0"/>
              <w:rPr>
                <w:sz w:val="20"/>
                <w:szCs w:val="20"/>
                <w:color w:val="auto"/>
              </w:rPr>
            </w:pPr>
            <w:r>
              <w:rPr>
                <w:rFonts w:ascii="Calibri" w:cs="Calibri" w:eastAsia="Calibri" w:hAnsi="Calibri"/>
                <w:sz w:val="14"/>
                <w:szCs w:val="14"/>
                <w:b w:val="1"/>
                <w:bCs w:val="1"/>
                <w:color w:val="auto"/>
              </w:rPr>
              <w:t>4</w:t>
            </w:r>
          </w:p>
        </w:tc>
        <w:tc>
          <w:tcPr>
            <w:tcW w:w="4400" w:type="dxa"/>
            <w:vAlign w:val="bottom"/>
          </w:tcPr>
          <w:p>
            <w:pPr>
              <w:ind w:left="140"/>
              <w:spacing w:after="0"/>
              <w:rPr>
                <w:sz w:val="20"/>
                <w:szCs w:val="20"/>
                <w:color w:val="auto"/>
              </w:rPr>
            </w:pPr>
            <w:r>
              <w:rPr>
                <w:rFonts w:ascii="Calibri" w:cs="Calibri" w:eastAsia="Calibri" w:hAnsi="Calibri"/>
                <w:sz w:val="14"/>
                <w:szCs w:val="14"/>
                <w:color w:val="auto"/>
              </w:rPr>
              <w:t>Ratfcaton of Appointment of Ernst &amp; Young LLP as our Independent</w:t>
            </w:r>
          </w:p>
        </w:tc>
        <w:tc>
          <w:tcPr>
            <w:tcW w:w="500" w:type="dxa"/>
            <w:vAlign w:val="bottom"/>
          </w:tcPr>
          <w:p>
            <w:pPr>
              <w:jc w:val="right"/>
              <w:spacing w:after="0"/>
              <w:rPr>
                <w:sz w:val="20"/>
                <w:szCs w:val="20"/>
                <w:color w:val="auto"/>
              </w:rPr>
            </w:pPr>
            <w:r>
              <w:rPr>
                <w:rFonts w:ascii="Calibri" w:cs="Calibri" w:eastAsia="Calibri" w:hAnsi="Calibri"/>
                <w:sz w:val="14"/>
                <w:szCs w:val="14"/>
                <w:color w:val="auto"/>
              </w:rPr>
              <w:t>79</w:t>
            </w:r>
          </w:p>
        </w:tc>
        <w:tc>
          <w:tcPr>
            <w:tcW w:w="1400" w:type="dxa"/>
            <w:vAlign w:val="bottom"/>
            <w:shd w:val="clear" w:color="auto" w:fill="E5E7EF"/>
          </w:tcPr>
          <w:p>
            <w:pPr>
              <w:jc w:val="right"/>
              <w:spacing w:after="0"/>
              <w:rPr>
                <w:sz w:val="20"/>
                <w:szCs w:val="20"/>
                <w:color w:val="auto"/>
              </w:rPr>
            </w:pPr>
            <w:r>
              <w:rPr>
                <w:rFonts w:ascii="Calibri" w:cs="Calibri" w:eastAsia="Calibri" w:hAnsi="Calibri"/>
                <w:sz w:val="14"/>
                <w:szCs w:val="14"/>
                <w:b w:val="1"/>
                <w:bCs w:val="1"/>
                <w:color w:val="auto"/>
              </w:rPr>
              <w:t>FOR</w:t>
            </w:r>
          </w:p>
        </w:tc>
        <w:tc>
          <w:tcPr>
            <w:tcW w:w="2240" w:type="dxa"/>
            <w:vAlign w:val="bottom"/>
          </w:tcPr>
          <w:p>
            <w:pPr>
              <w:jc w:val="right"/>
              <w:ind w:right="29"/>
              <w:spacing w:after="0"/>
              <w:rPr>
                <w:sz w:val="20"/>
                <w:szCs w:val="20"/>
                <w:color w:val="auto"/>
              </w:rPr>
            </w:pPr>
            <w:r>
              <w:rPr>
                <w:rFonts w:ascii="Calibri" w:cs="Calibri" w:eastAsia="Calibri" w:hAnsi="Calibri"/>
                <w:sz w:val="14"/>
                <w:szCs w:val="14"/>
                <w:color w:val="auto"/>
              </w:rPr>
              <w:t>Majority of votes cast;</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None</w:t>
            </w:r>
          </w:p>
        </w:tc>
        <w:tc>
          <w:tcPr>
            <w:tcW w:w="1060" w:type="dxa"/>
            <w:vAlign w:val="bottom"/>
          </w:tcPr>
          <w:p>
            <w:pPr>
              <w:jc w:val="right"/>
              <w:spacing w:after="0"/>
              <w:rPr>
                <w:sz w:val="20"/>
                <w:szCs w:val="20"/>
                <w:color w:val="auto"/>
              </w:rPr>
            </w:pPr>
            <w:r>
              <w:rPr>
                <w:rFonts w:ascii="Calibri" w:cs="Calibri" w:eastAsia="Calibri" w:hAnsi="Calibri"/>
                <w:sz w:val="14"/>
                <w:szCs w:val="14"/>
                <w:color w:val="auto"/>
              </w:rPr>
              <w:t>Discretonary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0" w:type="dxa"/>
            <w:vAlign w:val="bottom"/>
          </w:tcPr>
          <w:p>
            <w:pPr>
              <w:ind w:left="140"/>
              <w:spacing w:after="0"/>
              <w:rPr>
                <w:sz w:val="20"/>
                <w:szCs w:val="20"/>
                <w:color w:val="auto"/>
              </w:rPr>
            </w:pPr>
            <w:r>
              <w:rPr>
                <w:rFonts w:ascii="Calibri" w:cs="Calibri" w:eastAsia="Calibri" w:hAnsi="Calibri"/>
                <w:sz w:val="14"/>
                <w:szCs w:val="14"/>
                <w:color w:val="auto"/>
              </w:rPr>
              <w:t>Auditors for 2023</w:t>
            </w:r>
          </w:p>
        </w:tc>
        <w:tc>
          <w:tcPr>
            <w:tcW w:w="500" w:type="dxa"/>
            <w:vAlign w:val="bottom"/>
          </w:tcPr>
          <w:p>
            <w:pPr>
              <w:spacing w:after="0"/>
              <w:rPr>
                <w:sz w:val="15"/>
                <w:szCs w:val="15"/>
                <w:color w:val="auto"/>
              </w:rPr>
            </w:pPr>
          </w:p>
        </w:tc>
        <w:tc>
          <w:tcPr>
            <w:tcW w:w="1400" w:type="dxa"/>
            <w:vAlign w:val="bottom"/>
            <w:shd w:val="clear" w:color="auto" w:fill="E5E7EF"/>
          </w:tcPr>
          <w:p>
            <w:pPr>
              <w:spacing w:after="0"/>
              <w:rPr>
                <w:sz w:val="15"/>
                <w:szCs w:val="15"/>
                <w:color w:val="auto"/>
              </w:rPr>
            </w:pPr>
          </w:p>
        </w:tc>
        <w:tc>
          <w:tcPr>
            <w:tcW w:w="2240" w:type="dxa"/>
            <w:vAlign w:val="bottom"/>
          </w:tcPr>
          <w:p>
            <w:pPr>
              <w:jc w:val="right"/>
              <w:ind w:right="29"/>
              <w:spacing w:after="0"/>
              <w:rPr>
                <w:sz w:val="20"/>
                <w:szCs w:val="20"/>
                <w:color w:val="auto"/>
              </w:rPr>
            </w:pPr>
            <w:r>
              <w:rPr>
                <w:rFonts w:ascii="Calibri" w:cs="Calibri" w:eastAsia="Calibri" w:hAnsi="Calibri"/>
                <w:sz w:val="14"/>
                <w:szCs w:val="14"/>
                <w:color w:val="auto"/>
              </w:rPr>
              <w:t>advisory and non-binding</w:t>
            </w:r>
          </w:p>
        </w:tc>
        <w:tc>
          <w:tcPr>
            <w:tcW w:w="9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auto"/>
              </w:rPr>
              <w:t>votng permited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60" w:type="dxa"/>
            <w:vAlign w:val="bottom"/>
            <w:tcBorders>
              <w:bottom w:val="single" w:sz="8" w:color="939598"/>
            </w:tcBorders>
          </w:tcPr>
          <w:p>
            <w:pPr>
              <w:spacing w:after="0"/>
              <w:rPr>
                <w:sz w:val="6"/>
                <w:szCs w:val="6"/>
                <w:color w:val="auto"/>
              </w:rPr>
            </w:pPr>
          </w:p>
        </w:tc>
        <w:tc>
          <w:tcPr>
            <w:tcW w:w="4400" w:type="dxa"/>
            <w:vAlign w:val="bottom"/>
            <w:tcBorders>
              <w:bottom w:val="single" w:sz="8" w:color="939598"/>
            </w:tcBorders>
          </w:tcPr>
          <w:p>
            <w:pPr>
              <w:spacing w:after="0"/>
              <w:rPr>
                <w:sz w:val="6"/>
                <w:szCs w:val="6"/>
                <w:color w:val="auto"/>
              </w:rPr>
            </w:pPr>
          </w:p>
        </w:tc>
        <w:tc>
          <w:tcPr>
            <w:tcW w:w="500" w:type="dxa"/>
            <w:vAlign w:val="bottom"/>
            <w:tcBorders>
              <w:bottom w:val="single" w:sz="8" w:color="939598"/>
            </w:tcBorders>
          </w:tcPr>
          <w:p>
            <w:pPr>
              <w:spacing w:after="0"/>
              <w:rPr>
                <w:sz w:val="6"/>
                <w:szCs w:val="6"/>
                <w:color w:val="auto"/>
              </w:rPr>
            </w:pPr>
          </w:p>
        </w:tc>
        <w:tc>
          <w:tcPr>
            <w:tcW w:w="1400" w:type="dxa"/>
            <w:vAlign w:val="bottom"/>
            <w:tcBorders>
              <w:bottom w:val="single" w:sz="8" w:color="939598"/>
            </w:tcBorders>
            <w:shd w:val="clear" w:color="auto" w:fill="E5E7EF"/>
          </w:tcPr>
          <w:p>
            <w:pPr>
              <w:spacing w:after="0"/>
              <w:rPr>
                <w:sz w:val="6"/>
                <w:szCs w:val="6"/>
                <w:color w:val="auto"/>
              </w:rPr>
            </w:pPr>
          </w:p>
        </w:tc>
        <w:tc>
          <w:tcPr>
            <w:tcW w:w="224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106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ind w:left="20"/>
              <w:spacing w:after="0"/>
              <w:rPr>
                <w:sz w:val="20"/>
                <w:szCs w:val="20"/>
                <w:color w:val="auto"/>
              </w:rPr>
            </w:pPr>
            <w:r>
              <w:rPr>
                <w:rFonts w:ascii="Calibri" w:cs="Calibri" w:eastAsia="Calibri" w:hAnsi="Calibri"/>
                <w:sz w:val="14"/>
                <w:szCs w:val="14"/>
                <w:b w:val="1"/>
                <w:bCs w:val="1"/>
                <w:color w:val="auto"/>
              </w:rPr>
              <w:t>5</w:t>
            </w:r>
          </w:p>
        </w:tc>
        <w:tc>
          <w:tcPr>
            <w:tcW w:w="4400" w:type="dxa"/>
            <w:vAlign w:val="bottom"/>
          </w:tcPr>
          <w:p>
            <w:pPr>
              <w:ind w:left="140"/>
              <w:spacing w:after="0"/>
              <w:rPr>
                <w:sz w:val="20"/>
                <w:szCs w:val="20"/>
                <w:color w:val="auto"/>
              </w:rPr>
            </w:pPr>
            <w:r>
              <w:rPr>
                <w:rFonts w:ascii="Calibri" w:cs="Calibri" w:eastAsia="Calibri" w:hAnsi="Calibri"/>
                <w:sz w:val="14"/>
                <w:szCs w:val="14"/>
                <w:color w:val="auto"/>
              </w:rPr>
              <w:t>Stockholder Proposal Requiring an Independent Board Chairman</w:t>
            </w:r>
          </w:p>
        </w:tc>
        <w:tc>
          <w:tcPr>
            <w:tcW w:w="500" w:type="dxa"/>
            <w:vAlign w:val="bottom"/>
          </w:tcPr>
          <w:p>
            <w:pPr>
              <w:jc w:val="right"/>
              <w:spacing w:after="0"/>
              <w:rPr>
                <w:sz w:val="20"/>
                <w:szCs w:val="20"/>
                <w:color w:val="auto"/>
              </w:rPr>
            </w:pPr>
            <w:r>
              <w:rPr>
                <w:rFonts w:ascii="Calibri" w:cs="Calibri" w:eastAsia="Calibri" w:hAnsi="Calibri"/>
                <w:sz w:val="14"/>
                <w:szCs w:val="14"/>
                <w:color w:val="auto"/>
              </w:rPr>
              <w:t>82</w:t>
            </w:r>
          </w:p>
        </w:tc>
        <w:tc>
          <w:tcPr>
            <w:tcW w:w="1400" w:type="dxa"/>
            <w:vAlign w:val="bottom"/>
            <w:shd w:val="clear" w:color="auto" w:fill="E7E8E9"/>
          </w:tcPr>
          <w:p>
            <w:pPr>
              <w:jc w:val="right"/>
              <w:spacing w:after="0"/>
              <w:rPr>
                <w:sz w:val="20"/>
                <w:szCs w:val="20"/>
                <w:color w:val="auto"/>
              </w:rPr>
            </w:pPr>
            <w:r>
              <w:rPr>
                <w:rFonts w:ascii="Calibri" w:cs="Calibri" w:eastAsia="Calibri" w:hAnsi="Calibri"/>
                <w:sz w:val="14"/>
                <w:szCs w:val="14"/>
                <w:b w:val="1"/>
                <w:bCs w:val="1"/>
                <w:color w:val="auto"/>
              </w:rPr>
              <w:t>AGAINST</w:t>
            </w:r>
          </w:p>
        </w:tc>
        <w:tc>
          <w:tcPr>
            <w:tcW w:w="2240" w:type="dxa"/>
            <w:vAlign w:val="bottom"/>
          </w:tcPr>
          <w:p>
            <w:pPr>
              <w:jc w:val="right"/>
              <w:ind w:right="29"/>
              <w:spacing w:after="0"/>
              <w:rPr>
                <w:sz w:val="20"/>
                <w:szCs w:val="20"/>
                <w:color w:val="auto"/>
              </w:rPr>
            </w:pPr>
            <w:r>
              <w:rPr>
                <w:rFonts w:ascii="Calibri" w:cs="Calibri" w:eastAsia="Calibri" w:hAnsi="Calibri"/>
                <w:sz w:val="14"/>
                <w:szCs w:val="14"/>
                <w:color w:val="auto"/>
              </w:rPr>
              <w:t>Majority of votes cast; advisory and</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None</w:t>
            </w:r>
          </w:p>
        </w:tc>
        <w:tc>
          <w:tcPr>
            <w:tcW w:w="1060" w:type="dxa"/>
            <w:vAlign w:val="bottom"/>
          </w:tcPr>
          <w:p>
            <w:pPr>
              <w:jc w:val="right"/>
              <w:spacing w:after="0"/>
              <w:rPr>
                <w:sz w:val="20"/>
                <w:szCs w:val="20"/>
                <w:color w:val="auto"/>
              </w:rPr>
            </w:pPr>
            <w:r>
              <w:rPr>
                <w:rFonts w:ascii="Calibri" w:cs="Calibri" w:eastAsia="Calibri" w:hAnsi="Calibri"/>
                <w:sz w:val="14"/>
                <w:szCs w:val="14"/>
                <w:color w:val="auto"/>
              </w:rPr>
              <w:t>None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shd w:val="clear" w:color="auto" w:fill="E7E8E9"/>
          </w:tcPr>
          <w:p>
            <w:pPr>
              <w:spacing w:after="0"/>
              <w:rPr>
                <w:sz w:val="15"/>
                <w:szCs w:val="15"/>
                <w:color w:val="auto"/>
              </w:rPr>
            </w:pPr>
          </w:p>
        </w:tc>
        <w:tc>
          <w:tcPr>
            <w:tcW w:w="2240" w:type="dxa"/>
            <w:vAlign w:val="bottom"/>
          </w:tcPr>
          <w:p>
            <w:pPr>
              <w:jc w:val="right"/>
              <w:ind w:right="29"/>
              <w:spacing w:after="0"/>
              <w:rPr>
                <w:sz w:val="20"/>
                <w:szCs w:val="20"/>
                <w:color w:val="auto"/>
              </w:rPr>
            </w:pPr>
            <w:r>
              <w:rPr>
                <w:rFonts w:ascii="Calibri" w:cs="Calibri" w:eastAsia="Calibri" w:hAnsi="Calibri"/>
                <w:sz w:val="14"/>
                <w:szCs w:val="14"/>
                <w:color w:val="auto"/>
              </w:rPr>
              <w:t>non-binding</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60" w:type="dxa"/>
            <w:vAlign w:val="bottom"/>
            <w:tcBorders>
              <w:bottom w:val="single" w:sz="8" w:color="939598"/>
            </w:tcBorders>
          </w:tcPr>
          <w:p>
            <w:pPr>
              <w:spacing w:after="0"/>
              <w:rPr>
                <w:sz w:val="6"/>
                <w:szCs w:val="6"/>
                <w:color w:val="auto"/>
              </w:rPr>
            </w:pPr>
          </w:p>
        </w:tc>
        <w:tc>
          <w:tcPr>
            <w:tcW w:w="4400" w:type="dxa"/>
            <w:vAlign w:val="bottom"/>
            <w:tcBorders>
              <w:bottom w:val="single" w:sz="8" w:color="939598"/>
            </w:tcBorders>
          </w:tcPr>
          <w:p>
            <w:pPr>
              <w:spacing w:after="0"/>
              <w:rPr>
                <w:sz w:val="6"/>
                <w:szCs w:val="6"/>
                <w:color w:val="auto"/>
              </w:rPr>
            </w:pPr>
          </w:p>
        </w:tc>
        <w:tc>
          <w:tcPr>
            <w:tcW w:w="500" w:type="dxa"/>
            <w:vAlign w:val="bottom"/>
            <w:tcBorders>
              <w:bottom w:val="single" w:sz="8" w:color="939598"/>
            </w:tcBorders>
          </w:tcPr>
          <w:p>
            <w:pPr>
              <w:spacing w:after="0"/>
              <w:rPr>
                <w:sz w:val="6"/>
                <w:szCs w:val="6"/>
                <w:color w:val="auto"/>
              </w:rPr>
            </w:pPr>
          </w:p>
        </w:tc>
        <w:tc>
          <w:tcPr>
            <w:tcW w:w="1400" w:type="dxa"/>
            <w:vAlign w:val="bottom"/>
            <w:tcBorders>
              <w:bottom w:val="single" w:sz="8" w:color="939598"/>
            </w:tcBorders>
            <w:shd w:val="clear" w:color="auto" w:fill="E7E8E9"/>
          </w:tcPr>
          <w:p>
            <w:pPr>
              <w:spacing w:after="0"/>
              <w:rPr>
                <w:sz w:val="6"/>
                <w:szCs w:val="6"/>
                <w:color w:val="auto"/>
              </w:rPr>
            </w:pPr>
          </w:p>
        </w:tc>
        <w:tc>
          <w:tcPr>
            <w:tcW w:w="224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106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ind w:left="20"/>
              <w:spacing w:after="0"/>
              <w:rPr>
                <w:sz w:val="20"/>
                <w:szCs w:val="20"/>
                <w:color w:val="auto"/>
              </w:rPr>
            </w:pPr>
            <w:r>
              <w:rPr>
                <w:rFonts w:ascii="Calibri" w:cs="Calibri" w:eastAsia="Calibri" w:hAnsi="Calibri"/>
                <w:sz w:val="14"/>
                <w:szCs w:val="14"/>
                <w:b w:val="1"/>
                <w:bCs w:val="1"/>
                <w:color w:val="auto"/>
              </w:rPr>
              <w:t>6</w:t>
            </w:r>
          </w:p>
        </w:tc>
        <w:tc>
          <w:tcPr>
            <w:tcW w:w="4400" w:type="dxa"/>
            <w:vAlign w:val="bottom"/>
          </w:tcPr>
          <w:p>
            <w:pPr>
              <w:ind w:left="140"/>
              <w:spacing w:after="0"/>
              <w:rPr>
                <w:sz w:val="20"/>
                <w:szCs w:val="20"/>
                <w:color w:val="auto"/>
              </w:rPr>
            </w:pPr>
            <w:r>
              <w:rPr>
                <w:rFonts w:ascii="Calibri" w:cs="Calibri" w:eastAsia="Calibri" w:hAnsi="Calibri"/>
                <w:sz w:val="14"/>
                <w:szCs w:val="14"/>
                <w:color w:val="auto"/>
              </w:rPr>
              <w:t>Stockholder Proposal to Issue a Human Rights Impact Assessment</w:t>
            </w:r>
          </w:p>
        </w:tc>
        <w:tc>
          <w:tcPr>
            <w:tcW w:w="500" w:type="dxa"/>
            <w:vAlign w:val="bottom"/>
          </w:tcPr>
          <w:p>
            <w:pPr>
              <w:jc w:val="right"/>
              <w:spacing w:after="0"/>
              <w:rPr>
                <w:sz w:val="20"/>
                <w:szCs w:val="20"/>
                <w:color w:val="auto"/>
              </w:rPr>
            </w:pPr>
            <w:r>
              <w:rPr>
                <w:rFonts w:ascii="Calibri" w:cs="Calibri" w:eastAsia="Calibri" w:hAnsi="Calibri"/>
                <w:sz w:val="14"/>
                <w:szCs w:val="14"/>
                <w:color w:val="auto"/>
              </w:rPr>
              <w:t>85</w:t>
            </w:r>
          </w:p>
        </w:tc>
        <w:tc>
          <w:tcPr>
            <w:tcW w:w="1400" w:type="dxa"/>
            <w:vAlign w:val="bottom"/>
            <w:shd w:val="clear" w:color="auto" w:fill="E7E8E9"/>
          </w:tcPr>
          <w:p>
            <w:pPr>
              <w:jc w:val="right"/>
              <w:spacing w:after="0"/>
              <w:rPr>
                <w:sz w:val="20"/>
                <w:szCs w:val="20"/>
                <w:color w:val="auto"/>
              </w:rPr>
            </w:pPr>
            <w:r>
              <w:rPr>
                <w:rFonts w:ascii="Calibri" w:cs="Calibri" w:eastAsia="Calibri" w:hAnsi="Calibri"/>
                <w:sz w:val="14"/>
                <w:szCs w:val="14"/>
                <w:b w:val="1"/>
                <w:bCs w:val="1"/>
                <w:color w:val="auto"/>
              </w:rPr>
              <w:t>AGAINST</w:t>
            </w:r>
          </w:p>
        </w:tc>
        <w:tc>
          <w:tcPr>
            <w:tcW w:w="2240" w:type="dxa"/>
            <w:vAlign w:val="bottom"/>
          </w:tcPr>
          <w:p>
            <w:pPr>
              <w:jc w:val="right"/>
              <w:ind w:right="29"/>
              <w:spacing w:after="0"/>
              <w:rPr>
                <w:sz w:val="20"/>
                <w:szCs w:val="20"/>
                <w:color w:val="auto"/>
              </w:rPr>
            </w:pPr>
            <w:r>
              <w:rPr>
                <w:rFonts w:ascii="Calibri" w:cs="Calibri" w:eastAsia="Calibri" w:hAnsi="Calibri"/>
                <w:sz w:val="14"/>
                <w:szCs w:val="14"/>
                <w:color w:val="auto"/>
              </w:rPr>
              <w:t>Majority of votes cast; advisory and</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None</w:t>
            </w:r>
          </w:p>
        </w:tc>
        <w:tc>
          <w:tcPr>
            <w:tcW w:w="1060" w:type="dxa"/>
            <w:vAlign w:val="bottom"/>
          </w:tcPr>
          <w:p>
            <w:pPr>
              <w:jc w:val="right"/>
              <w:spacing w:after="0"/>
              <w:rPr>
                <w:sz w:val="20"/>
                <w:szCs w:val="20"/>
                <w:color w:val="auto"/>
              </w:rPr>
            </w:pPr>
            <w:r>
              <w:rPr>
                <w:rFonts w:ascii="Calibri" w:cs="Calibri" w:eastAsia="Calibri" w:hAnsi="Calibri"/>
                <w:sz w:val="14"/>
                <w:szCs w:val="14"/>
                <w:color w:val="auto"/>
              </w:rPr>
              <w:t>None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0" w:type="dxa"/>
            <w:vAlign w:val="bottom"/>
          </w:tcPr>
          <w:p>
            <w:pPr>
              <w:ind w:left="140"/>
              <w:spacing w:after="0"/>
              <w:rPr>
                <w:sz w:val="20"/>
                <w:szCs w:val="20"/>
                <w:color w:val="auto"/>
              </w:rPr>
            </w:pPr>
            <w:r>
              <w:rPr>
                <w:rFonts w:ascii="Calibri" w:cs="Calibri" w:eastAsia="Calibri" w:hAnsi="Calibri"/>
                <w:sz w:val="14"/>
                <w:szCs w:val="14"/>
                <w:color w:val="auto"/>
              </w:rPr>
              <w:t>Report</w:t>
            </w:r>
          </w:p>
        </w:tc>
        <w:tc>
          <w:tcPr>
            <w:tcW w:w="500" w:type="dxa"/>
            <w:vAlign w:val="bottom"/>
          </w:tcPr>
          <w:p>
            <w:pPr>
              <w:spacing w:after="0"/>
              <w:rPr>
                <w:sz w:val="15"/>
                <w:szCs w:val="15"/>
                <w:color w:val="auto"/>
              </w:rPr>
            </w:pPr>
          </w:p>
        </w:tc>
        <w:tc>
          <w:tcPr>
            <w:tcW w:w="1400" w:type="dxa"/>
            <w:vAlign w:val="bottom"/>
            <w:shd w:val="clear" w:color="auto" w:fill="E7E8E9"/>
          </w:tcPr>
          <w:p>
            <w:pPr>
              <w:spacing w:after="0"/>
              <w:rPr>
                <w:sz w:val="15"/>
                <w:szCs w:val="15"/>
                <w:color w:val="auto"/>
              </w:rPr>
            </w:pPr>
          </w:p>
        </w:tc>
        <w:tc>
          <w:tcPr>
            <w:tcW w:w="2240" w:type="dxa"/>
            <w:vAlign w:val="bottom"/>
          </w:tcPr>
          <w:p>
            <w:pPr>
              <w:jc w:val="right"/>
              <w:ind w:right="29"/>
              <w:spacing w:after="0"/>
              <w:rPr>
                <w:sz w:val="20"/>
                <w:szCs w:val="20"/>
                <w:color w:val="auto"/>
              </w:rPr>
            </w:pPr>
            <w:r>
              <w:rPr>
                <w:rFonts w:ascii="Calibri" w:cs="Calibri" w:eastAsia="Calibri" w:hAnsi="Calibri"/>
                <w:sz w:val="14"/>
                <w:szCs w:val="14"/>
                <w:color w:val="auto"/>
              </w:rPr>
              <w:t>non-binding</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60" w:type="dxa"/>
            <w:vAlign w:val="bottom"/>
            <w:tcBorders>
              <w:bottom w:val="single" w:sz="8" w:color="939598"/>
            </w:tcBorders>
          </w:tcPr>
          <w:p>
            <w:pPr>
              <w:spacing w:after="0"/>
              <w:rPr>
                <w:sz w:val="6"/>
                <w:szCs w:val="6"/>
                <w:color w:val="auto"/>
              </w:rPr>
            </w:pPr>
          </w:p>
        </w:tc>
        <w:tc>
          <w:tcPr>
            <w:tcW w:w="4400" w:type="dxa"/>
            <w:vAlign w:val="bottom"/>
            <w:tcBorders>
              <w:bottom w:val="single" w:sz="8" w:color="939598"/>
            </w:tcBorders>
          </w:tcPr>
          <w:p>
            <w:pPr>
              <w:spacing w:after="0"/>
              <w:rPr>
                <w:sz w:val="6"/>
                <w:szCs w:val="6"/>
                <w:color w:val="auto"/>
              </w:rPr>
            </w:pPr>
          </w:p>
        </w:tc>
        <w:tc>
          <w:tcPr>
            <w:tcW w:w="500" w:type="dxa"/>
            <w:vAlign w:val="bottom"/>
            <w:tcBorders>
              <w:bottom w:val="single" w:sz="8" w:color="939598"/>
            </w:tcBorders>
          </w:tcPr>
          <w:p>
            <w:pPr>
              <w:spacing w:after="0"/>
              <w:rPr>
                <w:sz w:val="6"/>
                <w:szCs w:val="6"/>
                <w:color w:val="auto"/>
              </w:rPr>
            </w:pPr>
          </w:p>
        </w:tc>
        <w:tc>
          <w:tcPr>
            <w:tcW w:w="1400" w:type="dxa"/>
            <w:vAlign w:val="bottom"/>
            <w:tcBorders>
              <w:bottom w:val="single" w:sz="8" w:color="939598"/>
            </w:tcBorders>
            <w:shd w:val="clear" w:color="auto" w:fill="E7E8E9"/>
          </w:tcPr>
          <w:p>
            <w:pPr>
              <w:spacing w:after="0"/>
              <w:rPr>
                <w:sz w:val="6"/>
                <w:szCs w:val="6"/>
                <w:color w:val="auto"/>
              </w:rPr>
            </w:pPr>
          </w:p>
        </w:tc>
        <w:tc>
          <w:tcPr>
            <w:tcW w:w="224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106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ind w:left="20"/>
              <w:spacing w:after="0"/>
              <w:rPr>
                <w:sz w:val="20"/>
                <w:szCs w:val="20"/>
                <w:color w:val="auto"/>
              </w:rPr>
            </w:pPr>
            <w:r>
              <w:rPr>
                <w:rFonts w:ascii="Calibri" w:cs="Calibri" w:eastAsia="Calibri" w:hAnsi="Calibri"/>
                <w:sz w:val="14"/>
                <w:szCs w:val="14"/>
                <w:b w:val="1"/>
                <w:bCs w:val="1"/>
                <w:color w:val="auto"/>
              </w:rPr>
              <w:t>7</w:t>
            </w:r>
          </w:p>
        </w:tc>
        <w:tc>
          <w:tcPr>
            <w:tcW w:w="4400" w:type="dxa"/>
            <w:vAlign w:val="bottom"/>
          </w:tcPr>
          <w:p>
            <w:pPr>
              <w:ind w:left="140"/>
              <w:spacing w:after="0"/>
              <w:rPr>
                <w:sz w:val="20"/>
                <w:szCs w:val="20"/>
                <w:color w:val="auto"/>
              </w:rPr>
            </w:pPr>
            <w:r>
              <w:rPr>
                <w:rFonts w:ascii="Calibri" w:cs="Calibri" w:eastAsia="Calibri" w:hAnsi="Calibri"/>
                <w:sz w:val="14"/>
                <w:szCs w:val="14"/>
                <w:color w:val="auto"/>
              </w:rPr>
              <w:t>Stockholder Proposal to Issue a Report on the Company’s Intenton to</w:t>
            </w:r>
          </w:p>
        </w:tc>
        <w:tc>
          <w:tcPr>
            <w:tcW w:w="500" w:type="dxa"/>
            <w:vAlign w:val="bottom"/>
          </w:tcPr>
          <w:p>
            <w:pPr>
              <w:jc w:val="right"/>
              <w:spacing w:after="0"/>
              <w:rPr>
                <w:sz w:val="20"/>
                <w:szCs w:val="20"/>
                <w:color w:val="auto"/>
              </w:rPr>
            </w:pPr>
            <w:r>
              <w:rPr>
                <w:rFonts w:ascii="Calibri" w:cs="Calibri" w:eastAsia="Calibri" w:hAnsi="Calibri"/>
                <w:sz w:val="14"/>
                <w:szCs w:val="14"/>
                <w:color w:val="auto"/>
              </w:rPr>
              <w:t>88</w:t>
            </w:r>
          </w:p>
        </w:tc>
        <w:tc>
          <w:tcPr>
            <w:tcW w:w="1400" w:type="dxa"/>
            <w:vAlign w:val="bottom"/>
            <w:shd w:val="clear" w:color="auto" w:fill="E7E8E9"/>
          </w:tcPr>
          <w:p>
            <w:pPr>
              <w:jc w:val="right"/>
              <w:spacing w:after="0"/>
              <w:rPr>
                <w:sz w:val="20"/>
                <w:szCs w:val="20"/>
                <w:color w:val="auto"/>
              </w:rPr>
            </w:pPr>
            <w:r>
              <w:rPr>
                <w:rFonts w:ascii="Calibri" w:cs="Calibri" w:eastAsia="Calibri" w:hAnsi="Calibri"/>
                <w:sz w:val="14"/>
                <w:szCs w:val="14"/>
                <w:b w:val="1"/>
                <w:bCs w:val="1"/>
                <w:color w:val="auto"/>
              </w:rPr>
              <w:t>AGAINST</w:t>
            </w:r>
          </w:p>
        </w:tc>
        <w:tc>
          <w:tcPr>
            <w:tcW w:w="2240" w:type="dxa"/>
            <w:vAlign w:val="bottom"/>
          </w:tcPr>
          <w:p>
            <w:pPr>
              <w:jc w:val="right"/>
              <w:ind w:right="29"/>
              <w:spacing w:after="0"/>
              <w:rPr>
                <w:sz w:val="20"/>
                <w:szCs w:val="20"/>
                <w:color w:val="auto"/>
              </w:rPr>
            </w:pPr>
            <w:r>
              <w:rPr>
                <w:rFonts w:ascii="Calibri" w:cs="Calibri" w:eastAsia="Calibri" w:hAnsi="Calibri"/>
                <w:sz w:val="14"/>
                <w:szCs w:val="14"/>
                <w:color w:val="auto"/>
              </w:rPr>
              <w:t>Majority of votes cast; advisory and</w:t>
            </w:r>
          </w:p>
        </w:tc>
        <w:tc>
          <w:tcPr>
            <w:tcW w:w="960" w:type="dxa"/>
            <w:vAlign w:val="bottom"/>
          </w:tcPr>
          <w:p>
            <w:pPr>
              <w:jc w:val="right"/>
              <w:spacing w:after="0"/>
              <w:rPr>
                <w:sz w:val="20"/>
                <w:szCs w:val="20"/>
                <w:color w:val="auto"/>
              </w:rPr>
            </w:pPr>
            <w:r>
              <w:rPr>
                <w:rFonts w:ascii="Calibri" w:cs="Calibri" w:eastAsia="Calibri" w:hAnsi="Calibri"/>
                <w:sz w:val="14"/>
                <w:szCs w:val="14"/>
                <w:color w:val="auto"/>
              </w:rPr>
              <w:t>None</w:t>
            </w:r>
          </w:p>
        </w:tc>
        <w:tc>
          <w:tcPr>
            <w:tcW w:w="1060" w:type="dxa"/>
            <w:vAlign w:val="bottom"/>
          </w:tcPr>
          <w:p>
            <w:pPr>
              <w:jc w:val="right"/>
              <w:spacing w:after="0"/>
              <w:rPr>
                <w:sz w:val="20"/>
                <w:szCs w:val="20"/>
                <w:color w:val="auto"/>
              </w:rPr>
            </w:pPr>
            <w:r>
              <w:rPr>
                <w:rFonts w:ascii="Calibri" w:cs="Calibri" w:eastAsia="Calibri" w:hAnsi="Calibri"/>
                <w:sz w:val="14"/>
                <w:szCs w:val="14"/>
                <w:color w:val="auto"/>
              </w:rPr>
              <w:t>None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0" w:type="dxa"/>
            <w:vAlign w:val="bottom"/>
          </w:tcPr>
          <w:p>
            <w:pPr>
              <w:ind w:left="140"/>
              <w:spacing w:after="0"/>
              <w:rPr>
                <w:sz w:val="20"/>
                <w:szCs w:val="20"/>
                <w:color w:val="auto"/>
              </w:rPr>
            </w:pPr>
            <w:r>
              <w:rPr>
                <w:rFonts w:ascii="Calibri" w:cs="Calibri" w:eastAsia="Calibri" w:hAnsi="Calibri"/>
                <w:sz w:val="14"/>
                <w:szCs w:val="14"/>
                <w:color w:val="auto"/>
              </w:rPr>
              <w:t>Reduce Full Value Chain GHG Emissions</w:t>
            </w:r>
          </w:p>
        </w:tc>
        <w:tc>
          <w:tcPr>
            <w:tcW w:w="500" w:type="dxa"/>
            <w:vAlign w:val="bottom"/>
          </w:tcPr>
          <w:p>
            <w:pPr>
              <w:spacing w:after="0"/>
              <w:rPr>
                <w:sz w:val="15"/>
                <w:szCs w:val="15"/>
                <w:color w:val="auto"/>
              </w:rPr>
            </w:pPr>
          </w:p>
        </w:tc>
        <w:tc>
          <w:tcPr>
            <w:tcW w:w="1400" w:type="dxa"/>
            <w:vAlign w:val="bottom"/>
            <w:shd w:val="clear" w:color="auto" w:fill="E7E8E9"/>
          </w:tcPr>
          <w:p>
            <w:pPr>
              <w:spacing w:after="0"/>
              <w:rPr>
                <w:sz w:val="15"/>
                <w:szCs w:val="15"/>
                <w:color w:val="auto"/>
              </w:rPr>
            </w:pPr>
          </w:p>
        </w:tc>
        <w:tc>
          <w:tcPr>
            <w:tcW w:w="2240" w:type="dxa"/>
            <w:vAlign w:val="bottom"/>
          </w:tcPr>
          <w:p>
            <w:pPr>
              <w:jc w:val="right"/>
              <w:ind w:right="29"/>
              <w:spacing w:after="0"/>
              <w:rPr>
                <w:sz w:val="20"/>
                <w:szCs w:val="20"/>
                <w:color w:val="auto"/>
              </w:rPr>
            </w:pPr>
            <w:r>
              <w:rPr>
                <w:rFonts w:ascii="Calibri" w:cs="Calibri" w:eastAsia="Calibri" w:hAnsi="Calibri"/>
                <w:sz w:val="14"/>
                <w:szCs w:val="14"/>
                <w:color w:val="auto"/>
              </w:rPr>
              <w:t>non-binding</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tcBorders>
              <w:bottom w:val="single" w:sz="8" w:color="959595"/>
            </w:tcBorders>
          </w:tcPr>
          <w:p>
            <w:pPr>
              <w:spacing w:after="0"/>
              <w:rPr>
                <w:sz w:val="6"/>
                <w:szCs w:val="6"/>
                <w:color w:val="auto"/>
              </w:rPr>
            </w:pPr>
          </w:p>
        </w:tc>
        <w:tc>
          <w:tcPr>
            <w:tcW w:w="4400" w:type="dxa"/>
            <w:vAlign w:val="bottom"/>
            <w:tcBorders>
              <w:bottom w:val="single" w:sz="8" w:color="959595"/>
            </w:tcBorders>
          </w:tcPr>
          <w:p>
            <w:pPr>
              <w:spacing w:after="0"/>
              <w:rPr>
                <w:sz w:val="6"/>
                <w:szCs w:val="6"/>
                <w:color w:val="auto"/>
              </w:rPr>
            </w:pPr>
          </w:p>
        </w:tc>
        <w:tc>
          <w:tcPr>
            <w:tcW w:w="500" w:type="dxa"/>
            <w:vAlign w:val="bottom"/>
            <w:tcBorders>
              <w:bottom w:val="single" w:sz="8" w:color="959595"/>
            </w:tcBorders>
          </w:tcPr>
          <w:p>
            <w:pPr>
              <w:spacing w:after="0"/>
              <w:rPr>
                <w:sz w:val="6"/>
                <w:szCs w:val="6"/>
                <w:color w:val="auto"/>
              </w:rPr>
            </w:pPr>
          </w:p>
        </w:tc>
        <w:tc>
          <w:tcPr>
            <w:tcW w:w="1400" w:type="dxa"/>
            <w:vAlign w:val="bottom"/>
            <w:tcBorders>
              <w:bottom w:val="single" w:sz="8" w:color="959595"/>
            </w:tcBorders>
            <w:shd w:val="clear" w:color="auto" w:fill="E7E8E9"/>
          </w:tcPr>
          <w:p>
            <w:pPr>
              <w:spacing w:after="0"/>
              <w:rPr>
                <w:sz w:val="6"/>
                <w:szCs w:val="6"/>
                <w:color w:val="auto"/>
              </w:rPr>
            </w:pPr>
          </w:p>
        </w:tc>
        <w:tc>
          <w:tcPr>
            <w:tcW w:w="2240" w:type="dxa"/>
            <w:vAlign w:val="bottom"/>
            <w:tcBorders>
              <w:bottom w:val="single" w:sz="8" w:color="959595"/>
            </w:tcBorders>
          </w:tcPr>
          <w:p>
            <w:pPr>
              <w:spacing w:after="0"/>
              <w:rPr>
                <w:sz w:val="6"/>
                <w:szCs w:val="6"/>
                <w:color w:val="auto"/>
              </w:rPr>
            </w:pPr>
          </w:p>
        </w:tc>
        <w:tc>
          <w:tcPr>
            <w:tcW w:w="960" w:type="dxa"/>
            <w:vAlign w:val="bottom"/>
            <w:tcBorders>
              <w:bottom w:val="single" w:sz="8" w:color="959595"/>
            </w:tcBorders>
          </w:tcPr>
          <w:p>
            <w:pPr>
              <w:spacing w:after="0"/>
              <w:rPr>
                <w:sz w:val="6"/>
                <w:szCs w:val="6"/>
                <w:color w:val="auto"/>
              </w:rPr>
            </w:pPr>
          </w:p>
        </w:tc>
        <w:tc>
          <w:tcPr>
            <w:tcW w:w="1060" w:type="dxa"/>
            <w:vAlign w:val="bottom"/>
            <w:tcBorders>
              <w:bottom w:val="single" w:sz="8" w:color="959595"/>
            </w:tcBorders>
          </w:tcPr>
          <w:p>
            <w:pPr>
              <w:spacing w:after="0"/>
              <w:rPr>
                <w:sz w:val="6"/>
                <w:szCs w:val="6"/>
                <w:color w:val="auto"/>
              </w:rPr>
            </w:pPr>
          </w:p>
        </w:tc>
        <w:tc>
          <w:tcPr>
            <w:tcW w:w="20" w:type="dxa"/>
            <w:vAlign w:val="bottom"/>
            <w:tcBorders>
              <w:bottom w:val="single" w:sz="8" w:color="959595"/>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40" w:hanging="232"/>
        <w:spacing w:after="0"/>
        <w:tabs>
          <w:tab w:leader="none" w:pos="240" w:val="left"/>
        </w:tabs>
        <w:numPr>
          <w:ilvl w:val="0"/>
          <w:numId w:val="117"/>
        </w:numPr>
        <w:rPr>
          <w:rFonts w:ascii="Calibri" w:cs="Calibri" w:eastAsia="Calibri" w:hAnsi="Calibri"/>
          <w:sz w:val="19"/>
          <w:szCs w:val="19"/>
          <w:color w:val="auto"/>
          <w:vertAlign w:val="superscript"/>
        </w:rPr>
      </w:pPr>
      <w:r>
        <w:rPr>
          <w:rFonts w:ascii="Calibri" w:cs="Calibri" w:eastAsia="Calibri" w:hAnsi="Calibri"/>
          <w:sz w:val="14"/>
          <w:szCs w:val="14"/>
          <w:color w:val="auto"/>
        </w:rPr>
        <w:t>“Votes cast” excludes broker non-votes and excludes abstentons.</w:t>
      </w:r>
    </w:p>
    <w:p>
      <w:pPr>
        <w:spacing w:after="0" w:line="73" w:lineRule="exact"/>
        <w:rPr>
          <w:rFonts w:ascii="Calibri" w:cs="Calibri" w:eastAsia="Calibri" w:hAnsi="Calibri"/>
          <w:sz w:val="19"/>
          <w:szCs w:val="19"/>
          <w:color w:val="auto"/>
          <w:vertAlign w:val="superscript"/>
        </w:rPr>
      </w:pPr>
    </w:p>
    <w:p>
      <w:pPr>
        <w:ind w:left="260" w:right="240" w:hanging="252"/>
        <w:spacing w:after="0" w:line="213" w:lineRule="auto"/>
        <w:tabs>
          <w:tab w:leader="none" w:pos="256" w:val="left"/>
        </w:tabs>
        <w:numPr>
          <w:ilvl w:val="0"/>
          <w:numId w:val="117"/>
        </w:numPr>
        <w:rPr>
          <w:rFonts w:ascii="Calibri" w:cs="Calibri" w:eastAsia="Calibri" w:hAnsi="Calibri"/>
          <w:sz w:val="19"/>
          <w:szCs w:val="19"/>
          <w:color w:val="auto"/>
          <w:vertAlign w:val="superscript"/>
        </w:rPr>
      </w:pPr>
      <w:r>
        <w:rPr>
          <w:rFonts w:ascii="Calibri" w:cs="Calibri" w:eastAsia="Calibri" w:hAnsi="Calibri"/>
          <w:sz w:val="14"/>
          <w:szCs w:val="14"/>
          <w:color w:val="auto"/>
        </w:rPr>
        <w:t>A stockholder who abstains on some or all maters is considered present for purposes of determining if a quorum is present at the Annual Meetng, but an abstenton is not counted as a vote cast under Maryland law. Accordingly, an abstenton has no efect on the vote on any proposal.</w:t>
      </w:r>
    </w:p>
    <w:p>
      <w:pPr>
        <w:spacing w:after="0" w:line="74" w:lineRule="exact"/>
        <w:rPr>
          <w:rFonts w:ascii="Calibri" w:cs="Calibri" w:eastAsia="Calibri" w:hAnsi="Calibri"/>
          <w:sz w:val="19"/>
          <w:szCs w:val="19"/>
          <w:color w:val="auto"/>
          <w:vertAlign w:val="superscript"/>
        </w:rPr>
      </w:pPr>
    </w:p>
    <w:p>
      <w:pPr>
        <w:ind w:left="260" w:right="360" w:hanging="252"/>
        <w:spacing w:after="0" w:line="213" w:lineRule="auto"/>
        <w:tabs>
          <w:tab w:leader="none" w:pos="256" w:val="left"/>
        </w:tabs>
        <w:numPr>
          <w:ilvl w:val="0"/>
          <w:numId w:val="117"/>
        </w:numPr>
        <w:rPr>
          <w:rFonts w:ascii="Calibri" w:cs="Calibri" w:eastAsia="Calibri" w:hAnsi="Calibri"/>
          <w:sz w:val="19"/>
          <w:szCs w:val="19"/>
          <w:color w:val="auto"/>
          <w:vertAlign w:val="superscript"/>
        </w:rPr>
      </w:pPr>
      <w:r>
        <w:rPr>
          <w:rFonts w:ascii="Calibri" w:cs="Calibri" w:eastAsia="Calibri" w:hAnsi="Calibri"/>
          <w:sz w:val="14"/>
          <w:szCs w:val="14"/>
          <w:color w:val="auto"/>
        </w:rPr>
        <w:t>Brokers only have discretonary authority to vote on Proposal 4. If a broker casts a vote on Proposal 4, the vote will be included in determining whether a quorum exists for holding the meetng. Brokers do not have authority to vote on the other proposals (non-routne maters) absent directons from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Frequently Asked Questions</w:t>
      </w:r>
    </w:p>
    <w:p>
      <w:pPr>
        <w:spacing w:after="0" w:line="200" w:lineRule="exact"/>
        <w:rPr>
          <w:sz w:val="20"/>
          <w:szCs w:val="20"/>
          <w:color w:val="auto"/>
        </w:rPr>
      </w:pPr>
    </w:p>
    <w:p>
      <w:pPr>
        <w:spacing w:after="0" w:line="373" w:lineRule="exact"/>
        <w:rPr>
          <w:sz w:val="20"/>
          <w:szCs w:val="20"/>
          <w:color w:val="auto"/>
        </w:rPr>
      </w:pPr>
    </w:p>
    <w:p>
      <w:pPr>
        <w:ind w:left="260" w:right="280"/>
        <w:spacing w:after="0" w:line="264" w:lineRule="auto"/>
        <w:rPr>
          <w:sz w:val="20"/>
          <w:szCs w:val="20"/>
          <w:color w:val="auto"/>
        </w:rPr>
      </w:pPr>
      <w:r>
        <w:rPr>
          <w:rFonts w:ascii="Calibri" w:cs="Calibri" w:eastAsia="Calibri" w:hAnsi="Calibri"/>
          <w:sz w:val="14"/>
          <w:szCs w:val="14"/>
          <w:color w:val="auto"/>
        </w:rPr>
        <w:t>benefcial owner. Votes withheld by brokers in the absence of votng instructons from a benefcial owner are referred to as “broker non-votes” and will not count as votes cast for that proposal and have no efect on the proposal outcome. A broker non-vote on these proposals will not impact our ability to obtain a quorum.</w:t>
      </w:r>
    </w:p>
    <w:p>
      <w:pPr>
        <w:spacing w:after="0" w:line="56" w:lineRule="exact"/>
        <w:rPr>
          <w:sz w:val="20"/>
          <w:szCs w:val="20"/>
          <w:color w:val="auto"/>
        </w:rPr>
      </w:pPr>
    </w:p>
    <w:p>
      <w:pPr>
        <w:ind w:left="260" w:right="420" w:hanging="252"/>
        <w:spacing w:after="0" w:line="223" w:lineRule="auto"/>
        <w:tabs>
          <w:tab w:leader="none" w:pos="256" w:val="left"/>
        </w:tabs>
        <w:numPr>
          <w:ilvl w:val="0"/>
          <w:numId w:val="118"/>
        </w:numPr>
        <w:rPr>
          <w:rFonts w:ascii="Calibri" w:cs="Calibri" w:eastAsia="Calibri" w:hAnsi="Calibri"/>
          <w:sz w:val="19"/>
          <w:szCs w:val="19"/>
          <w:color w:val="auto"/>
          <w:vertAlign w:val="superscript"/>
        </w:rPr>
      </w:pPr>
      <w:r>
        <w:rPr>
          <w:rFonts w:ascii="Calibri" w:cs="Calibri" w:eastAsia="Calibri" w:hAnsi="Calibri"/>
          <w:sz w:val="14"/>
          <w:szCs w:val="14"/>
          <w:color w:val="auto"/>
        </w:rPr>
        <w:t>Because the advisory vote on the frequency of holding votes on Say-on-Pay provides stockholders with the opton to vote to hold a Say-on-Pay once every one, two or three years, a majority of votes cast may not be reached for any of the frequency optons presented. Accordingly, if none of one, two or three years receive a majority of the votes cast for say on frequency, the Company will consider the number of years receiving the most votes to be the preference of the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818EB4"/>
        </w:rPr>
        <w:t>Can other matters be decided at the Annual Meeting?</w:t>
      </w:r>
    </w:p>
    <w:p>
      <w:pPr>
        <w:spacing w:after="0" w:line="97" w:lineRule="exact"/>
        <w:rPr>
          <w:sz w:val="20"/>
          <w:szCs w:val="20"/>
          <w:color w:val="auto"/>
        </w:rPr>
      </w:pPr>
    </w:p>
    <w:p>
      <w:pPr>
        <w:ind w:right="260"/>
        <w:spacing w:after="0" w:line="258" w:lineRule="auto"/>
        <w:rPr>
          <w:sz w:val="20"/>
          <w:szCs w:val="20"/>
          <w:color w:val="auto"/>
        </w:rPr>
      </w:pPr>
      <w:r>
        <w:rPr>
          <w:rFonts w:ascii="Calibri" w:cs="Calibri" w:eastAsia="Calibri" w:hAnsi="Calibri"/>
          <w:sz w:val="17"/>
          <w:szCs w:val="17"/>
          <w:color w:val="auto"/>
        </w:rPr>
        <w:t>At the tme that this Proxy Statement went to press, we were not aware of any other maters to be presented at the Annual Meetng. If other maters are properly presented for consideraton at the Annual Meetng, the proxy holders appointed by our Board (who are named on your proxy card if you are a Registered Stockholder) will have the discreton to vote on those maters in accordance with their best judgment on behalf of stockholders who provide a valid proxy by Internet, telephone or mail.</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818EB4"/>
        </w:rPr>
        <w:t>Are my votes confidential?</w:t>
      </w:r>
    </w:p>
    <w:p>
      <w:pPr>
        <w:spacing w:after="0" w:line="97" w:lineRule="exact"/>
        <w:rPr>
          <w:sz w:val="20"/>
          <w:szCs w:val="20"/>
          <w:color w:val="auto"/>
        </w:rPr>
      </w:pPr>
    </w:p>
    <w:p>
      <w:pPr>
        <w:ind w:right="260"/>
        <w:spacing w:after="0" w:line="261" w:lineRule="auto"/>
        <w:rPr>
          <w:sz w:val="20"/>
          <w:szCs w:val="20"/>
          <w:color w:val="auto"/>
        </w:rPr>
      </w:pPr>
      <w:r>
        <w:rPr>
          <w:rFonts w:ascii="Calibri" w:cs="Calibri" w:eastAsia="Calibri" w:hAnsi="Calibri"/>
          <w:sz w:val="17"/>
          <w:szCs w:val="17"/>
          <w:color w:val="auto"/>
        </w:rPr>
        <w:t>Votng instructons for Company savings plan partcipants are confdental as required by law. Individual votes of shareholders are kept confdental by the Company and its agents, except as necessary to meet legal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818EB4"/>
        </w:rPr>
        <w:t>Who will tally the votes?</w:t>
      </w:r>
    </w:p>
    <w:p>
      <w:pPr>
        <w:spacing w:after="0" w:line="121" w:lineRule="exact"/>
        <w:rPr>
          <w:sz w:val="20"/>
          <w:szCs w:val="20"/>
          <w:color w:val="auto"/>
        </w:rPr>
      </w:pPr>
    </w:p>
    <w:p>
      <w:pPr>
        <w:spacing w:after="0"/>
        <w:rPr>
          <w:sz w:val="20"/>
          <w:szCs w:val="20"/>
          <w:color w:val="auto"/>
        </w:rPr>
      </w:pPr>
      <w:r>
        <w:rPr>
          <w:rFonts w:ascii="Calibri" w:cs="Calibri" w:eastAsia="Calibri" w:hAnsi="Calibri"/>
          <w:sz w:val="17"/>
          <w:szCs w:val="17"/>
          <w:color w:val="auto"/>
        </w:rPr>
        <w:t>Representatves from our authorized transfer agent, Computershare, will tabulate the votes and act as inspectors of electon for the Annual Meetng.</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818EB4"/>
        </w:rPr>
        <w:t>How will I be notified of the voting results of the Annual Meeting?</w:t>
      </w:r>
    </w:p>
    <w:p>
      <w:pPr>
        <w:spacing w:after="0" w:line="97" w:lineRule="exact"/>
        <w:rPr>
          <w:sz w:val="20"/>
          <w:szCs w:val="20"/>
          <w:color w:val="auto"/>
        </w:rPr>
      </w:pPr>
    </w:p>
    <w:p>
      <w:pPr>
        <w:spacing w:after="0" w:line="260" w:lineRule="auto"/>
        <w:rPr>
          <w:sz w:val="20"/>
          <w:szCs w:val="20"/>
          <w:color w:val="auto"/>
        </w:rPr>
      </w:pPr>
      <w:r>
        <w:rPr>
          <w:rFonts w:ascii="Calibri" w:cs="Calibri" w:eastAsia="Calibri" w:hAnsi="Calibri"/>
          <w:sz w:val="17"/>
          <w:szCs w:val="17"/>
          <w:color w:val="auto"/>
        </w:rPr>
        <w:t>The preliminary votng results will be announced during the Annual Meetng. The fnal votng results will be tallied by the inspectors of electon and disclosed by the Company in a Current Report on Form 8-K fled with the SEC within four business days following the Annual Meetng and posted on our investor website.</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818EB4"/>
        </w:rPr>
        <w:t>Who is soliciting proxies and who pays the cost of this proxy solicitation?</w:t>
      </w:r>
    </w:p>
    <w:p>
      <w:pPr>
        <w:spacing w:after="0" w:line="111" w:lineRule="exact"/>
        <w:rPr>
          <w:sz w:val="20"/>
          <w:szCs w:val="20"/>
          <w:color w:val="auto"/>
        </w:rPr>
      </w:pPr>
    </w:p>
    <w:p>
      <w:pPr>
        <w:ind w:right="160"/>
        <w:spacing w:after="0" w:line="255" w:lineRule="auto"/>
        <w:rPr>
          <w:sz w:val="20"/>
          <w:szCs w:val="20"/>
          <w:color w:val="auto"/>
        </w:rPr>
      </w:pPr>
      <w:r>
        <w:rPr>
          <w:rFonts w:ascii="Calibri" w:cs="Calibri" w:eastAsia="Calibri" w:hAnsi="Calibri"/>
          <w:sz w:val="17"/>
          <w:szCs w:val="17"/>
          <w:color w:val="auto"/>
        </w:rPr>
        <w:t>The Company’s Board of Directors solicits proxies for the Annual Meetng. We may solicit proxies by Internet, telephone, mail or in person. To the extent necessary to ensure sufcient representaton at the Annual Meetng, we may request the return of proxies by mail, express delivery, courier, telephone, Internet or other means. The Company pays the cost of solicitng proxies on behalf of the Board for the Annual Meetng. We may make arrangements with brokerage houses or other custodians, nominees and fduciaries to send the proxy votng materials to benefcial owners on our behalf. We reimburse these enttes for their reasonable expenses. We have retained Morrow Sodali LLC, 333 Ludlow Street, 5th foor, South Tower, Stamford, CT 06902 to aid in the solicitaton of proxies and to verify related records for a fee of $35,000, plus expenses.</w:t>
      </w:r>
    </w:p>
    <w:p>
      <w:pPr>
        <w:spacing w:after="0" w:line="76" w:lineRule="exact"/>
        <w:rPr>
          <w:sz w:val="20"/>
          <w:szCs w:val="20"/>
          <w:color w:val="auto"/>
        </w:rPr>
      </w:pPr>
    </w:p>
    <w:p>
      <w:pPr>
        <w:spacing w:after="0"/>
        <w:rPr>
          <w:sz w:val="20"/>
          <w:szCs w:val="20"/>
          <w:color w:val="auto"/>
        </w:rPr>
      </w:pPr>
      <w:r>
        <w:rPr>
          <w:rFonts w:ascii="Arial" w:cs="Arial" w:eastAsia="Arial" w:hAnsi="Arial"/>
          <w:sz w:val="29"/>
          <w:szCs w:val="29"/>
          <w:color w:val="003478"/>
        </w:rPr>
        <w:t>Annual Meeting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818EB4"/>
        </w:rPr>
        <w:t>Why does Lockheed Martin conduct a virtual Annual Meeting?</w:t>
      </w:r>
    </w:p>
    <w:p>
      <w:pPr>
        <w:spacing w:after="0" w:line="111" w:lineRule="exact"/>
        <w:rPr>
          <w:sz w:val="20"/>
          <w:szCs w:val="20"/>
          <w:color w:val="auto"/>
        </w:rPr>
      </w:pPr>
    </w:p>
    <w:p>
      <w:pPr>
        <w:ind w:right="300"/>
        <w:spacing w:after="0" w:line="261" w:lineRule="auto"/>
        <w:rPr>
          <w:sz w:val="20"/>
          <w:szCs w:val="20"/>
          <w:color w:val="auto"/>
        </w:rPr>
      </w:pPr>
      <w:r>
        <w:rPr>
          <w:rFonts w:ascii="Calibri" w:cs="Calibri" w:eastAsia="Calibri" w:hAnsi="Calibri"/>
          <w:sz w:val="17"/>
          <w:szCs w:val="17"/>
          <w:color w:val="auto"/>
        </w:rPr>
        <w:t>We will conduct our 2023 Annual Meetng exclusively online through a live audio webcast. We adopted this format to facilitate atendance and to enable stockholders to atend fully and equally, regardless of size of holdings, resources or physical locaton.</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818EB4"/>
        </w:rPr>
        <w:t>What is a quorum and how many shares must be present to hold the Annual Meeting?</w:t>
      </w:r>
    </w:p>
    <w:p>
      <w:pPr>
        <w:spacing w:after="0" w:line="124" w:lineRule="exact"/>
        <w:rPr>
          <w:sz w:val="20"/>
          <w:szCs w:val="20"/>
          <w:color w:val="auto"/>
        </w:rPr>
      </w:pPr>
    </w:p>
    <w:p>
      <w:pPr>
        <w:ind w:right="100"/>
        <w:spacing w:after="0" w:line="253" w:lineRule="auto"/>
        <w:rPr>
          <w:sz w:val="20"/>
          <w:szCs w:val="20"/>
          <w:color w:val="auto"/>
        </w:rPr>
      </w:pPr>
      <w:r>
        <w:rPr>
          <w:rFonts w:ascii="Calibri" w:cs="Calibri" w:eastAsia="Calibri" w:hAnsi="Calibri"/>
          <w:sz w:val="17"/>
          <w:szCs w:val="17"/>
          <w:color w:val="auto"/>
        </w:rPr>
        <w:t>In order for Lockheed Martn to lawfully conduct business at our Annual Meetng, a majority of the shares outstanding and enttled to vote as of the Record Date must be present by virtual atendance or by proxy. This majority is referred to as a quorum. Your shares will be counted as present at the 2023 Annual Meetng if you atend the Annual Meetng virtually (whether you vote or abstain from votng) or if you properly return a proxy in advance of the Annual Meetng and do not revoke your proxy. Broker non-votes will also be considered for determining a quorum.</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818EB4"/>
        </w:rPr>
        <w:t>How do I access the virtual Annual Meeting?</w:t>
      </w:r>
    </w:p>
    <w:p>
      <w:pPr>
        <w:spacing w:after="0" w:line="94"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Go to </w:t>
      </w:r>
      <w:r>
        <w:rPr>
          <w:rFonts w:ascii="Calibri" w:cs="Calibri" w:eastAsia="Calibri" w:hAnsi="Calibri"/>
          <w:sz w:val="17"/>
          <w:szCs w:val="17"/>
          <w:b w:val="1"/>
          <w:bCs w:val="1"/>
          <w:i w:val="1"/>
          <w:iCs w:val="1"/>
          <w:color w:val="auto"/>
        </w:rPr>
        <w:t>www.meetnow.global/LMT2023</w:t>
      </w:r>
      <w:r>
        <w:rPr>
          <w:rFonts w:ascii="Calibri" w:cs="Calibri" w:eastAsia="Calibri" w:hAnsi="Calibri"/>
          <w:sz w:val="17"/>
          <w:szCs w:val="17"/>
          <w:color w:val="auto"/>
        </w:rPr>
        <w:t>. You will have the opton to either</w:t>
      </w:r>
    </w:p>
    <w:p>
      <w:pPr>
        <w:spacing w:after="0" w:line="116" w:lineRule="exact"/>
        <w:rPr>
          <w:sz w:val="20"/>
          <w:szCs w:val="20"/>
          <w:color w:val="auto"/>
        </w:rPr>
      </w:pPr>
    </w:p>
    <w:p>
      <w:pPr>
        <w:ind w:left="660" w:hanging="328"/>
        <w:spacing w:after="0"/>
        <w:tabs>
          <w:tab w:leader="none" w:pos="660" w:val="left"/>
        </w:tabs>
        <w:numPr>
          <w:ilvl w:val="0"/>
          <w:numId w:val="119"/>
        </w:numPr>
        <w:rPr>
          <w:rFonts w:ascii="Calibri" w:cs="Calibri" w:eastAsia="Calibri" w:hAnsi="Calibri"/>
          <w:sz w:val="17"/>
          <w:szCs w:val="17"/>
          <w:color w:val="auto"/>
        </w:rPr>
      </w:pPr>
      <w:r>
        <w:rPr>
          <w:rFonts w:ascii="Calibri" w:cs="Calibri" w:eastAsia="Calibri" w:hAnsi="Calibri"/>
          <w:sz w:val="17"/>
          <w:szCs w:val="17"/>
          <w:color w:val="auto"/>
        </w:rPr>
        <w:t>Atend as a Guest Without a Control Number by selectng “Guest” and entering the required informaton.</w:t>
      </w:r>
    </w:p>
    <w:p>
      <w:pPr>
        <w:spacing w:after="0" w:line="102" w:lineRule="exact"/>
        <w:rPr>
          <w:rFonts w:ascii="Calibri" w:cs="Calibri" w:eastAsia="Calibri" w:hAnsi="Calibri"/>
          <w:sz w:val="17"/>
          <w:szCs w:val="17"/>
          <w:color w:val="auto"/>
        </w:rPr>
      </w:pPr>
    </w:p>
    <w:p>
      <w:pPr>
        <w:ind w:left="660" w:hanging="328"/>
        <w:spacing w:after="0"/>
        <w:tabs>
          <w:tab w:leader="none" w:pos="660" w:val="left"/>
        </w:tabs>
        <w:numPr>
          <w:ilvl w:val="0"/>
          <w:numId w:val="119"/>
        </w:numPr>
        <w:rPr>
          <w:rFonts w:ascii="Calibri" w:cs="Calibri" w:eastAsia="Calibri" w:hAnsi="Calibri"/>
          <w:sz w:val="17"/>
          <w:szCs w:val="17"/>
          <w:color w:val="auto"/>
        </w:rPr>
      </w:pPr>
      <w:r>
        <w:rPr>
          <w:rFonts w:ascii="Calibri" w:cs="Calibri" w:eastAsia="Calibri" w:hAnsi="Calibri"/>
          <w:sz w:val="17"/>
          <w:szCs w:val="17"/>
          <w:color w:val="auto"/>
        </w:rPr>
        <w:t>Atend as a Partcipant With a Control Number by entering your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341630</wp:posOffset>
            </wp:positionV>
            <wp:extent cx="1071880" cy="1803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sectPr>
      </w:pPr>
    </w:p>
    <w:bookmarkStart w:id="100" w:name="page101"/>
    <w:bookmarkEnd w:id="100"/>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Frequently Asked Questions</w:t>
      </w:r>
    </w:p>
    <w:p>
      <w:pPr>
        <w:spacing w:after="0" w:line="200" w:lineRule="exact"/>
        <w:rPr>
          <w:sz w:val="20"/>
          <w:szCs w:val="20"/>
          <w:color w:val="auto"/>
        </w:rPr>
      </w:pPr>
    </w:p>
    <w:p>
      <w:pPr>
        <w:spacing w:after="0" w:line="374" w:lineRule="exact"/>
        <w:rPr>
          <w:sz w:val="20"/>
          <w:szCs w:val="20"/>
          <w:color w:val="auto"/>
        </w:rPr>
      </w:pPr>
    </w:p>
    <w:p>
      <w:pPr>
        <w:ind w:right="20"/>
        <w:spacing w:after="0" w:line="245" w:lineRule="auto"/>
        <w:rPr>
          <w:sz w:val="20"/>
          <w:szCs w:val="20"/>
          <w:color w:val="auto"/>
        </w:rPr>
      </w:pPr>
      <w:r>
        <w:rPr>
          <w:rFonts w:ascii="Calibri" w:cs="Calibri" w:eastAsia="Calibri" w:hAnsi="Calibri"/>
          <w:sz w:val="17"/>
          <w:szCs w:val="17"/>
          <w:color w:val="auto"/>
        </w:rPr>
        <w:t>Afer acceptng the terms and conditons, you will be automatcally directed to the page for the Annual Meetng from which you can view the meetng agenda and other materials and ask questons and vote depending on whether you are a Partcipant.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818EB4"/>
        </w:rPr>
        <w:t>When should I log into the virtual Annual Meeting?</w:t>
      </w:r>
    </w:p>
    <w:p>
      <w:pPr>
        <w:spacing w:after="0" w:line="97" w:lineRule="exact"/>
        <w:rPr>
          <w:sz w:val="20"/>
          <w:szCs w:val="20"/>
          <w:color w:val="auto"/>
        </w:rPr>
      </w:pPr>
    </w:p>
    <w:p>
      <w:pPr>
        <w:ind w:right="280"/>
        <w:spacing w:after="0" w:line="245" w:lineRule="auto"/>
        <w:rPr>
          <w:sz w:val="20"/>
          <w:szCs w:val="20"/>
          <w:color w:val="auto"/>
        </w:rPr>
      </w:pPr>
      <w:r>
        <w:rPr>
          <w:rFonts w:ascii="Calibri" w:cs="Calibri" w:eastAsia="Calibri" w:hAnsi="Calibri"/>
          <w:sz w:val="17"/>
          <w:szCs w:val="17"/>
          <w:color w:val="auto"/>
        </w:rPr>
        <w:t xml:space="preserve">The Annual Meetng will begin promptly at </w:t>
      </w:r>
      <w:r>
        <w:rPr>
          <w:rFonts w:ascii="Calibri" w:cs="Calibri" w:eastAsia="Calibri" w:hAnsi="Calibri"/>
          <w:sz w:val="17"/>
          <w:szCs w:val="17"/>
          <w:b w:val="1"/>
          <w:bCs w:val="1"/>
          <w:color w:val="auto"/>
        </w:rPr>
        <w:t>9:00 a.m. EDT, on April 27, 2023</w:t>
      </w:r>
      <w:r>
        <w:rPr>
          <w:rFonts w:ascii="Calibri" w:cs="Calibri" w:eastAsia="Calibri" w:hAnsi="Calibri"/>
          <w:sz w:val="17"/>
          <w:szCs w:val="17"/>
          <w:color w:val="auto"/>
        </w:rPr>
        <w:t>. You may login into the meetng platorm beginning approximately 30 minutes before the meetng start tme. We encourage atendees to log into the meetng at least 15 minutes before the start tme to test your audio system.</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818EB4"/>
        </w:rPr>
        <w:t>Can I attend the virtual Annual Meeting from a mobile device?</w:t>
      </w:r>
    </w:p>
    <w:p>
      <w:pPr>
        <w:spacing w:after="0" w:line="94" w:lineRule="exact"/>
        <w:rPr>
          <w:sz w:val="20"/>
          <w:szCs w:val="20"/>
          <w:color w:val="auto"/>
        </w:rPr>
      </w:pPr>
    </w:p>
    <w:p>
      <w:pPr>
        <w:spacing w:after="0"/>
        <w:rPr>
          <w:sz w:val="20"/>
          <w:szCs w:val="20"/>
          <w:color w:val="auto"/>
        </w:rPr>
      </w:pPr>
      <w:r>
        <w:rPr>
          <w:rFonts w:ascii="Calibri" w:cs="Calibri" w:eastAsia="Calibri" w:hAnsi="Calibri"/>
          <w:sz w:val="17"/>
          <w:szCs w:val="17"/>
          <w:color w:val="auto"/>
        </w:rPr>
        <w:t>Yes, you should be able to access the Annual Meetng using any device capable of running the most common internet browsers.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818EB4"/>
        </w:rPr>
        <w:t>Who can assist me if I have technical difficulties prior to or during the meeting?</w:t>
      </w:r>
    </w:p>
    <w:p>
      <w:pPr>
        <w:spacing w:after="0" w:line="124" w:lineRule="exact"/>
        <w:rPr>
          <w:sz w:val="20"/>
          <w:szCs w:val="20"/>
          <w:color w:val="auto"/>
        </w:rPr>
      </w:pPr>
    </w:p>
    <w:p>
      <w:pPr>
        <w:ind w:right="260"/>
        <w:spacing w:after="0" w:line="245" w:lineRule="auto"/>
        <w:rPr>
          <w:sz w:val="20"/>
          <w:szCs w:val="20"/>
          <w:color w:val="auto"/>
        </w:rPr>
      </w:pPr>
      <w:r>
        <w:rPr>
          <w:rFonts w:ascii="Calibri" w:cs="Calibri" w:eastAsia="Calibri" w:hAnsi="Calibri"/>
          <w:sz w:val="17"/>
          <w:szCs w:val="17"/>
          <w:color w:val="auto"/>
        </w:rPr>
        <w:t>If you encounter technical difcultes, please call Computershare’s live Technical Assistance Line for immediate support at 1-888-724-2416 (toll-free) or +1-781-575-2748 (internatonal).</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818EB4"/>
        </w:rPr>
        <w:t>Who is eligible to attend the Annual Meeting?</w:t>
      </w:r>
    </w:p>
    <w:p>
      <w:pPr>
        <w:spacing w:after="0" w:line="94" w:lineRule="exact"/>
        <w:rPr>
          <w:sz w:val="20"/>
          <w:szCs w:val="20"/>
          <w:color w:val="auto"/>
        </w:rPr>
      </w:pPr>
    </w:p>
    <w:p>
      <w:pPr>
        <w:spacing w:after="0"/>
        <w:rPr>
          <w:sz w:val="20"/>
          <w:szCs w:val="20"/>
          <w:color w:val="auto"/>
        </w:rPr>
      </w:pPr>
      <w:r>
        <w:rPr>
          <w:rFonts w:ascii="Calibri" w:cs="Calibri" w:eastAsia="Calibri" w:hAnsi="Calibri"/>
          <w:sz w:val="17"/>
          <w:szCs w:val="17"/>
          <w:color w:val="auto"/>
        </w:rPr>
        <w:t>Anyone is welcome to view the meetng, however, only stockholders with a control number will be able to partcipate in the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15175"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Features:</w:t>
            </w:r>
          </w:p>
        </w:tc>
        <w:tc>
          <w:tcPr>
            <w:tcW w:w="100" w:type="dxa"/>
            <w:vAlign w:val="bottom"/>
          </w:tcPr>
          <w:p>
            <w:pPr>
              <w:spacing w:after="0"/>
              <w:rPr>
                <w:sz w:val="18"/>
                <w:szCs w:val="18"/>
                <w:color w:val="auto"/>
              </w:rPr>
            </w:pPr>
          </w:p>
        </w:tc>
        <w:tc>
          <w:tcPr>
            <w:tcW w:w="36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Guest</w:t>
            </w:r>
          </w:p>
        </w:tc>
        <w:tc>
          <w:tcPr>
            <w:tcW w:w="80" w:type="dxa"/>
            <w:vAlign w:val="bottom"/>
          </w:tcPr>
          <w:p>
            <w:pPr>
              <w:spacing w:after="0"/>
              <w:rPr>
                <w:sz w:val="18"/>
                <w:szCs w:val="18"/>
                <w:color w:val="auto"/>
              </w:rPr>
            </w:pPr>
          </w:p>
        </w:tc>
        <w:tc>
          <w:tcPr>
            <w:tcW w:w="370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Participant</w:t>
            </w:r>
          </w:p>
        </w:tc>
      </w:tr>
      <w:tr>
        <w:trPr>
          <w:trHeight w:val="230"/>
        </w:trPr>
        <w:tc>
          <w:tcPr>
            <w:tcW w:w="3660" w:type="dxa"/>
            <w:vAlign w:val="bottom"/>
            <w:tcBorders>
              <w:top w:val="single" w:sz="8" w:color="003478"/>
            </w:tcBorders>
          </w:tcPr>
          <w:p>
            <w:pPr>
              <w:ind w:left="20"/>
              <w:spacing w:after="0"/>
              <w:rPr>
                <w:sz w:val="20"/>
                <w:szCs w:val="20"/>
                <w:color w:val="auto"/>
              </w:rPr>
            </w:pPr>
            <w:r>
              <w:rPr>
                <w:rFonts w:ascii="Calibri" w:cs="Calibri" w:eastAsia="Calibri" w:hAnsi="Calibri"/>
                <w:sz w:val="14"/>
                <w:szCs w:val="14"/>
                <w:color w:val="auto"/>
              </w:rPr>
              <w:t>View the Meetng</w:t>
            </w:r>
          </w:p>
        </w:tc>
        <w:tc>
          <w:tcPr>
            <w:tcW w:w="100" w:type="dxa"/>
            <w:vAlign w:val="bottom"/>
          </w:tcPr>
          <w:p>
            <w:pPr>
              <w:spacing w:after="0"/>
              <w:rPr>
                <w:sz w:val="20"/>
                <w:szCs w:val="20"/>
                <w:color w:val="auto"/>
              </w:rPr>
            </w:pPr>
          </w:p>
        </w:tc>
        <w:tc>
          <w:tcPr>
            <w:tcW w:w="3680" w:type="dxa"/>
            <w:vAlign w:val="bottom"/>
            <w:tcBorders>
              <w:top w:val="single" w:sz="8" w:color="003478"/>
            </w:tcBorders>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Borders>
              <w:top w:val="single" w:sz="8" w:color="003478"/>
            </w:tcBorders>
          </w:tcPr>
          <w:p>
            <w:pPr>
              <w:spacing w:after="0"/>
              <w:rPr>
                <w:sz w:val="20"/>
                <w:szCs w:val="20"/>
                <w:color w:val="auto"/>
              </w:rPr>
            </w:pPr>
          </w:p>
        </w:tc>
      </w:tr>
      <w:tr>
        <w:trPr>
          <w:trHeight w:val="114"/>
        </w:trPr>
        <w:tc>
          <w:tcPr>
            <w:tcW w:w="3660" w:type="dxa"/>
            <w:vAlign w:val="bottom"/>
            <w:tcBorders>
              <w:bottom w:val="single" w:sz="8" w:color="939598"/>
            </w:tcBorders>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tcBorders>
              <w:bottom w:val="single" w:sz="8" w:color="939598"/>
            </w:tcBorders>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tcBorders>
              <w:bottom w:val="single" w:sz="8" w:color="939598"/>
            </w:tcBorders>
          </w:tcPr>
          <w:p>
            <w:pPr>
              <w:spacing w:after="0"/>
              <w:rPr>
                <w:sz w:val="9"/>
                <w:szCs w:val="9"/>
                <w:color w:val="auto"/>
              </w:rPr>
            </w:pPr>
          </w:p>
        </w:tc>
      </w:tr>
      <w:tr>
        <w:trPr>
          <w:trHeight w:val="176"/>
        </w:trPr>
        <w:tc>
          <w:tcPr>
            <w:tcW w:w="3660" w:type="dxa"/>
            <w:vAlign w:val="bottom"/>
          </w:tcPr>
          <w:p>
            <w:pPr>
              <w:ind w:left="20"/>
              <w:spacing w:after="0"/>
              <w:rPr>
                <w:sz w:val="20"/>
                <w:szCs w:val="20"/>
                <w:color w:val="auto"/>
              </w:rPr>
            </w:pPr>
            <w:r>
              <w:rPr>
                <w:rFonts w:ascii="Calibri" w:cs="Calibri" w:eastAsia="Calibri" w:hAnsi="Calibri"/>
                <w:sz w:val="14"/>
                <w:szCs w:val="14"/>
                <w:color w:val="auto"/>
              </w:rPr>
              <w:t>View Meetng Documents</w:t>
            </w:r>
          </w:p>
        </w:tc>
        <w:tc>
          <w:tcPr>
            <w:tcW w:w="1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60"/>
        </w:trPr>
        <w:tc>
          <w:tcPr>
            <w:tcW w:w="3660" w:type="dxa"/>
            <w:vAlign w:val="bottom"/>
            <w:tcBorders>
              <w:bottom w:val="single" w:sz="8" w:color="939598"/>
            </w:tcBorders>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tcBorders>
              <w:bottom w:val="single" w:sz="8" w:color="939598"/>
            </w:tcBorders>
          </w:tcPr>
          <w:p>
            <w:pPr>
              <w:spacing w:after="0"/>
              <w:rPr>
                <w:sz w:val="5"/>
                <w:szCs w:val="5"/>
                <w:color w:val="auto"/>
              </w:rPr>
            </w:pPr>
          </w:p>
        </w:tc>
        <w:tc>
          <w:tcPr>
            <w:tcW w:w="80" w:type="dxa"/>
            <w:vAlign w:val="bottom"/>
          </w:tcPr>
          <w:p>
            <w:pPr>
              <w:spacing w:after="0"/>
              <w:rPr>
                <w:sz w:val="5"/>
                <w:szCs w:val="5"/>
                <w:color w:val="auto"/>
              </w:rPr>
            </w:pPr>
          </w:p>
        </w:tc>
        <w:tc>
          <w:tcPr>
            <w:tcW w:w="3700" w:type="dxa"/>
            <w:vAlign w:val="bottom"/>
            <w:tcBorders>
              <w:bottom w:val="single" w:sz="8" w:color="939598"/>
            </w:tcBorders>
          </w:tcPr>
          <w:p>
            <w:pPr>
              <w:spacing w:after="0"/>
              <w:rPr>
                <w:sz w:val="5"/>
                <w:szCs w:val="5"/>
                <w:color w:val="auto"/>
              </w:rPr>
            </w:pPr>
          </w:p>
        </w:tc>
      </w:tr>
      <w:tr>
        <w:trPr>
          <w:trHeight w:val="176"/>
        </w:trPr>
        <w:tc>
          <w:tcPr>
            <w:tcW w:w="3660" w:type="dxa"/>
            <w:vAlign w:val="bottom"/>
          </w:tcPr>
          <w:p>
            <w:pPr>
              <w:ind w:left="20"/>
              <w:spacing w:after="0"/>
              <w:rPr>
                <w:sz w:val="20"/>
                <w:szCs w:val="20"/>
                <w:color w:val="auto"/>
              </w:rPr>
            </w:pPr>
            <w:r>
              <w:rPr>
                <w:rFonts w:ascii="Calibri" w:cs="Calibri" w:eastAsia="Calibri" w:hAnsi="Calibri"/>
                <w:sz w:val="14"/>
                <w:szCs w:val="14"/>
                <w:color w:val="auto"/>
              </w:rPr>
              <w:t>Ask Queston During the Meetng</w:t>
            </w:r>
          </w:p>
        </w:tc>
        <w:tc>
          <w:tcPr>
            <w:tcW w:w="100" w:type="dxa"/>
            <w:vAlign w:val="bottom"/>
          </w:tcPr>
          <w:p>
            <w:pPr>
              <w:spacing w:after="0"/>
              <w:rPr>
                <w:sz w:val="15"/>
                <w:szCs w:val="15"/>
                <w:color w:val="auto"/>
              </w:rPr>
            </w:pPr>
          </w:p>
        </w:tc>
        <w:tc>
          <w:tcPr>
            <w:tcW w:w="3680" w:type="dxa"/>
            <w:vAlign w:val="bottom"/>
          </w:tcPr>
          <w:p>
            <w:pPr>
              <w:ind w:left="180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61"/>
        </w:trPr>
        <w:tc>
          <w:tcPr>
            <w:tcW w:w="3660" w:type="dxa"/>
            <w:vAlign w:val="bottom"/>
            <w:tcBorders>
              <w:bottom w:val="single" w:sz="8" w:color="939598"/>
            </w:tcBorders>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tcBorders>
              <w:bottom w:val="single" w:sz="8" w:color="939598"/>
            </w:tcBorders>
          </w:tcPr>
          <w:p>
            <w:pPr>
              <w:spacing w:after="0"/>
              <w:rPr>
                <w:sz w:val="5"/>
                <w:szCs w:val="5"/>
                <w:color w:val="auto"/>
              </w:rPr>
            </w:pPr>
          </w:p>
        </w:tc>
        <w:tc>
          <w:tcPr>
            <w:tcW w:w="80" w:type="dxa"/>
            <w:vAlign w:val="bottom"/>
          </w:tcPr>
          <w:p>
            <w:pPr>
              <w:spacing w:after="0"/>
              <w:rPr>
                <w:sz w:val="5"/>
                <w:szCs w:val="5"/>
                <w:color w:val="auto"/>
              </w:rPr>
            </w:pPr>
          </w:p>
        </w:tc>
        <w:tc>
          <w:tcPr>
            <w:tcW w:w="3700" w:type="dxa"/>
            <w:vAlign w:val="bottom"/>
            <w:tcBorders>
              <w:bottom w:val="single" w:sz="8" w:color="939598"/>
            </w:tcBorders>
          </w:tcPr>
          <w:p>
            <w:pPr>
              <w:spacing w:after="0"/>
              <w:rPr>
                <w:sz w:val="5"/>
                <w:szCs w:val="5"/>
                <w:color w:val="auto"/>
              </w:rPr>
            </w:pPr>
          </w:p>
        </w:tc>
      </w:tr>
      <w:tr>
        <w:trPr>
          <w:trHeight w:val="176"/>
        </w:trPr>
        <w:tc>
          <w:tcPr>
            <w:tcW w:w="3660" w:type="dxa"/>
            <w:vAlign w:val="bottom"/>
          </w:tcPr>
          <w:p>
            <w:pPr>
              <w:ind w:left="20"/>
              <w:spacing w:after="0"/>
              <w:rPr>
                <w:sz w:val="20"/>
                <w:szCs w:val="20"/>
                <w:color w:val="auto"/>
              </w:rPr>
            </w:pPr>
            <w:r>
              <w:rPr>
                <w:rFonts w:ascii="Calibri" w:cs="Calibri" w:eastAsia="Calibri" w:hAnsi="Calibri"/>
                <w:sz w:val="14"/>
                <w:szCs w:val="14"/>
                <w:color w:val="auto"/>
              </w:rPr>
              <w:t>Vote During the Meetng</w:t>
            </w:r>
          </w:p>
        </w:tc>
        <w:tc>
          <w:tcPr>
            <w:tcW w:w="100" w:type="dxa"/>
            <w:vAlign w:val="bottom"/>
          </w:tcPr>
          <w:p>
            <w:pPr>
              <w:spacing w:after="0"/>
              <w:rPr>
                <w:sz w:val="15"/>
                <w:szCs w:val="15"/>
                <w:color w:val="auto"/>
              </w:rPr>
            </w:pPr>
          </w:p>
        </w:tc>
        <w:tc>
          <w:tcPr>
            <w:tcW w:w="3680" w:type="dxa"/>
            <w:vAlign w:val="bottom"/>
          </w:tcPr>
          <w:p>
            <w:pPr>
              <w:ind w:left="1800"/>
              <w:spacing w:after="0"/>
              <w:rPr>
                <w:sz w:val="20"/>
                <w:szCs w:val="20"/>
                <w:color w:val="auto"/>
              </w:rPr>
            </w:pPr>
            <w:r>
              <w:rPr>
                <w:rFonts w:ascii="Calibri" w:cs="Calibri" w:eastAsia="Calibri" w:hAnsi="Calibri"/>
                <w:sz w:val="14"/>
                <w:szCs w:val="14"/>
                <w:color w:val="auto"/>
              </w:rPr>
              <w:t>–</w:t>
            </w:r>
          </w:p>
        </w:tc>
        <w:tc>
          <w:tcPr>
            <w:tcW w:w="80" w:type="dxa"/>
            <w:vAlign w:val="bottom"/>
          </w:tcPr>
          <w:p>
            <w:pPr>
              <w:spacing w:after="0"/>
              <w:rPr>
                <w:sz w:val="15"/>
                <w:szCs w:val="15"/>
                <w:color w:val="auto"/>
              </w:rPr>
            </w:pPr>
          </w:p>
        </w:tc>
        <w:tc>
          <w:tcPr>
            <w:tcW w:w="3700" w:type="dxa"/>
            <w:vAlign w:val="bottom"/>
          </w:tcPr>
          <w:p>
            <w:pPr>
              <w:ind w:left="20"/>
              <w:spacing w:after="0"/>
              <w:rPr>
                <w:sz w:val="20"/>
                <w:szCs w:val="20"/>
                <w:color w:val="auto"/>
              </w:rPr>
            </w:pPr>
            <w:r>
              <w:rPr>
                <w:rFonts w:ascii="Calibri" w:cs="Calibri" w:eastAsia="Calibri" w:hAnsi="Calibri"/>
                <w:sz w:val="14"/>
                <w:szCs w:val="14"/>
                <w:color w:val="auto"/>
              </w:rPr>
              <w:t>Registered Stockholder: Yes</w:t>
            </w:r>
          </w:p>
        </w:tc>
      </w:t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ind w:left="20"/>
              <w:spacing w:after="0"/>
              <w:rPr>
                <w:sz w:val="20"/>
                <w:szCs w:val="20"/>
                <w:color w:val="auto"/>
              </w:rPr>
            </w:pPr>
            <w:r>
              <w:rPr>
                <w:rFonts w:ascii="Calibri" w:cs="Calibri" w:eastAsia="Calibri" w:hAnsi="Calibri"/>
                <w:sz w:val="14"/>
                <w:szCs w:val="14"/>
                <w:color w:val="auto"/>
              </w:rPr>
              <w:t>Savings Plan Partcipant: No</w:t>
            </w:r>
          </w:p>
        </w:tc>
      </w:t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ind w:left="20"/>
              <w:spacing w:after="0"/>
              <w:rPr>
                <w:sz w:val="20"/>
                <w:szCs w:val="20"/>
                <w:color w:val="auto"/>
              </w:rPr>
            </w:pPr>
            <w:r>
              <w:rPr>
                <w:rFonts w:ascii="Calibri" w:cs="Calibri" w:eastAsia="Calibri" w:hAnsi="Calibri"/>
                <w:sz w:val="14"/>
                <w:szCs w:val="14"/>
                <w:color w:val="auto"/>
              </w:rPr>
              <w:t>Benefcial Owner: Depends; refer to the queston below for</w:t>
            </w:r>
          </w:p>
        </w:tc>
      </w:t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ind w:left="20"/>
              <w:spacing w:after="0"/>
              <w:rPr>
                <w:sz w:val="20"/>
                <w:szCs w:val="20"/>
                <w:color w:val="auto"/>
              </w:rPr>
            </w:pPr>
            <w:r>
              <w:rPr>
                <w:rFonts w:ascii="Calibri" w:cs="Calibri" w:eastAsia="Calibri" w:hAnsi="Calibri"/>
                <w:sz w:val="14"/>
                <w:szCs w:val="14"/>
                <w:color w:val="auto"/>
              </w:rPr>
              <w:t>additonal informaton</w:t>
            </w:r>
          </w:p>
        </w:tc>
      </w:tr>
      <w:tr>
        <w:trPr>
          <w:trHeight w:val="47"/>
        </w:trPr>
        <w:tc>
          <w:tcPr>
            <w:tcW w:w="3660" w:type="dxa"/>
            <w:vAlign w:val="bottom"/>
            <w:tcBorders>
              <w:bottom w:val="single" w:sz="8" w:color="959595"/>
            </w:tcBorders>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tcBorders>
              <w:bottom w:val="single" w:sz="8" w:color="959595"/>
            </w:tcBorders>
          </w:tcPr>
          <w:p>
            <w:pPr>
              <w:spacing w:after="0"/>
              <w:rPr>
                <w:sz w:val="4"/>
                <w:szCs w:val="4"/>
                <w:color w:val="auto"/>
              </w:rPr>
            </w:pPr>
          </w:p>
        </w:tc>
        <w:tc>
          <w:tcPr>
            <w:tcW w:w="80" w:type="dxa"/>
            <w:vAlign w:val="bottom"/>
          </w:tcPr>
          <w:p>
            <w:pPr>
              <w:spacing w:after="0"/>
              <w:rPr>
                <w:sz w:val="4"/>
                <w:szCs w:val="4"/>
                <w:color w:val="auto"/>
              </w:rPr>
            </w:pPr>
          </w:p>
        </w:tc>
        <w:tc>
          <w:tcPr>
            <w:tcW w:w="3700" w:type="dxa"/>
            <w:vAlign w:val="bottom"/>
            <w:tcBorders>
              <w:bottom w:val="single" w:sz="8" w:color="959595"/>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-1036955</wp:posOffset>
            </wp:positionV>
            <wp:extent cx="93980" cy="8572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93980" cy="8572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-1036955</wp:posOffset>
            </wp:positionV>
            <wp:extent cx="94615" cy="857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-839470</wp:posOffset>
            </wp:positionV>
            <wp:extent cx="93980" cy="8572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93980" cy="8572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-839470</wp:posOffset>
            </wp:positionV>
            <wp:extent cx="94615" cy="8572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-676910</wp:posOffset>
            </wp:positionV>
            <wp:extent cx="94615" cy="8572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818EB4"/>
        </w:rPr>
        <w:t>How do I participate and vote in the Annual Meeting?</w:t>
      </w:r>
    </w:p>
    <w:p>
      <w:pPr>
        <w:spacing w:after="0" w:line="97" w:lineRule="exact"/>
        <w:rPr>
          <w:sz w:val="20"/>
          <w:szCs w:val="20"/>
          <w:color w:val="auto"/>
        </w:rPr>
      </w:pPr>
    </w:p>
    <w:p>
      <w:pPr>
        <w:jc w:val="both"/>
        <w:ind w:right="160"/>
        <w:spacing w:after="0" w:line="255" w:lineRule="auto"/>
        <w:rPr>
          <w:sz w:val="20"/>
          <w:szCs w:val="20"/>
          <w:color w:val="auto"/>
        </w:rPr>
      </w:pPr>
      <w:r>
        <w:rPr>
          <w:rFonts w:ascii="Calibri" w:cs="Calibri" w:eastAsia="Calibri" w:hAnsi="Calibri"/>
          <w:sz w:val="17"/>
          <w:szCs w:val="17"/>
          <w:color w:val="auto"/>
        </w:rPr>
        <w:t xml:space="preserve">Stockholders may atend the Annual Meetng via the Internet by visitng </w:t>
      </w:r>
      <w:r>
        <w:rPr>
          <w:rFonts w:ascii="Calibri" w:cs="Calibri" w:eastAsia="Calibri" w:hAnsi="Calibri"/>
          <w:sz w:val="17"/>
          <w:szCs w:val="17"/>
          <w:b w:val="1"/>
          <w:bCs w:val="1"/>
          <w:i w:val="1"/>
          <w:iCs w:val="1"/>
          <w:color w:val="auto"/>
        </w:rPr>
        <w:t>www.meetnow.global/LMT2023</w:t>
      </w:r>
      <w:r>
        <w:rPr>
          <w:rFonts w:ascii="Calibri" w:cs="Calibri" w:eastAsia="Calibri" w:hAnsi="Calibri"/>
          <w:sz w:val="17"/>
          <w:szCs w:val="17"/>
          <w:color w:val="auto"/>
        </w:rPr>
        <w:t>. You will be prompted to enter the unique control number received with your proxy materials to join and partcipate in the meetng. Company savings plan partcipants who join the Annual Meetng by using their control number will be able to ask questons but not vote during the meetng.</w:t>
      </w:r>
    </w:p>
    <w:p>
      <w:pPr>
        <w:spacing w:after="0" w:line="108" w:lineRule="exact"/>
        <w:rPr>
          <w:sz w:val="20"/>
          <w:szCs w:val="20"/>
          <w:color w:val="auto"/>
        </w:rPr>
      </w:pPr>
    </w:p>
    <w:p>
      <w:pPr>
        <w:ind w:right="140"/>
        <w:spacing w:after="0" w:line="258" w:lineRule="auto"/>
        <w:rPr>
          <w:sz w:val="20"/>
          <w:szCs w:val="20"/>
          <w:color w:val="auto"/>
        </w:rPr>
      </w:pPr>
      <w:r>
        <w:rPr>
          <w:rFonts w:ascii="Calibri" w:cs="Calibri" w:eastAsia="Calibri" w:hAnsi="Calibri"/>
          <w:sz w:val="17"/>
          <w:szCs w:val="17"/>
          <w:color w:val="auto"/>
        </w:rPr>
        <w:t>The vast majority of benefcial owners will be able to partcipate using the control number received with their votng instructon form, but we recommend that benefcial owners confrm this ability with the broker, bank or other nominee through which they hold their shares. If your broker, bank or other nominee does not provide the ability to access the virtual Annual Meetng, then you will be required to request a legal proxy from them to partcipate in the Annual Meetng. See “What is a legal proxy and how do I request one?”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818EB4"/>
        </w:rPr>
        <w:t>Who can submit a question during the Annual Meeting?</w:t>
      </w:r>
    </w:p>
    <w:p>
      <w:pPr>
        <w:spacing w:after="0" w:line="111" w:lineRule="exact"/>
        <w:rPr>
          <w:sz w:val="20"/>
          <w:szCs w:val="20"/>
          <w:color w:val="auto"/>
        </w:rPr>
      </w:pPr>
    </w:p>
    <w:p>
      <w:pPr>
        <w:spacing w:after="0" w:line="255" w:lineRule="auto"/>
        <w:rPr>
          <w:sz w:val="20"/>
          <w:szCs w:val="20"/>
          <w:color w:val="auto"/>
        </w:rPr>
      </w:pPr>
      <w:r>
        <w:rPr>
          <w:rFonts w:ascii="Calibri" w:cs="Calibri" w:eastAsia="Calibri" w:hAnsi="Calibri"/>
          <w:sz w:val="17"/>
          <w:szCs w:val="17"/>
          <w:color w:val="auto"/>
        </w:rPr>
        <w:t>Stockholders atending the meetng as a Partcipant using their control number will be able to submit questons via the virtual meetng platorm in accordance with the Annual Meetng rules and procedures, which will be available on the meetng website. If you do not have a control number, you may atend the Annual Meetng as a Guest, but you will not have the functonality to ask a queston.</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818EB4"/>
        </w:rPr>
        <w:t>When will my question be answered?</w:t>
      </w:r>
    </w:p>
    <w:p>
      <w:pPr>
        <w:spacing w:after="0" w:line="97" w:lineRule="exact"/>
        <w:rPr>
          <w:sz w:val="20"/>
          <w:szCs w:val="20"/>
          <w:color w:val="auto"/>
        </w:rPr>
      </w:pPr>
    </w:p>
    <w:p>
      <w:pPr>
        <w:ind w:right="720"/>
        <w:spacing w:after="0" w:line="245" w:lineRule="auto"/>
        <w:rPr>
          <w:sz w:val="20"/>
          <w:szCs w:val="20"/>
          <w:color w:val="auto"/>
        </w:rPr>
      </w:pPr>
      <w:r>
        <w:rPr>
          <w:rFonts w:ascii="Calibri" w:cs="Calibri" w:eastAsia="Calibri" w:hAnsi="Calibri"/>
          <w:sz w:val="17"/>
          <w:szCs w:val="17"/>
          <w:color w:val="auto"/>
        </w:rPr>
        <w:t>A live queston and answer session will take place afer the formal business is completed, during which our Company representatves will respond to questons submited via the virtual meetng platorm during the meetng.</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818EB4"/>
        </w:rPr>
        <w:t>What is a legal proxy and how do I request one?</w:t>
      </w:r>
    </w:p>
    <w:p>
      <w:pPr>
        <w:spacing w:after="0" w:line="97" w:lineRule="exact"/>
        <w:rPr>
          <w:sz w:val="20"/>
          <w:szCs w:val="20"/>
          <w:color w:val="auto"/>
        </w:rPr>
      </w:pPr>
    </w:p>
    <w:p>
      <w:pPr>
        <w:ind w:right="40"/>
        <w:spacing w:after="0" w:line="255" w:lineRule="auto"/>
        <w:rPr>
          <w:sz w:val="20"/>
          <w:szCs w:val="20"/>
          <w:color w:val="auto"/>
        </w:rPr>
      </w:pPr>
      <w:r>
        <w:rPr>
          <w:rFonts w:ascii="Calibri" w:cs="Calibri" w:eastAsia="Calibri" w:hAnsi="Calibri"/>
          <w:sz w:val="17"/>
          <w:szCs w:val="17"/>
          <w:color w:val="auto"/>
        </w:rPr>
        <w:t>A legal proxy is a legal authorizaton from you to another person or from you to your broker, bank or other nominee if you are a benefcial owner who authorizes the other person or entty to vote the shares held in your name or in the nominee’s name that satsfes Maryland law. If you are a benefcial owner and your control number does not enable you to atend the Annual Meetng as 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1" w:name="page102"/>
    <w:bookmarkEnd w:id="101"/>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Frequently Asked Questions</w:t>
      </w:r>
    </w:p>
    <w:p>
      <w:pPr>
        <w:spacing w:after="0" w:line="200" w:lineRule="exact"/>
        <w:rPr>
          <w:sz w:val="20"/>
          <w:szCs w:val="20"/>
          <w:color w:val="auto"/>
        </w:rPr>
      </w:pPr>
    </w:p>
    <w:p>
      <w:pPr>
        <w:spacing w:after="0" w:line="374" w:lineRule="exact"/>
        <w:rPr>
          <w:sz w:val="20"/>
          <w:szCs w:val="20"/>
          <w:color w:val="auto"/>
        </w:rPr>
      </w:pPr>
    </w:p>
    <w:p>
      <w:pPr>
        <w:ind w:right="460"/>
        <w:spacing w:after="0" w:line="245" w:lineRule="auto"/>
        <w:rPr>
          <w:sz w:val="20"/>
          <w:szCs w:val="20"/>
          <w:color w:val="auto"/>
        </w:rPr>
      </w:pPr>
      <w:r>
        <w:rPr>
          <w:rFonts w:ascii="Calibri" w:cs="Calibri" w:eastAsia="Calibri" w:hAnsi="Calibri"/>
          <w:sz w:val="17"/>
          <w:szCs w:val="17"/>
          <w:color w:val="auto"/>
        </w:rPr>
        <w:t>Partcipant, then to partcipate in the Annual Meetng, you will need to request a legal proxy from your broker, bank or other nominee and register with Computershare in advance of the Annual Meetng.</w:t>
      </w:r>
    </w:p>
    <w:p>
      <w:pPr>
        <w:spacing w:after="0" w:line="130" w:lineRule="exact"/>
        <w:rPr>
          <w:sz w:val="20"/>
          <w:szCs w:val="20"/>
          <w:color w:val="auto"/>
        </w:rPr>
      </w:pPr>
    </w:p>
    <w:p>
      <w:pPr>
        <w:ind w:right="120"/>
        <w:spacing w:after="0" w:line="255" w:lineRule="auto"/>
        <w:rPr>
          <w:sz w:val="20"/>
          <w:szCs w:val="20"/>
          <w:color w:val="auto"/>
        </w:rPr>
      </w:pPr>
      <w:r>
        <w:rPr>
          <w:rFonts w:ascii="Calibri" w:cs="Calibri" w:eastAsia="Calibri" w:hAnsi="Calibri"/>
          <w:sz w:val="17"/>
          <w:szCs w:val="17"/>
          <w:color w:val="auto"/>
        </w:rPr>
        <w:t xml:space="preserve">To register you must present the legal proxy you obtained from your broker, bank or other nominee to Computershare by email to Computershare at legalproxy@computershare.com or mail to “Computershare, Lockheed Martn Corporaton Legal Proxy, P.O. Box 43001, Providence, RI 02940-3001.” In each case, your communicaton should be labeled “Legal Proxy” and include proof from your broker, bank or other nominee of your valid proxy (e.g., a forwarded email from your broker, bank or other nominee with your valid proxy atached, or an image of your valid proxy atached to your email or included in your mailing). Computershare will then confrm your registraton and provide you with a 15-digit Control Number that you may use to atend the Annual Meetng as a Partcipant and vote during the meetng. </w:t>
      </w:r>
      <w:r>
        <w:rPr>
          <w:rFonts w:ascii="Calibri" w:cs="Calibri" w:eastAsia="Calibri" w:hAnsi="Calibri"/>
          <w:sz w:val="17"/>
          <w:szCs w:val="17"/>
          <w:b w:val="1"/>
          <w:bCs w:val="1"/>
          <w:color w:val="auto"/>
        </w:rPr>
        <w:t>Note that the legal proxy must be requested no later than 5:00 p.m. EDT, on April 24, 2023.</w:t>
      </w:r>
    </w:p>
    <w:p>
      <w:pPr>
        <w:spacing w:after="0" w:line="90" w:lineRule="exact"/>
        <w:rPr>
          <w:sz w:val="20"/>
          <w:szCs w:val="20"/>
          <w:color w:val="auto"/>
        </w:rPr>
      </w:pPr>
    </w:p>
    <w:p>
      <w:pPr>
        <w:spacing w:after="0"/>
        <w:rPr>
          <w:sz w:val="20"/>
          <w:szCs w:val="20"/>
          <w:color w:val="auto"/>
        </w:rPr>
      </w:pPr>
      <w:r>
        <w:rPr>
          <w:rFonts w:ascii="Arial" w:cs="Arial" w:eastAsia="Arial" w:hAnsi="Arial"/>
          <w:sz w:val="29"/>
          <w:szCs w:val="29"/>
          <w:color w:val="003478"/>
        </w:rPr>
        <w:t>Stockholder Proposals or Nominations for 2024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818EB4"/>
        </w:rPr>
        <w:t>How do I submit a proposal or nomination for the 2024 Annual Meeting of Stockholders?</w:t>
      </w:r>
    </w:p>
    <w:p>
      <w:pPr>
        <w:spacing w:after="0" w:line="121" w:lineRule="exact"/>
        <w:rPr>
          <w:sz w:val="20"/>
          <w:szCs w:val="20"/>
          <w:color w:val="auto"/>
        </w:rPr>
      </w:pPr>
    </w:p>
    <w:p>
      <w:pPr>
        <w:spacing w:after="0"/>
        <w:rPr>
          <w:sz w:val="20"/>
          <w:szCs w:val="20"/>
          <w:color w:val="auto"/>
        </w:rPr>
      </w:pPr>
      <w:r>
        <w:rPr>
          <w:rFonts w:ascii="Calibri" w:cs="Calibri" w:eastAsia="Calibri" w:hAnsi="Calibri"/>
          <w:sz w:val="17"/>
          <w:szCs w:val="17"/>
          <w:color w:val="auto"/>
        </w:rPr>
        <w:t>Stockholders who wish to submit a proposal or nominate a director for consideraton at the 2024 Annual Meetng may write to: Lockheed Martn</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Corporaton, Atenton: Senior Vice President, General Counsel and Corporate Secretary, 6801 Rockledge Drive, Bethesda, MD 20817.</w:t>
      </w:r>
    </w:p>
    <w:p>
      <w:pPr>
        <w:spacing w:after="0" w:line="133" w:lineRule="exact"/>
        <w:rPr>
          <w:sz w:val="20"/>
          <w:szCs w:val="20"/>
          <w:color w:val="auto"/>
        </w:rPr>
      </w:pPr>
    </w:p>
    <w:p>
      <w:pPr>
        <w:ind w:right="140"/>
        <w:spacing w:after="0" w:line="245" w:lineRule="auto"/>
        <w:rPr>
          <w:sz w:val="20"/>
          <w:szCs w:val="20"/>
          <w:color w:val="auto"/>
        </w:rPr>
      </w:pPr>
      <w:r>
        <w:rPr>
          <w:rFonts w:ascii="Calibri" w:cs="Calibri" w:eastAsia="Calibri" w:hAnsi="Calibri"/>
          <w:sz w:val="17"/>
          <w:szCs w:val="17"/>
          <w:color w:val="auto"/>
        </w:rPr>
        <w:t>The table below provides the requirements for how to submit a stockholder proposal or nominaton, in compliance with the SEC rules, including Rule 14a-8, and our Company’s Proxy Access Bylaw Provision.</w:t>
      </w:r>
    </w:p>
    <w:p>
      <w:pPr>
        <w:sectPr>
          <w:pgSz w:w="11900" w:h="16838" w:orient="portrait"/>
          <w:cols w:equalWidth="0" w:num="1">
            <w:col w:w="11220"/>
          </w:cols>
          <w:pgMar w:left="320" w:top="230" w:right="359" w:bottom="1440" w:gutter="0" w:footer="0" w:header="0"/>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shd w:val="clear" w:color="auto" w:fill="E5E7EF"/>
          </w:tcPr>
          <w:p>
            <w:pPr>
              <w:ind w:left="1280"/>
              <w:spacing w:after="0"/>
              <w:rPr>
                <w:sz w:val="20"/>
                <w:szCs w:val="20"/>
                <w:color w:val="auto"/>
              </w:rPr>
            </w:pPr>
            <w:r>
              <w:rPr>
                <w:rFonts w:ascii="Calibri" w:cs="Calibri" w:eastAsia="Calibri" w:hAnsi="Calibri"/>
                <w:sz w:val="17"/>
                <w:szCs w:val="17"/>
                <w:b w:val="1"/>
                <w:bCs w:val="1"/>
                <w:color w:val="auto"/>
              </w:rPr>
              <w:t>Type of Proposal</w:t>
            </w:r>
          </w:p>
        </w:tc>
        <w:tc>
          <w:tcPr>
            <w:tcW w:w="200" w:type="dxa"/>
            <w:vAlign w:val="bottom"/>
          </w:tcPr>
          <w:p>
            <w:pPr>
              <w:spacing w:after="0"/>
              <w:rPr>
                <w:sz w:val="19"/>
                <w:szCs w:val="19"/>
                <w:color w:val="auto"/>
              </w:rPr>
            </w:pPr>
          </w:p>
        </w:tc>
        <w:tc>
          <w:tcPr>
            <w:tcW w:w="2640" w:type="dxa"/>
            <w:vAlign w:val="bottom"/>
            <w:shd w:val="clear" w:color="auto" w:fill="959595"/>
          </w:tcPr>
          <w:p>
            <w:pPr>
              <w:ind w:left="1000"/>
              <w:spacing w:after="0"/>
              <w:rPr>
                <w:sz w:val="20"/>
                <w:szCs w:val="20"/>
                <w:color w:val="auto"/>
              </w:rPr>
            </w:pPr>
            <w:r>
              <w:rPr>
                <w:rFonts w:ascii="Calibri" w:cs="Calibri" w:eastAsia="Calibri" w:hAnsi="Calibri"/>
                <w:sz w:val="17"/>
                <w:szCs w:val="17"/>
                <w:b w:val="1"/>
                <w:bCs w:val="1"/>
                <w:color w:val="FFFFFF"/>
              </w:rPr>
              <w:t>Deadline</w:t>
            </w:r>
          </w:p>
        </w:tc>
      </w:tr>
      <w:tr>
        <w:trPr>
          <w:trHeight w:val="325"/>
        </w:trPr>
        <w:tc>
          <w:tcPr>
            <w:tcW w:w="3760" w:type="dxa"/>
            <w:vAlign w:val="bottom"/>
          </w:tcPr>
          <w:p>
            <w:pPr>
              <w:ind w:left="20"/>
              <w:spacing w:after="0"/>
              <w:rPr>
                <w:sz w:val="20"/>
                <w:szCs w:val="20"/>
                <w:color w:val="auto"/>
              </w:rPr>
            </w:pPr>
            <w:r>
              <w:rPr>
                <w:rFonts w:ascii="Calibri" w:cs="Calibri" w:eastAsia="Calibri" w:hAnsi="Calibri"/>
                <w:sz w:val="17"/>
                <w:szCs w:val="17"/>
                <w:b w:val="1"/>
                <w:bCs w:val="1"/>
                <w:color w:val="auto"/>
              </w:rPr>
              <w:t>Proposal to be Considered for inclusion in</w:t>
            </w:r>
          </w:p>
        </w:tc>
        <w:tc>
          <w:tcPr>
            <w:tcW w:w="200" w:type="dxa"/>
            <w:vAlign w:val="bottom"/>
          </w:tcPr>
          <w:p>
            <w:pPr>
              <w:spacing w:after="0"/>
              <w:rPr>
                <w:sz w:val="24"/>
                <w:szCs w:val="24"/>
                <w:color w:val="auto"/>
              </w:rPr>
            </w:pPr>
          </w:p>
        </w:tc>
        <w:tc>
          <w:tcPr>
            <w:tcW w:w="2640" w:type="dxa"/>
            <w:vAlign w:val="bottom"/>
          </w:tcPr>
          <w:p>
            <w:pPr>
              <w:ind w:left="20"/>
              <w:spacing w:after="0"/>
              <w:rPr>
                <w:sz w:val="20"/>
                <w:szCs w:val="20"/>
                <w:color w:val="auto"/>
              </w:rPr>
            </w:pPr>
            <w:r>
              <w:rPr>
                <w:rFonts w:ascii="Calibri" w:cs="Calibri" w:eastAsia="Calibri" w:hAnsi="Calibri"/>
                <w:sz w:val="17"/>
                <w:szCs w:val="17"/>
                <w:color w:val="auto"/>
              </w:rPr>
              <w:t>November 15, 2023</w:t>
            </w:r>
          </w:p>
        </w:tc>
      </w:tr>
      <w:tr>
        <w:trPr>
          <w:trHeight w:val="229"/>
        </w:trPr>
        <w:tc>
          <w:tcPr>
            <w:tcW w:w="3760" w:type="dxa"/>
            <w:vAlign w:val="bottom"/>
          </w:tcPr>
          <w:p>
            <w:pPr>
              <w:ind w:left="20"/>
              <w:spacing w:after="0"/>
              <w:rPr>
                <w:sz w:val="20"/>
                <w:szCs w:val="20"/>
                <w:color w:val="auto"/>
              </w:rPr>
            </w:pPr>
            <w:r>
              <w:rPr>
                <w:rFonts w:ascii="Calibri" w:cs="Calibri" w:eastAsia="Calibri" w:hAnsi="Calibri"/>
                <w:sz w:val="17"/>
                <w:szCs w:val="17"/>
                <w:b w:val="1"/>
                <w:bCs w:val="1"/>
                <w:color w:val="auto"/>
              </w:rPr>
              <w:t xml:space="preserve">Lockheed Martn’s Proxy Materials. </w:t>
            </w:r>
            <w:r>
              <w:rPr>
                <w:rFonts w:ascii="Calibri" w:cs="Calibri" w:eastAsia="Calibri" w:hAnsi="Calibri"/>
                <w:sz w:val="17"/>
                <w:szCs w:val="17"/>
                <w:color w:val="auto"/>
              </w:rPr>
              <w:t>Stockholders</w:t>
            </w:r>
          </w:p>
        </w:tc>
        <w:tc>
          <w:tcPr>
            <w:tcW w:w="2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16"/>
        </w:trPr>
        <w:tc>
          <w:tcPr>
            <w:tcW w:w="3760" w:type="dxa"/>
            <w:vAlign w:val="bottom"/>
          </w:tcPr>
          <w:p>
            <w:pPr>
              <w:ind w:left="20"/>
              <w:spacing w:after="0"/>
              <w:rPr>
                <w:sz w:val="20"/>
                <w:szCs w:val="20"/>
                <w:color w:val="auto"/>
              </w:rPr>
            </w:pPr>
            <w:r>
              <w:rPr>
                <w:rFonts w:ascii="Calibri" w:cs="Calibri" w:eastAsia="Calibri" w:hAnsi="Calibri"/>
                <w:sz w:val="17"/>
                <w:szCs w:val="17"/>
                <w:color w:val="auto"/>
              </w:rPr>
              <w:t>who wish to present proposals for inclusion in the</w:t>
            </w: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3760" w:type="dxa"/>
            <w:vAlign w:val="bottom"/>
          </w:tcPr>
          <w:p>
            <w:pPr>
              <w:ind w:left="20"/>
              <w:spacing w:after="0"/>
              <w:rPr>
                <w:sz w:val="20"/>
                <w:szCs w:val="20"/>
                <w:color w:val="auto"/>
              </w:rPr>
            </w:pPr>
            <w:r>
              <w:rPr>
                <w:rFonts w:ascii="Calibri" w:cs="Calibri" w:eastAsia="Calibri" w:hAnsi="Calibri"/>
                <w:sz w:val="17"/>
                <w:szCs w:val="17"/>
                <w:color w:val="auto"/>
              </w:rPr>
              <w:t>proxy materials to be distributed by us in</w:t>
            </w:r>
          </w:p>
        </w:tc>
        <w:tc>
          <w:tcPr>
            <w:tcW w:w="2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16"/>
        </w:trPr>
        <w:tc>
          <w:tcPr>
            <w:tcW w:w="3760" w:type="dxa"/>
            <w:vAlign w:val="bottom"/>
          </w:tcPr>
          <w:p>
            <w:pPr>
              <w:ind w:left="20"/>
              <w:spacing w:after="0"/>
              <w:rPr>
                <w:sz w:val="20"/>
                <w:szCs w:val="20"/>
                <w:color w:val="auto"/>
              </w:rPr>
            </w:pPr>
            <w:r>
              <w:rPr>
                <w:rFonts w:ascii="Calibri" w:cs="Calibri" w:eastAsia="Calibri" w:hAnsi="Calibri"/>
                <w:sz w:val="17"/>
                <w:szCs w:val="17"/>
                <w:color w:val="auto"/>
              </w:rPr>
              <w:t>connecton with our 2024 Annual Meetng.</w:t>
            </w: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240"/>
        <w:spacing w:after="0"/>
        <w:rPr>
          <w:sz w:val="20"/>
          <w:szCs w:val="20"/>
          <w:color w:val="auto"/>
        </w:rPr>
      </w:pPr>
      <w:r>
        <w:rPr>
          <w:rFonts w:ascii="Calibri" w:cs="Calibri" w:eastAsia="Calibri" w:hAnsi="Calibri"/>
          <w:sz w:val="17"/>
          <w:szCs w:val="17"/>
          <w:b w:val="1"/>
          <w:bCs w:val="1"/>
          <w:color w:val="FFFFFF"/>
        </w:rPr>
        <w:t>Submission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-120015</wp:posOffset>
            </wp:positionV>
            <wp:extent cx="2811780" cy="1460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811780" cy="14605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Calibri" w:cs="Calibri" w:eastAsia="Calibri" w:hAnsi="Calibri"/>
          <w:sz w:val="17"/>
          <w:szCs w:val="17"/>
          <w:color w:val="auto"/>
        </w:rPr>
        <w:t>Must comply with applicable SEC rules (including SEC Rule</w:t>
      </w:r>
    </w:p>
    <w:p>
      <w:pPr>
        <w:spacing w:after="0" w:line="25" w:lineRule="exact"/>
        <w:rPr>
          <w:sz w:val="20"/>
          <w:szCs w:val="20"/>
          <w:color w:val="auto"/>
        </w:rPr>
      </w:pPr>
    </w:p>
    <w:p>
      <w:pPr>
        <w:spacing w:after="0" w:line="245" w:lineRule="auto"/>
        <w:rPr>
          <w:sz w:val="20"/>
          <w:szCs w:val="20"/>
          <w:color w:val="auto"/>
        </w:rPr>
      </w:pPr>
      <w:r>
        <w:rPr>
          <w:rFonts w:ascii="Calibri" w:cs="Calibri" w:eastAsia="Calibri" w:hAnsi="Calibri"/>
          <w:sz w:val="17"/>
          <w:szCs w:val="17"/>
          <w:color w:val="auto"/>
        </w:rPr>
        <w:t xml:space="preserve">14a-8); see also Staf Legal Bulletn 14, which may be found at </w:t>
      </w:r>
      <w:r>
        <w:rPr>
          <w:rFonts w:ascii="Calibri" w:cs="Calibri" w:eastAsia="Calibri" w:hAnsi="Calibri"/>
          <w:sz w:val="17"/>
          <w:szCs w:val="17"/>
          <w:i w:val="1"/>
          <w:iCs w:val="1"/>
          <w:color w:val="auto"/>
        </w:rPr>
        <w:t>www.sec.gov</w:t>
      </w:r>
    </w:p>
    <w:p>
      <w:pPr>
        <w:spacing w:after="0" w:line="695" w:lineRule="exact"/>
        <w:rPr>
          <w:sz w:val="20"/>
          <w:szCs w:val="20"/>
          <w:color w:val="auto"/>
        </w:rPr>
      </w:pPr>
    </w:p>
    <w:p>
      <w:pPr>
        <w:sectPr>
          <w:pgSz w:w="11900" w:h="16838" w:orient="portrait"/>
          <w:cols w:equalWidth="0" w:num="2">
            <w:col w:w="6600" w:space="240"/>
            <w:col w:w="4380"/>
          </w:cols>
          <w:pgMar w:left="320" w:top="230" w:right="359" w:bottom="1440" w:gutter="0" w:footer="0" w:header="0"/>
          <w:type w:val="continuous"/>
        </w:sectPr>
      </w:pPr>
    </w:p>
    <w:p>
      <w:pPr>
        <w:spacing w:after="0" w:line="95" w:lineRule="exact"/>
        <w:rPr>
          <w:sz w:val="20"/>
          <w:szCs w:val="20"/>
          <w:color w:val="auto"/>
        </w:rPr>
      </w:pPr>
    </w:p>
    <w:p>
      <w:pPr>
        <w:ind w:left="20"/>
        <w:spacing w:after="0" w:line="256" w:lineRule="auto"/>
        <w:rPr>
          <w:sz w:val="20"/>
          <w:szCs w:val="20"/>
          <w:color w:val="auto"/>
        </w:rPr>
      </w:pPr>
      <w:r>
        <w:rPr>
          <w:rFonts w:ascii="Calibri" w:cs="Calibri" w:eastAsia="Calibri" w:hAnsi="Calibri"/>
          <w:sz w:val="17"/>
          <w:szCs w:val="17"/>
          <w:b w:val="1"/>
          <w:bCs w:val="1"/>
          <w:color w:val="auto"/>
        </w:rPr>
        <w:t xml:space="preserve">Director Nominaton for Inclusion in Lockheed Martn’s Proxy Materials (Proxy Access). </w:t>
      </w:r>
      <w:r>
        <w:rPr>
          <w:rFonts w:ascii="Calibri" w:cs="Calibri" w:eastAsia="Calibri" w:hAnsi="Calibri"/>
          <w:sz w:val="17"/>
          <w:szCs w:val="17"/>
          <w:color w:val="auto"/>
        </w:rPr>
        <w:t>Stockholders who wish to present a proxy access nominaton for consideraton at our 2024 Annual Meetng.</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240"/>
        <w:spacing w:after="0" w:line="255" w:lineRule="auto"/>
        <w:rPr>
          <w:sz w:val="20"/>
          <w:szCs w:val="20"/>
          <w:color w:val="auto"/>
        </w:rPr>
      </w:pPr>
      <w:r>
        <w:rPr>
          <w:rFonts w:ascii="Calibri" w:cs="Calibri" w:eastAsia="Calibri" w:hAnsi="Calibri"/>
          <w:sz w:val="17"/>
          <w:szCs w:val="17"/>
          <w:color w:val="auto"/>
        </w:rPr>
        <w:t>Must be received between October 16, 2023 and November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377190</wp:posOffset>
            </wp:positionV>
            <wp:extent cx="71323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320"/>
        <w:spacing w:after="0" w:line="261" w:lineRule="auto"/>
        <w:rPr>
          <w:sz w:val="20"/>
          <w:szCs w:val="20"/>
          <w:color w:val="auto"/>
        </w:rPr>
      </w:pPr>
      <w:r>
        <w:rPr>
          <w:rFonts w:ascii="Calibri" w:cs="Calibri" w:eastAsia="Calibri" w:hAnsi="Calibri"/>
          <w:sz w:val="17"/>
          <w:szCs w:val="17"/>
          <w:color w:val="auto"/>
        </w:rPr>
        <w:t>Must provide the informaton required under our Bylaws, including Secton 1.11</w:t>
      </w:r>
    </w:p>
    <w:p>
      <w:pPr>
        <w:spacing w:after="0" w:line="855" w:lineRule="exact"/>
        <w:rPr>
          <w:sz w:val="20"/>
          <w:szCs w:val="20"/>
          <w:color w:val="auto"/>
        </w:rPr>
      </w:pPr>
    </w:p>
    <w:p>
      <w:pPr>
        <w:sectPr>
          <w:pgSz w:w="11900" w:h="16838" w:orient="portrait"/>
          <w:cols w:equalWidth="0" w:num="3">
            <w:col w:w="3500" w:space="480"/>
            <w:col w:w="2140" w:space="720"/>
            <w:col w:w="4380"/>
          </w:cols>
          <w:pgMar w:left="320" w:top="230" w:right="359" w:bottom="1440" w:gutter="0" w:footer="0" w:header="0"/>
          <w:type w:val="continuous"/>
        </w:sectPr>
      </w:pPr>
    </w:p>
    <w:p>
      <w:pPr>
        <w:spacing w:after="0" w:line="84" w:lineRule="exact"/>
        <w:rPr>
          <w:sz w:val="20"/>
          <w:szCs w:val="20"/>
          <w:color w:val="auto"/>
        </w:rPr>
      </w:pPr>
    </w:p>
    <w:p>
      <w:pPr>
        <w:ind w:left="20"/>
        <w:spacing w:after="0" w:line="256" w:lineRule="auto"/>
        <w:rPr>
          <w:sz w:val="20"/>
          <w:szCs w:val="20"/>
          <w:color w:val="auto"/>
        </w:rPr>
      </w:pPr>
      <w:r>
        <w:rPr>
          <w:rFonts w:ascii="Calibri" w:cs="Calibri" w:eastAsia="Calibri" w:hAnsi="Calibri"/>
          <w:sz w:val="17"/>
          <w:szCs w:val="17"/>
          <w:b w:val="1"/>
          <w:bCs w:val="1"/>
          <w:color w:val="auto"/>
        </w:rPr>
        <w:t xml:space="preserve">Other Proposals and Nominatons. </w:t>
      </w:r>
      <w:r>
        <w:rPr>
          <w:rFonts w:ascii="Calibri" w:cs="Calibri" w:eastAsia="Calibri" w:hAnsi="Calibri"/>
          <w:sz w:val="17"/>
          <w:szCs w:val="17"/>
          <w:color w:val="auto"/>
        </w:rPr>
        <w:t>Under our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Bylaws, certain procedures must be followed for a stockholder to nominate persons for electon as directors or to introduce an item of business at our 2024 Annual Meetng.</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261" w:lineRule="auto"/>
        <w:rPr>
          <w:sz w:val="20"/>
          <w:szCs w:val="20"/>
          <w:color w:val="auto"/>
        </w:rPr>
      </w:pPr>
      <w:r>
        <w:rPr>
          <w:rFonts w:ascii="Calibri" w:cs="Calibri" w:eastAsia="Calibri" w:hAnsi="Calibri"/>
          <w:sz w:val="17"/>
          <w:szCs w:val="17"/>
          <w:color w:val="auto"/>
        </w:rPr>
        <w:t>Must be received between October 16, 2023 and November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793750</wp:posOffset>
            </wp:positionV>
            <wp:extent cx="713232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20"/>
        <w:spacing w:after="0" w:line="256" w:lineRule="auto"/>
        <w:rPr>
          <w:sz w:val="20"/>
          <w:szCs w:val="20"/>
          <w:color w:val="auto"/>
        </w:rPr>
      </w:pPr>
      <w:r>
        <w:rPr>
          <w:rFonts w:ascii="Calibri" w:cs="Calibri" w:eastAsia="Calibri" w:hAnsi="Calibri"/>
          <w:sz w:val="17"/>
          <w:szCs w:val="17"/>
          <w:color w:val="auto"/>
        </w:rPr>
        <w:t>Must provide the informaton required under our Bylaws, including Secton 1.10. Stockholders who intend to solicit proxies in support of nominees other than our nominees (Universal Proxy Nominees), in additon to providing all informaton required by our Bylaws by the deadline referenced in the preceding column, must tmely comply with all other requirements of our Bylaws and SEC Rule 14a-19.</w:t>
      </w:r>
    </w:p>
    <w:p>
      <w:pPr>
        <w:spacing w:after="0" w:line="200" w:lineRule="exact"/>
        <w:rPr>
          <w:sz w:val="20"/>
          <w:szCs w:val="20"/>
          <w:color w:val="auto"/>
        </w:rPr>
      </w:pPr>
    </w:p>
    <w:p>
      <w:pPr>
        <w:sectPr>
          <w:pgSz w:w="11900" w:h="16838" w:orient="portrait"/>
          <w:cols w:equalWidth="0" w:num="3">
            <w:col w:w="3640" w:space="340"/>
            <w:col w:w="2520" w:space="340"/>
            <w:col w:w="4380"/>
          </w:cols>
          <w:pgMar w:left="320" w:top="230" w:right="35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818EB4"/>
        </w:rPr>
        <w:t>How do I find additional information about stockholder proponents?</w:t>
      </w:r>
    </w:p>
    <w:p>
      <w:pPr>
        <w:spacing w:after="0" w:line="97" w:lineRule="exact"/>
        <w:rPr>
          <w:sz w:val="20"/>
          <w:szCs w:val="20"/>
          <w:color w:val="auto"/>
        </w:rPr>
      </w:pPr>
    </w:p>
    <w:p>
      <w:pPr>
        <w:ind w:right="100"/>
        <w:spacing w:after="0" w:line="255" w:lineRule="auto"/>
        <w:rPr>
          <w:sz w:val="20"/>
          <w:szCs w:val="20"/>
          <w:color w:val="auto"/>
        </w:rPr>
      </w:pPr>
      <w:r>
        <w:rPr>
          <w:rFonts w:ascii="Calibri" w:cs="Calibri" w:eastAsia="Calibri" w:hAnsi="Calibri"/>
          <w:sz w:val="17"/>
          <w:szCs w:val="17"/>
          <w:color w:val="auto"/>
        </w:rPr>
        <w:t>As required by SEC rules, we will provide the address of the sponsor(s) of the stockholder proposals included within this Proxy Statement upon receiving an oral or writen request from a stockholder. These requests should be directed to: Corporate Secretary, Lockheed Martn Corporaton, 6801 Rockledge Drive, Bethesda, MD 20817 or (301) 897-6000. The Company is not responsible for the contents of the stockholder proposals or the related supportng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334645</wp:posOffset>
            </wp:positionV>
            <wp:extent cx="1071880" cy="1803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Frequently Asked Questions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9"/>
          <w:szCs w:val="29"/>
          <w:color w:val="003478"/>
        </w:rPr>
        <w:t>Communicating with us and Additional Information</w:t>
      </w:r>
    </w:p>
    <w:p>
      <w:pPr>
        <w:spacing w:after="0" w:line="118" w:lineRule="exact"/>
        <w:rPr>
          <w:sz w:val="20"/>
          <w:szCs w:val="20"/>
          <w:color w:val="auto"/>
        </w:rPr>
      </w:pPr>
    </w:p>
    <w:p>
      <w:pPr>
        <w:ind w:right="580"/>
        <w:spacing w:after="0" w:line="272" w:lineRule="auto"/>
        <w:rPr>
          <w:sz w:val="20"/>
          <w:szCs w:val="20"/>
          <w:color w:val="auto"/>
        </w:rPr>
      </w:pPr>
      <w:r>
        <w:rPr>
          <w:rFonts w:ascii="Arial" w:cs="Arial" w:eastAsia="Arial" w:hAnsi="Arial"/>
          <w:sz w:val="22"/>
          <w:szCs w:val="22"/>
          <w:color w:val="818EB4"/>
        </w:rPr>
        <w:t>How do I communicate with the Company’s Independent Lead Director or other non-management directors with questions or comments?</w:t>
      </w:r>
    </w:p>
    <w:p>
      <w:pPr>
        <w:spacing w:after="0" w:line="47" w:lineRule="exact"/>
        <w:rPr>
          <w:sz w:val="20"/>
          <w:szCs w:val="20"/>
          <w:color w:val="auto"/>
        </w:rPr>
      </w:pPr>
    </w:p>
    <w:p>
      <w:pPr>
        <w:ind w:right="340"/>
        <w:spacing w:after="0" w:line="261" w:lineRule="auto"/>
        <w:rPr>
          <w:sz w:val="20"/>
          <w:szCs w:val="20"/>
          <w:color w:val="auto"/>
        </w:rPr>
      </w:pPr>
      <w:r>
        <w:rPr>
          <w:rFonts w:ascii="Calibri" w:cs="Calibri" w:eastAsia="Calibri" w:hAnsi="Calibri"/>
          <w:sz w:val="17"/>
          <w:szCs w:val="17"/>
          <w:color w:val="auto"/>
        </w:rPr>
        <w:t>Company stockholders and any other interested party may communicate with the independent Lead Director or with the non-management directors as a group, as follows:</w:t>
      </w:r>
    </w:p>
    <w:p>
      <w:pPr>
        <w:spacing w:after="0" w:line="99" w:lineRule="exact"/>
        <w:rPr>
          <w:sz w:val="20"/>
          <w:szCs w:val="20"/>
          <w:color w:val="auto"/>
        </w:rPr>
      </w:pPr>
    </w:p>
    <w:p>
      <w:pPr>
        <w:ind w:left="300" w:hanging="188"/>
        <w:spacing w:after="0"/>
        <w:tabs>
          <w:tab w:leader="none" w:pos="300" w:val="left"/>
        </w:tabs>
        <w:numPr>
          <w:ilvl w:val="0"/>
          <w:numId w:val="120"/>
        </w:numPr>
        <w:rPr>
          <w:rFonts w:ascii="Calibri" w:cs="Calibri" w:eastAsia="Calibri" w:hAnsi="Calibri"/>
          <w:sz w:val="14"/>
          <w:szCs w:val="14"/>
          <w:b w:val="1"/>
          <w:bCs w:val="1"/>
          <w:color w:val="003478"/>
        </w:rPr>
      </w:pPr>
      <w:r>
        <w:rPr>
          <w:rFonts w:ascii="Calibri" w:cs="Calibri" w:eastAsia="Calibri" w:hAnsi="Calibri"/>
          <w:sz w:val="17"/>
          <w:szCs w:val="17"/>
          <w:b w:val="1"/>
          <w:bCs w:val="1"/>
          <w:color w:val="auto"/>
        </w:rPr>
        <w:t xml:space="preserve">By Email: </w:t>
      </w:r>
      <w:r>
        <w:rPr>
          <w:rFonts w:ascii="Calibri" w:cs="Calibri" w:eastAsia="Calibri" w:hAnsi="Calibri"/>
          <w:sz w:val="17"/>
          <w:szCs w:val="17"/>
          <w:color w:val="auto"/>
        </w:rPr>
        <w:t>Lead.Director@lmco.com</w:t>
      </w:r>
    </w:p>
    <w:p>
      <w:pPr>
        <w:spacing w:after="0" w:line="79" w:lineRule="exact"/>
        <w:rPr>
          <w:rFonts w:ascii="Calibri" w:cs="Calibri" w:eastAsia="Calibri" w:hAnsi="Calibri"/>
          <w:sz w:val="14"/>
          <w:szCs w:val="14"/>
          <w:b w:val="1"/>
          <w:bCs w:val="1"/>
          <w:color w:val="003478"/>
        </w:rPr>
      </w:pPr>
    </w:p>
    <w:p>
      <w:pPr>
        <w:ind w:left="300" w:right="520" w:hanging="188"/>
        <w:spacing w:after="0" w:line="245" w:lineRule="auto"/>
        <w:tabs>
          <w:tab w:leader="none" w:pos="299" w:val="left"/>
        </w:tabs>
        <w:numPr>
          <w:ilvl w:val="0"/>
          <w:numId w:val="120"/>
        </w:numPr>
        <w:rPr>
          <w:rFonts w:ascii="Calibri" w:cs="Calibri" w:eastAsia="Calibri" w:hAnsi="Calibri"/>
          <w:sz w:val="14"/>
          <w:szCs w:val="14"/>
          <w:b w:val="1"/>
          <w:bCs w:val="1"/>
          <w:color w:val="003478"/>
        </w:rPr>
      </w:pPr>
      <w:r>
        <w:rPr>
          <w:rFonts w:ascii="Calibri" w:cs="Calibri" w:eastAsia="Calibri" w:hAnsi="Calibri"/>
          <w:sz w:val="17"/>
          <w:szCs w:val="17"/>
          <w:b w:val="1"/>
          <w:bCs w:val="1"/>
          <w:color w:val="auto"/>
        </w:rPr>
        <w:t xml:space="preserve">By Mail: </w:t>
      </w:r>
      <w:r>
        <w:rPr>
          <w:rFonts w:ascii="Calibri" w:cs="Calibri" w:eastAsia="Calibri" w:hAnsi="Calibri"/>
          <w:sz w:val="17"/>
          <w:szCs w:val="17"/>
          <w:color w:val="auto"/>
        </w:rPr>
        <w:t>Independent Lead Director or Non-Management Directors, c/o Senior Vice President, General Counsel and Corporate Secretary, Lockheed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Martn Corporaton, 6801 Rockledge Drive, Bethesda, MD 20817.</w:t>
      </w:r>
    </w:p>
    <w:p>
      <w:pPr>
        <w:spacing w:after="0" w:line="116" w:lineRule="exact"/>
        <w:rPr>
          <w:sz w:val="20"/>
          <w:szCs w:val="20"/>
          <w:color w:val="auto"/>
        </w:rPr>
      </w:pPr>
    </w:p>
    <w:p>
      <w:pPr>
        <w:spacing w:after="0" w:line="258" w:lineRule="auto"/>
        <w:rPr>
          <w:sz w:val="20"/>
          <w:szCs w:val="20"/>
          <w:color w:val="auto"/>
        </w:rPr>
      </w:pPr>
      <w:r>
        <w:rPr>
          <w:rFonts w:ascii="Calibri" w:cs="Calibri" w:eastAsia="Calibri" w:hAnsi="Calibri"/>
          <w:sz w:val="17"/>
          <w:szCs w:val="17"/>
          <w:color w:val="auto"/>
        </w:rPr>
        <w:t>Our Senior Vice President, General Counsel and Corporate Secretary (or her delegate) reviews all correspondence sent to the Board. The Board has authorized our Senior Vice President, General Counsel and Corporate Secretary (or her delegate) to respond to correspondence regarding routne stockholder maters and services (e.g., stock transfers, dividends, etc.). Correspondence from stockholders relatng to accountng, internal controls or auditng maters are brought to the atenton of the Audit Commitee. All other correspondence is forwarded to the independent Lead Director who determines whether distributon to a Board commitee or to the full Board for review is appropriate. At any tme, any director may review a log of all correspondence addressed to the Board and request copies of such correspondence.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818EB4"/>
        </w:rPr>
        <w:t>What additional information will I find on the Company’s website?</w:t>
      </w:r>
    </w:p>
    <w:p>
      <w:pPr>
        <w:spacing w:after="0" w:line="111" w:lineRule="exact"/>
        <w:rPr>
          <w:sz w:val="20"/>
          <w:szCs w:val="20"/>
          <w:color w:val="auto"/>
        </w:rPr>
      </w:pPr>
    </w:p>
    <w:p>
      <w:pPr>
        <w:ind w:right="60"/>
        <w:spacing w:after="0" w:line="259" w:lineRule="auto"/>
        <w:rPr>
          <w:sz w:val="20"/>
          <w:szCs w:val="20"/>
          <w:color w:val="auto"/>
        </w:rPr>
      </w:pPr>
      <w:r>
        <w:rPr>
          <w:rFonts w:ascii="Calibri" w:cs="Calibri" w:eastAsia="Calibri" w:hAnsi="Calibri"/>
          <w:sz w:val="17"/>
          <w:szCs w:val="17"/>
          <w:color w:val="auto"/>
        </w:rPr>
        <w:t xml:space="preserve">You will fnd informaton about the Company and our corporate governance practces at </w:t>
      </w:r>
      <w:r>
        <w:rPr>
          <w:rFonts w:ascii="Calibri" w:cs="Calibri" w:eastAsia="Calibri" w:hAnsi="Calibri"/>
          <w:sz w:val="17"/>
          <w:szCs w:val="17"/>
          <w:i w:val="1"/>
          <w:iCs w:val="1"/>
          <w:color w:val="auto"/>
        </w:rPr>
        <w:t>www.lockheedmartn.com/corporate-governance</w:t>
      </w:r>
      <w:r>
        <w:rPr>
          <w:rFonts w:ascii="Calibri" w:cs="Calibri" w:eastAsia="Calibri" w:hAnsi="Calibri"/>
          <w:sz w:val="17"/>
          <w:szCs w:val="17"/>
          <w:color w:val="auto"/>
        </w:rPr>
        <w:t>. Our website contains informaton about our Board, Board commitees, Charter, Bylaws, Code of Conduct, Governance Guidelines and informaton about insider transactons. Stockholders may obtain, without charge, hard copies of the above documents by writng to Investor Relatons, Lockheed Martn Corporaton, 6801 Rockledge Drive, Bethesda, MD 20817. Informaton contained on or made available through our website or other websites mentoned in this Proxy Statement is not incorporated into, and is not a part of this Proxy Statement, and any references to our website are intended to be inactve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3" w:name="page104"/>
    <w:bookmarkEnd w:id="103"/>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color w:val="003478"/>
        </w:rPr>
        <w:t>Appendix A: Definition of Non-GAAP Measures</w:t>
      </w:r>
    </w:p>
    <w:p>
      <w:pPr>
        <w:spacing w:after="0" w:line="144" w:lineRule="exact"/>
        <w:rPr>
          <w:sz w:val="20"/>
          <w:szCs w:val="20"/>
          <w:color w:val="auto"/>
        </w:rPr>
      </w:pPr>
    </w:p>
    <w:p>
      <w:pPr>
        <w:ind w:right="60"/>
        <w:spacing w:after="0" w:line="252" w:lineRule="auto"/>
        <w:rPr>
          <w:sz w:val="20"/>
          <w:szCs w:val="20"/>
          <w:color w:val="auto"/>
        </w:rPr>
      </w:pPr>
      <w:r>
        <w:rPr>
          <w:rFonts w:ascii="Calibri" w:cs="Calibri" w:eastAsia="Calibri" w:hAnsi="Calibri"/>
          <w:sz w:val="17"/>
          <w:szCs w:val="17"/>
          <w:color w:val="auto"/>
        </w:rPr>
        <w:t>Certain fnancial and performance metrics in this Proxy Statement are considered Non-GAAP fnancial measures under the SEC’s rules because they are calculated by adjustng a comparable measure calculated in accordance with U.S. generally accepted accountng principles (GAAP). While we believe that these Non-GAAP fnancial measures may be useful in evaluatng Lockheed Martn, this informaton should be considered supplemental and is not a substtute for fnancial informaton prepared in accordance with GAAP. In additon, our defnitons for Non-GAAP measures may difer from similarly ttled measures used by other companies or analysts.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818EB4"/>
        </w:rPr>
        <w:t>Segment Operating Profit</w:t>
      </w:r>
    </w:p>
    <w:p>
      <w:pPr>
        <w:spacing w:after="0" w:line="126" w:lineRule="exact"/>
        <w:rPr>
          <w:sz w:val="20"/>
          <w:szCs w:val="20"/>
          <w:color w:val="auto"/>
        </w:rPr>
      </w:pPr>
    </w:p>
    <w:p>
      <w:pPr>
        <w:ind w:right="20"/>
        <w:spacing w:after="0" w:line="255" w:lineRule="auto"/>
        <w:rPr>
          <w:sz w:val="20"/>
          <w:szCs w:val="20"/>
          <w:color w:val="auto"/>
        </w:rPr>
      </w:pPr>
      <w:r>
        <w:rPr>
          <w:rFonts w:ascii="Calibri" w:cs="Calibri" w:eastAsia="Calibri" w:hAnsi="Calibri"/>
          <w:sz w:val="17"/>
          <w:szCs w:val="17"/>
          <w:color w:val="auto"/>
        </w:rPr>
        <w:t>Segment Operatng Proft represents operatng proft from our business segments before unallocated income and expense. This measure is used by our senior management in evaluatng the performance of our business segments. The capton “Total Unallocated Items” reconciles Segment Operatng Proft to Consolidated Operatng Proft. We use Segment Operatng Proft as a performance goal in the annual incentve plan.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0" w:type="dxa"/>
            <w:vAlign w:val="bottom"/>
            <w:tcBorders>
              <w:right w:val="single" w:sz="8" w:color="E5E7EF"/>
            </w:tcBorders>
            <w:shd w:val="clear" w:color="auto" w:fill="E5E7EF"/>
          </w:tcPr>
          <w:p>
            <w:pPr>
              <w:spacing w:after="0"/>
              <w:rPr>
                <w:sz w:val="16"/>
                <w:szCs w:val="16"/>
                <w:color w:val="auto"/>
              </w:rPr>
            </w:pPr>
          </w:p>
        </w:tc>
        <w:tc>
          <w:tcPr>
            <w:tcW w:w="8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2022</w:t>
            </w:r>
          </w:p>
        </w:tc>
        <w:tc>
          <w:tcPr>
            <w:tcW w:w="20" w:type="dxa"/>
            <w:vAlign w:val="bottom"/>
          </w:tcPr>
          <w:p>
            <w:pPr>
              <w:spacing w:after="0"/>
              <w:rPr>
                <w:sz w:val="16"/>
                <w:szCs w:val="16"/>
                <w:color w:val="auto"/>
              </w:rPr>
            </w:pPr>
          </w:p>
        </w:tc>
      </w:tr>
      <w:tr>
        <w:trPr>
          <w:trHeight w:val="224"/>
        </w:trPr>
        <w:tc>
          <w:tcPr>
            <w:tcW w:w="10400" w:type="dxa"/>
            <w:vAlign w:val="bottom"/>
            <w:tcBorders>
              <w:bottom w:val="single" w:sz="8" w:color="E5E7EF"/>
              <w:right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($M)</w:t>
            </w:r>
          </w:p>
        </w:tc>
        <w:tc>
          <w:tcPr>
            <w:tcW w:w="8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r>
      <w:tr>
        <w:trPr>
          <w:trHeight w:val="163"/>
        </w:trPr>
        <w:tc>
          <w:tcPr>
            <w:tcW w:w="10400" w:type="dxa"/>
            <w:vAlign w:val="bottom"/>
            <w:tcBorders>
              <w:top w:val="single" w:sz="8" w:color="003478"/>
            </w:tcBorders>
          </w:tcPr>
          <w:p>
            <w:pPr>
              <w:ind w:left="20"/>
              <w:spacing w:after="0" w:line="164" w:lineRule="exact"/>
              <w:rPr>
                <w:sz w:val="20"/>
                <w:szCs w:val="20"/>
                <w:color w:val="auto"/>
              </w:rPr>
            </w:pPr>
            <w:r>
              <w:rPr>
                <w:rFonts w:ascii="Calibri" w:cs="Calibri" w:eastAsia="Calibri" w:hAnsi="Calibri"/>
                <w:sz w:val="14"/>
                <w:szCs w:val="14"/>
                <w:b w:val="1"/>
                <w:bCs w:val="1"/>
                <w:color w:val="auto"/>
              </w:rPr>
              <w:t>Consolidated Operatng Proft (GAAP)</w:t>
            </w:r>
          </w:p>
        </w:tc>
        <w:tc>
          <w:tcPr>
            <w:tcW w:w="84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b w:val="1"/>
                <w:bCs w:val="1"/>
                <w:color w:val="auto"/>
              </w:rPr>
              <w:t>8,348</w:t>
            </w:r>
          </w:p>
        </w:tc>
        <w:tc>
          <w:tcPr>
            <w:tcW w:w="20" w:type="dxa"/>
            <w:vAlign w:val="bottom"/>
          </w:tcPr>
          <w:p>
            <w:pPr>
              <w:spacing w:after="0"/>
              <w:rPr>
                <w:sz w:val="14"/>
                <w:szCs w:val="14"/>
                <w:color w:val="auto"/>
              </w:rPr>
            </w:pPr>
          </w:p>
        </w:tc>
      </w:tr>
      <w:tr>
        <w:trPr>
          <w:trHeight w:val="33"/>
        </w:trPr>
        <w:tc>
          <w:tcPr>
            <w:tcW w:w="10400" w:type="dxa"/>
            <w:vAlign w:val="bottom"/>
            <w:tcBorders>
              <w:bottom w:val="single" w:sz="8" w:color="959595"/>
            </w:tcBorders>
          </w:tcPr>
          <w:p>
            <w:pPr>
              <w:spacing w:after="0"/>
              <w:rPr>
                <w:sz w:val="2"/>
                <w:szCs w:val="2"/>
                <w:color w:val="auto"/>
              </w:rPr>
            </w:pPr>
          </w:p>
        </w:tc>
        <w:tc>
          <w:tcPr>
            <w:tcW w:w="840" w:type="dxa"/>
            <w:vAlign w:val="bottom"/>
            <w:tcBorders>
              <w:bottom w:val="single" w:sz="8" w:color="959595"/>
            </w:tcBorders>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400" w:type="dxa"/>
            <w:vAlign w:val="bottom"/>
          </w:tcPr>
          <w:p>
            <w:pPr>
              <w:ind w:left="20"/>
              <w:spacing w:after="0" w:line="164" w:lineRule="exact"/>
              <w:rPr>
                <w:sz w:val="20"/>
                <w:szCs w:val="20"/>
                <w:color w:val="auto"/>
              </w:rPr>
            </w:pPr>
            <w:r>
              <w:rPr>
                <w:rFonts w:ascii="Calibri" w:cs="Calibri" w:eastAsia="Calibri" w:hAnsi="Calibri"/>
                <w:sz w:val="14"/>
                <w:szCs w:val="14"/>
                <w:color w:val="auto"/>
              </w:rPr>
              <w:t>Total Unallocated Items</w:t>
            </w:r>
          </w:p>
        </w:tc>
        <w:tc>
          <w:tcPr>
            <w:tcW w:w="840" w:type="dxa"/>
            <w:vAlign w:val="bottom"/>
          </w:tcPr>
          <w:p>
            <w:pPr>
              <w:jc w:val="right"/>
              <w:spacing w:after="0" w:line="164" w:lineRule="exact"/>
              <w:rPr>
                <w:sz w:val="20"/>
                <w:szCs w:val="20"/>
                <w:color w:val="auto"/>
              </w:rPr>
            </w:pPr>
            <w:r>
              <w:rPr>
                <w:rFonts w:ascii="Calibri" w:cs="Calibri" w:eastAsia="Calibri" w:hAnsi="Calibri"/>
                <w:sz w:val="14"/>
                <w:szCs w:val="14"/>
                <w:color w:val="auto"/>
              </w:rPr>
              <w:t>(1,129)</w:t>
            </w:r>
          </w:p>
        </w:tc>
        <w:tc>
          <w:tcPr>
            <w:tcW w:w="20" w:type="dxa"/>
            <w:vAlign w:val="bottom"/>
          </w:tcPr>
          <w:p>
            <w:pPr>
              <w:spacing w:after="0"/>
              <w:rPr>
                <w:sz w:val="14"/>
                <w:szCs w:val="14"/>
                <w:color w:val="auto"/>
              </w:rPr>
            </w:pPr>
          </w:p>
        </w:tc>
      </w:tr>
      <w:tr>
        <w:trPr>
          <w:trHeight w:val="53"/>
        </w:trPr>
        <w:tc>
          <w:tcPr>
            <w:tcW w:w="10400" w:type="dxa"/>
            <w:vAlign w:val="bottom"/>
            <w:tcBorders>
              <w:bottom w:val="single" w:sz="8" w:color="959595"/>
            </w:tcBorders>
          </w:tcPr>
          <w:p>
            <w:pPr>
              <w:spacing w:after="0"/>
              <w:rPr>
                <w:sz w:val="4"/>
                <w:szCs w:val="4"/>
                <w:color w:val="auto"/>
              </w:rPr>
            </w:pPr>
          </w:p>
        </w:tc>
        <w:tc>
          <w:tcPr>
            <w:tcW w:w="840" w:type="dxa"/>
            <w:vAlign w:val="bottom"/>
            <w:tcBorders>
              <w:bottom w:val="single" w:sz="8" w:color="003478"/>
            </w:tcBorders>
          </w:tcPr>
          <w:p>
            <w:pPr>
              <w:spacing w:after="0"/>
              <w:rPr>
                <w:sz w:val="4"/>
                <w:szCs w:val="4"/>
                <w:color w:val="auto"/>
              </w:rPr>
            </w:pPr>
          </w:p>
        </w:tc>
        <w:tc>
          <w:tcPr>
            <w:tcW w:w="20" w:type="dxa"/>
            <w:vAlign w:val="bottom"/>
            <w:tcBorders>
              <w:bottom w:val="single" w:sz="8" w:color="003478"/>
            </w:tcBorders>
          </w:tcPr>
          <w:p>
            <w:pPr>
              <w:spacing w:after="0"/>
              <w:rPr>
                <w:sz w:val="4"/>
                <w:szCs w:val="4"/>
                <w:color w:val="auto"/>
              </w:rPr>
            </w:pPr>
          </w:p>
        </w:tc>
      </w:tr>
      <w:tr>
        <w:trPr>
          <w:trHeight w:val="143"/>
        </w:trPr>
        <w:tc>
          <w:tcPr>
            <w:tcW w:w="10400" w:type="dxa"/>
            <w:vAlign w:val="bottom"/>
            <w:tcBorders>
              <w:right w:val="single" w:sz="8" w:color="003478"/>
            </w:tcBorders>
          </w:tcPr>
          <w:p>
            <w:pPr>
              <w:ind w:left="20"/>
              <w:spacing w:after="0" w:line="144" w:lineRule="exact"/>
              <w:rPr>
                <w:sz w:val="20"/>
                <w:szCs w:val="20"/>
                <w:color w:val="auto"/>
              </w:rPr>
            </w:pPr>
            <w:r>
              <w:rPr>
                <w:rFonts w:ascii="Calibri" w:cs="Calibri" w:eastAsia="Calibri" w:hAnsi="Calibri"/>
                <w:sz w:val="14"/>
                <w:szCs w:val="14"/>
                <w:b w:val="1"/>
                <w:bCs w:val="1"/>
                <w:color w:val="auto"/>
              </w:rPr>
              <w:t>Segment Operatng Proft (Non-GAAP)</w:t>
            </w:r>
          </w:p>
        </w:tc>
        <w:tc>
          <w:tcPr>
            <w:tcW w:w="840" w:type="dxa"/>
            <w:vAlign w:val="bottom"/>
            <w:tcBorders>
              <w:top w:val="single" w:sz="8" w:color="003478"/>
            </w:tcBorders>
          </w:tcPr>
          <w:p>
            <w:pPr>
              <w:jc w:val="right"/>
              <w:spacing w:after="0" w:line="144" w:lineRule="exact"/>
              <w:rPr>
                <w:sz w:val="20"/>
                <w:szCs w:val="20"/>
                <w:color w:val="auto"/>
              </w:rPr>
            </w:pPr>
            <w:r>
              <w:rPr>
                <w:rFonts w:ascii="Calibri" w:cs="Calibri" w:eastAsia="Calibri" w:hAnsi="Calibri"/>
                <w:sz w:val="14"/>
                <w:szCs w:val="14"/>
                <w:b w:val="1"/>
                <w:bCs w:val="1"/>
                <w:color w:val="auto"/>
              </w:rPr>
              <w:t>7,219</w:t>
            </w:r>
          </w:p>
        </w:tc>
        <w:tc>
          <w:tcPr>
            <w:tcW w:w="20" w:type="dxa"/>
            <w:vAlign w:val="bottom"/>
            <w:tcBorders>
              <w:top w:val="single" w:sz="8" w:color="003478"/>
            </w:tcBorders>
            <w:shd w:val="clear" w:color="auto" w:fill="003478"/>
          </w:tcPr>
          <w:p>
            <w:pPr>
              <w:spacing w:after="0"/>
              <w:rPr>
                <w:sz w:val="12"/>
                <w:szCs w:val="12"/>
                <w:color w:val="auto"/>
              </w:rPr>
            </w:pPr>
          </w:p>
        </w:tc>
      </w:tr>
      <w:tr>
        <w:trPr>
          <w:trHeight w:val="33"/>
        </w:trPr>
        <w:tc>
          <w:tcPr>
            <w:tcW w:w="10400" w:type="dxa"/>
            <w:vAlign w:val="bottom"/>
            <w:tcBorders>
              <w:bottom w:val="single" w:sz="8" w:color="959595"/>
              <w:right w:val="single" w:sz="8" w:color="003478"/>
            </w:tcBorders>
          </w:tcPr>
          <w:p>
            <w:pPr>
              <w:spacing w:after="0"/>
              <w:rPr>
                <w:sz w:val="2"/>
                <w:szCs w:val="2"/>
                <w:color w:val="auto"/>
              </w:rPr>
            </w:pPr>
          </w:p>
        </w:tc>
        <w:tc>
          <w:tcPr>
            <w:tcW w:w="840" w:type="dxa"/>
            <w:vAlign w:val="bottom"/>
            <w:tcBorders>
              <w:bottom w:val="single" w:sz="8" w:color="003478"/>
            </w:tcBorders>
          </w:tcPr>
          <w:p>
            <w:pPr>
              <w:spacing w:after="0"/>
              <w:rPr>
                <w:sz w:val="2"/>
                <w:szCs w:val="2"/>
                <w:color w:val="auto"/>
              </w:rPr>
            </w:pPr>
          </w:p>
        </w:tc>
        <w:tc>
          <w:tcPr>
            <w:tcW w:w="20" w:type="dxa"/>
            <w:vAlign w:val="bottom"/>
            <w:tcBorders>
              <w:bottom w:val="single" w:sz="8" w:color="003478"/>
            </w:tcBorders>
            <w:shd w:val="clear" w:color="auto" w:fill="003478"/>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25"/>
          <w:szCs w:val="25"/>
          <w:color w:val="818EB4"/>
        </w:rPr>
        <w:t>Return on Invested Capital (ROIC)</w:t>
      </w:r>
    </w:p>
    <w:p>
      <w:pPr>
        <w:spacing w:after="0" w:line="140" w:lineRule="exact"/>
        <w:rPr>
          <w:sz w:val="20"/>
          <w:szCs w:val="20"/>
          <w:color w:val="auto"/>
        </w:rPr>
      </w:pPr>
    </w:p>
    <w:p>
      <w:pPr>
        <w:ind w:right="540"/>
        <w:spacing w:after="0" w:line="245" w:lineRule="auto"/>
        <w:rPr>
          <w:sz w:val="20"/>
          <w:szCs w:val="20"/>
          <w:color w:val="auto"/>
        </w:rPr>
      </w:pPr>
      <w:r>
        <w:rPr>
          <w:rFonts w:ascii="Calibri" w:cs="Calibri" w:eastAsia="Calibri" w:hAnsi="Calibri"/>
          <w:sz w:val="17"/>
          <w:szCs w:val="17"/>
          <w:color w:val="auto"/>
        </w:rPr>
        <w:t>ROIC is defned as net earnings plus afer-tax interest expense divided by average invested capital (total equity plus debt) afer adjustng total equity by adding back adjustments related to the Company’s post-retrement beneft plans. We use ROIC as a performance measure for LTIP and PSUs.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vMerge w:val="restart"/>
            <w:shd w:val="clear" w:color="auto" w:fill="E5E7EF"/>
          </w:tcPr>
          <w:p>
            <w:pPr>
              <w:ind w:left="20"/>
              <w:spacing w:after="0"/>
              <w:rPr>
                <w:sz w:val="20"/>
                <w:szCs w:val="20"/>
                <w:color w:val="auto"/>
              </w:rPr>
            </w:pPr>
            <w:r>
              <w:rPr>
                <w:rFonts w:ascii="Arial" w:cs="Arial" w:eastAsia="Arial" w:hAnsi="Arial"/>
                <w:sz w:val="13"/>
                <w:szCs w:val="13"/>
                <w:color w:val="auto"/>
              </w:rPr>
              <w:t>ROIC Calculation ($M)</w:t>
            </w:r>
          </w:p>
        </w:tc>
        <w:tc>
          <w:tcPr>
            <w:tcW w:w="4120" w:type="dxa"/>
            <w:vAlign w:val="bottom"/>
            <w:shd w:val="clear" w:color="auto" w:fill="E5E7EF"/>
          </w:tcPr>
          <w:p>
            <w:pPr>
              <w:spacing w:after="0"/>
              <w:rPr>
                <w:sz w:val="14"/>
                <w:szCs w:val="14"/>
                <w:color w:val="auto"/>
              </w:rPr>
            </w:pPr>
          </w:p>
        </w:tc>
        <w:tc>
          <w:tcPr>
            <w:tcW w:w="8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Three-Year</w:t>
            </w:r>
          </w:p>
        </w:tc>
        <w:tc>
          <w:tcPr>
            <w:tcW w:w="0" w:type="dxa"/>
            <w:vAlign w:val="bottom"/>
          </w:tcPr>
          <w:p>
            <w:pPr>
              <w:spacing w:after="0"/>
              <w:rPr>
                <w:sz w:val="1"/>
                <w:szCs w:val="1"/>
                <w:color w:val="auto"/>
              </w:rPr>
            </w:pPr>
          </w:p>
        </w:tc>
      </w:tr>
      <w:tr>
        <w:trPr>
          <w:trHeight w:val="207"/>
        </w:trPr>
        <w:tc>
          <w:tcPr>
            <w:tcW w:w="6300" w:type="dxa"/>
            <w:vAlign w:val="bottom"/>
            <w:tcBorders>
              <w:bottom w:val="single" w:sz="8" w:color="E5E7EF"/>
            </w:tcBorders>
            <w:vMerge w:val="continue"/>
            <w:shd w:val="clear" w:color="auto" w:fill="E5E7EF"/>
          </w:tcPr>
          <w:p>
            <w:pPr>
              <w:spacing w:after="0"/>
              <w:rPr>
                <w:sz w:val="18"/>
                <w:szCs w:val="18"/>
                <w:color w:val="auto"/>
              </w:rPr>
            </w:pPr>
          </w:p>
        </w:tc>
        <w:tc>
          <w:tcPr>
            <w:tcW w:w="4120" w:type="dxa"/>
            <w:vAlign w:val="bottom"/>
            <w:tcBorders>
              <w:bottom w:val="single" w:sz="8" w:color="E5E7EF"/>
            </w:tcBorders>
            <w:shd w:val="clear" w:color="auto" w:fill="E5E7EF"/>
          </w:tcPr>
          <w:p>
            <w:pPr>
              <w:spacing w:after="0"/>
              <w:rPr>
                <w:sz w:val="18"/>
                <w:szCs w:val="18"/>
                <w:color w:val="auto"/>
              </w:rPr>
            </w:pPr>
          </w:p>
        </w:tc>
        <w:tc>
          <w:tcPr>
            <w:tcW w:w="8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2020–2022</w:t>
            </w:r>
          </w:p>
        </w:tc>
        <w:tc>
          <w:tcPr>
            <w:tcW w:w="0" w:type="dxa"/>
            <w:vAlign w:val="bottom"/>
          </w:tcPr>
          <w:p>
            <w:pPr>
              <w:spacing w:after="0"/>
              <w:rPr>
                <w:sz w:val="1"/>
                <w:szCs w:val="1"/>
                <w:color w:val="auto"/>
              </w:rPr>
            </w:pPr>
          </w:p>
        </w:tc>
      </w:tr>
      <w:tr>
        <w:trPr>
          <w:trHeight w:val="217"/>
        </w:trPr>
        <w:tc>
          <w:tcPr>
            <w:tcW w:w="6300" w:type="dxa"/>
            <w:vAlign w:val="bottom"/>
            <w:tcBorders>
              <w:top w:val="single" w:sz="8" w:color="003478"/>
              <w:bottom w:val="single" w:sz="8" w:color="959595"/>
            </w:tcBorders>
          </w:tcPr>
          <w:p>
            <w:pPr>
              <w:ind w:left="20"/>
              <w:spacing w:after="0" w:line="216" w:lineRule="exact"/>
              <w:rPr>
                <w:sz w:val="20"/>
                <w:szCs w:val="20"/>
                <w:color w:val="auto"/>
              </w:rPr>
            </w:pPr>
            <w:r>
              <w:rPr>
                <w:rFonts w:ascii="Calibri" w:cs="Calibri" w:eastAsia="Calibri" w:hAnsi="Calibri"/>
                <w:sz w:val="14"/>
                <w:szCs w:val="14"/>
                <w:color w:val="auto"/>
              </w:rPr>
              <w:t>Net Earnings</w:t>
            </w:r>
            <w:r>
              <w:rPr>
                <w:rFonts w:ascii="Calibri" w:cs="Calibri" w:eastAsia="Calibri" w:hAnsi="Calibri"/>
                <w:sz w:val="18"/>
                <w:szCs w:val="18"/>
                <w:color w:val="auto"/>
                <w:vertAlign w:val="superscript"/>
              </w:rPr>
              <w:t>(a)</w:t>
            </w:r>
          </w:p>
        </w:tc>
        <w:tc>
          <w:tcPr>
            <w:tcW w:w="4120" w:type="dxa"/>
            <w:vAlign w:val="bottom"/>
            <w:tcBorders>
              <w:top w:val="single" w:sz="8" w:color="003478"/>
              <w:bottom w:val="single" w:sz="8" w:color="959595"/>
            </w:tcBorders>
          </w:tcPr>
          <w:p>
            <w:pPr>
              <w:jc w:val="right"/>
              <w:ind w:right="88"/>
              <w:spacing w:after="0"/>
              <w:rPr>
                <w:sz w:val="20"/>
                <w:szCs w:val="20"/>
                <w:color w:val="auto"/>
              </w:rPr>
            </w:pPr>
            <w:r>
              <w:rPr>
                <w:rFonts w:ascii="Calibri" w:cs="Calibri" w:eastAsia="Calibri" w:hAnsi="Calibri"/>
                <w:sz w:val="14"/>
                <w:szCs w:val="14"/>
                <w:color w:val="auto"/>
              </w:rPr>
              <w:t>$</w:t>
            </w:r>
          </w:p>
        </w:tc>
        <w:tc>
          <w:tcPr>
            <w:tcW w:w="820" w:type="dxa"/>
            <w:vAlign w:val="bottom"/>
            <w:tcBorders>
              <w:top w:val="single" w:sz="8" w:color="003478"/>
              <w:bottom w:val="single" w:sz="8" w:color="959595"/>
            </w:tcBorders>
          </w:tcPr>
          <w:p>
            <w:pPr>
              <w:jc w:val="right"/>
              <w:ind w:right="90"/>
              <w:spacing w:after="0"/>
              <w:rPr>
                <w:sz w:val="20"/>
                <w:szCs w:val="20"/>
                <w:color w:val="auto"/>
              </w:rPr>
            </w:pPr>
            <w:r>
              <w:rPr>
                <w:rFonts w:ascii="Calibri" w:cs="Calibri" w:eastAsia="Calibri" w:hAnsi="Calibri"/>
                <w:sz w:val="14"/>
                <w:szCs w:val="14"/>
                <w:color w:val="auto"/>
              </w:rPr>
              <w:t>6,293</w:t>
            </w:r>
          </w:p>
        </w:tc>
        <w:tc>
          <w:tcPr>
            <w:tcW w:w="0" w:type="dxa"/>
            <w:vAlign w:val="bottom"/>
          </w:tcPr>
          <w:p>
            <w:pPr>
              <w:spacing w:after="0"/>
              <w:rPr>
                <w:sz w:val="1"/>
                <w:szCs w:val="1"/>
                <w:color w:val="auto"/>
              </w:rPr>
            </w:pPr>
          </w:p>
        </w:tc>
      </w:tr>
      <w:tr>
        <w:trPr>
          <w:trHeight w:val="203"/>
        </w:trPr>
        <w:tc>
          <w:tcPr>
            <w:tcW w:w="6300" w:type="dxa"/>
            <w:vAlign w:val="bottom"/>
            <w:tcBorders>
              <w:bottom w:val="single" w:sz="8" w:color="959595"/>
            </w:tcBorders>
          </w:tcPr>
          <w:p>
            <w:pPr>
              <w:ind w:left="20"/>
              <w:spacing w:after="0" w:line="203" w:lineRule="exact"/>
              <w:rPr>
                <w:sz w:val="20"/>
                <w:szCs w:val="20"/>
                <w:color w:val="auto"/>
              </w:rPr>
            </w:pPr>
            <w:r>
              <w:rPr>
                <w:rFonts w:ascii="Calibri" w:cs="Calibri" w:eastAsia="Calibri" w:hAnsi="Calibri"/>
                <w:sz w:val="14"/>
                <w:szCs w:val="14"/>
                <w:color w:val="auto"/>
              </w:rPr>
              <w:t xml:space="preserve">Adjustments to Net Earnings </w:t>
            </w:r>
            <w:r>
              <w:rPr>
                <w:rFonts w:ascii="Calibri" w:cs="Calibri" w:eastAsia="Calibri" w:hAnsi="Calibri"/>
                <w:sz w:val="18"/>
                <w:szCs w:val="18"/>
                <w:color w:val="auto"/>
                <w:vertAlign w:val="superscript"/>
              </w:rPr>
              <w:t>(b)</w:t>
            </w:r>
          </w:p>
        </w:tc>
        <w:tc>
          <w:tcPr>
            <w:tcW w:w="412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jc w:val="right"/>
              <w:ind w:right="90"/>
              <w:spacing w:after="0"/>
              <w:rPr>
                <w:sz w:val="20"/>
                <w:szCs w:val="20"/>
                <w:color w:val="auto"/>
              </w:rPr>
            </w:pPr>
            <w:r>
              <w:rPr>
                <w:rFonts w:ascii="Calibri" w:cs="Calibri" w:eastAsia="Calibri" w:hAnsi="Calibri"/>
                <w:sz w:val="14"/>
                <w:szCs w:val="14"/>
                <w:color w:val="auto"/>
              </w:rPr>
              <w:t>956</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959595"/>
            </w:tcBorders>
          </w:tcPr>
          <w:p>
            <w:pPr>
              <w:ind w:left="20"/>
              <w:spacing w:after="0" w:line="216" w:lineRule="exact"/>
              <w:rPr>
                <w:sz w:val="20"/>
                <w:szCs w:val="20"/>
                <w:color w:val="auto"/>
              </w:rPr>
            </w:pPr>
            <w:r>
              <w:rPr>
                <w:rFonts w:ascii="Calibri" w:cs="Calibri" w:eastAsia="Calibri" w:hAnsi="Calibri"/>
                <w:sz w:val="14"/>
                <w:szCs w:val="14"/>
                <w:color w:val="auto"/>
              </w:rPr>
              <w:t xml:space="preserve">Interest Expense (multplied by 79%) </w:t>
            </w:r>
            <w:r>
              <w:rPr>
                <w:rFonts w:ascii="Calibri" w:cs="Calibri" w:eastAsia="Calibri" w:hAnsi="Calibri"/>
                <w:sz w:val="18"/>
                <w:szCs w:val="18"/>
                <w:color w:val="auto"/>
                <w:vertAlign w:val="superscript"/>
              </w:rPr>
              <w:t>(a)(c)</w:t>
            </w:r>
          </w:p>
        </w:tc>
        <w:tc>
          <w:tcPr>
            <w:tcW w:w="4120" w:type="dxa"/>
            <w:vAlign w:val="bottom"/>
            <w:tcBorders>
              <w:bottom w:val="single" w:sz="8" w:color="959595"/>
            </w:tcBorders>
          </w:tcPr>
          <w:p>
            <w:pPr>
              <w:spacing w:after="0"/>
              <w:rPr>
                <w:sz w:val="18"/>
                <w:szCs w:val="18"/>
                <w:color w:val="auto"/>
              </w:rPr>
            </w:pPr>
          </w:p>
        </w:tc>
        <w:tc>
          <w:tcPr>
            <w:tcW w:w="820" w:type="dxa"/>
            <w:vAlign w:val="bottom"/>
            <w:tcBorders>
              <w:bottom w:val="single" w:sz="8" w:color="959595"/>
            </w:tcBorders>
          </w:tcPr>
          <w:p>
            <w:pPr>
              <w:jc w:val="right"/>
              <w:ind w:right="90"/>
              <w:spacing w:after="0"/>
              <w:rPr>
                <w:sz w:val="20"/>
                <w:szCs w:val="20"/>
                <w:color w:val="auto"/>
              </w:rPr>
            </w:pPr>
            <w:r>
              <w:rPr>
                <w:rFonts w:ascii="Calibri" w:cs="Calibri" w:eastAsia="Calibri" w:hAnsi="Calibri"/>
                <w:sz w:val="14"/>
                <w:szCs w:val="14"/>
                <w:color w:val="auto"/>
              </w:rPr>
              <w:t>470</w:t>
            </w:r>
          </w:p>
        </w:tc>
        <w:tc>
          <w:tcPr>
            <w:tcW w:w="0" w:type="dxa"/>
            <w:vAlign w:val="bottom"/>
          </w:tcPr>
          <w:p>
            <w:pPr>
              <w:spacing w:after="0"/>
              <w:rPr>
                <w:sz w:val="1"/>
                <w:szCs w:val="1"/>
                <w:color w:val="auto"/>
              </w:rPr>
            </w:pPr>
          </w:p>
        </w:tc>
      </w:tr>
      <w:tr>
        <w:trPr>
          <w:trHeight w:val="170"/>
        </w:trPr>
        <w:tc>
          <w:tcPr>
            <w:tcW w:w="6300" w:type="dxa"/>
            <w:vAlign w:val="bottom"/>
          </w:tcPr>
          <w:p>
            <w:pPr>
              <w:ind w:left="20"/>
              <w:spacing w:after="0"/>
              <w:rPr>
                <w:sz w:val="20"/>
                <w:szCs w:val="20"/>
                <w:color w:val="auto"/>
              </w:rPr>
            </w:pPr>
            <w:r>
              <w:rPr>
                <w:rFonts w:ascii="Calibri" w:cs="Calibri" w:eastAsia="Calibri" w:hAnsi="Calibri"/>
                <w:sz w:val="14"/>
                <w:szCs w:val="14"/>
                <w:b w:val="1"/>
                <w:bCs w:val="1"/>
                <w:color w:val="auto"/>
              </w:rPr>
              <w:t>Return</w:t>
            </w:r>
          </w:p>
        </w:tc>
        <w:tc>
          <w:tcPr>
            <w:tcW w:w="4120" w:type="dxa"/>
            <w:vAlign w:val="bottom"/>
          </w:tcPr>
          <w:p>
            <w:pPr>
              <w:jc w:val="right"/>
              <w:ind w:right="88"/>
              <w:spacing w:after="0"/>
              <w:rPr>
                <w:sz w:val="20"/>
                <w:szCs w:val="20"/>
                <w:color w:val="auto"/>
              </w:rPr>
            </w:pPr>
            <w:r>
              <w:rPr>
                <w:rFonts w:ascii="Calibri" w:cs="Calibri" w:eastAsia="Calibri" w:hAnsi="Calibri"/>
                <w:sz w:val="14"/>
                <w:szCs w:val="14"/>
                <w:b w:val="1"/>
                <w:bCs w:val="1"/>
                <w:color w:val="auto"/>
              </w:rPr>
              <w:t>$</w:t>
            </w:r>
          </w:p>
        </w:tc>
        <w:tc>
          <w:tcPr>
            <w:tcW w:w="820" w:type="dxa"/>
            <w:vAlign w:val="bottom"/>
          </w:tcPr>
          <w:p>
            <w:pPr>
              <w:jc w:val="right"/>
              <w:ind w:right="90"/>
              <w:spacing w:after="0"/>
              <w:rPr>
                <w:sz w:val="20"/>
                <w:szCs w:val="20"/>
                <w:color w:val="auto"/>
              </w:rPr>
            </w:pPr>
            <w:r>
              <w:rPr>
                <w:rFonts w:ascii="Calibri" w:cs="Calibri" w:eastAsia="Calibri" w:hAnsi="Calibri"/>
                <w:sz w:val="14"/>
                <w:szCs w:val="14"/>
                <w:b w:val="1"/>
                <w:bCs w:val="1"/>
                <w:color w:val="auto"/>
              </w:rPr>
              <w:t>7,719</w:t>
            </w:r>
          </w:p>
        </w:tc>
        <w:tc>
          <w:tcPr>
            <w:tcW w:w="0" w:type="dxa"/>
            <w:vAlign w:val="bottom"/>
          </w:tcPr>
          <w:p>
            <w:pPr>
              <w:spacing w:after="0"/>
              <w:rPr>
                <w:sz w:val="1"/>
                <w:szCs w:val="1"/>
                <w:color w:val="auto"/>
              </w:rPr>
            </w:pPr>
          </w:p>
        </w:tc>
      </w:tr>
      <w:tr>
        <w:trPr>
          <w:trHeight w:val="46"/>
        </w:trPr>
        <w:tc>
          <w:tcPr>
            <w:tcW w:w="6300" w:type="dxa"/>
            <w:vAlign w:val="bottom"/>
            <w:tcBorders>
              <w:bottom w:val="single" w:sz="8" w:color="959595"/>
            </w:tcBorders>
          </w:tcPr>
          <w:p>
            <w:pPr>
              <w:spacing w:after="0"/>
              <w:rPr>
                <w:sz w:val="4"/>
                <w:szCs w:val="4"/>
                <w:color w:val="auto"/>
              </w:rPr>
            </w:pPr>
          </w:p>
        </w:tc>
        <w:tc>
          <w:tcPr>
            <w:tcW w:w="4120" w:type="dxa"/>
            <w:vAlign w:val="bottom"/>
            <w:tcBorders>
              <w:bottom w:val="single" w:sz="8" w:color="959595"/>
            </w:tcBorders>
          </w:tcPr>
          <w:p>
            <w:pPr>
              <w:spacing w:after="0"/>
              <w:rPr>
                <w:sz w:val="4"/>
                <w:szCs w:val="4"/>
                <w:color w:val="auto"/>
              </w:rPr>
            </w:pPr>
          </w:p>
        </w:tc>
        <w:tc>
          <w:tcPr>
            <w:tcW w:w="82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300" w:type="dxa"/>
            <w:vAlign w:val="bottom"/>
            <w:tcBorders>
              <w:bottom w:val="single" w:sz="8" w:color="959595"/>
            </w:tcBorders>
          </w:tcPr>
          <w:p>
            <w:pPr>
              <w:ind w:left="20"/>
              <w:spacing w:after="0" w:line="216" w:lineRule="exact"/>
              <w:rPr>
                <w:sz w:val="20"/>
                <w:szCs w:val="20"/>
                <w:color w:val="auto"/>
              </w:rPr>
            </w:pPr>
            <w:r>
              <w:rPr>
                <w:rFonts w:ascii="Calibri" w:cs="Calibri" w:eastAsia="Calibri" w:hAnsi="Calibri"/>
                <w:sz w:val="14"/>
                <w:szCs w:val="14"/>
                <w:color w:val="auto"/>
              </w:rPr>
              <w:t>Average Debt</w:t>
            </w:r>
            <w:r>
              <w:rPr>
                <w:rFonts w:ascii="Calibri" w:cs="Calibri" w:eastAsia="Calibri" w:hAnsi="Calibri"/>
                <w:sz w:val="18"/>
                <w:szCs w:val="18"/>
                <w:color w:val="auto"/>
                <w:vertAlign w:val="superscript"/>
              </w:rPr>
              <w:t>(d)(e)</w:t>
            </w:r>
          </w:p>
        </w:tc>
        <w:tc>
          <w:tcPr>
            <w:tcW w:w="4120" w:type="dxa"/>
            <w:vAlign w:val="bottom"/>
            <w:tcBorders>
              <w:bottom w:val="single" w:sz="8" w:color="959595"/>
            </w:tcBorders>
          </w:tcPr>
          <w:p>
            <w:pPr>
              <w:jc w:val="right"/>
              <w:ind w:right="88"/>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959595"/>
            </w:tcBorders>
          </w:tcPr>
          <w:p>
            <w:pPr>
              <w:jc w:val="right"/>
              <w:ind w:right="90"/>
              <w:spacing w:after="0"/>
              <w:rPr>
                <w:sz w:val="20"/>
                <w:szCs w:val="20"/>
                <w:color w:val="auto"/>
              </w:rPr>
            </w:pPr>
            <w:r>
              <w:rPr>
                <w:rFonts w:ascii="Calibri" w:cs="Calibri" w:eastAsia="Calibri" w:hAnsi="Calibri"/>
                <w:sz w:val="14"/>
                <w:szCs w:val="14"/>
                <w:color w:val="auto"/>
              </w:rPr>
              <w:t>12,384</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959595"/>
            </w:tcBorders>
          </w:tcPr>
          <w:p>
            <w:pPr>
              <w:ind w:left="20"/>
              <w:spacing w:after="0" w:line="216" w:lineRule="exact"/>
              <w:rPr>
                <w:sz w:val="20"/>
                <w:szCs w:val="20"/>
                <w:color w:val="auto"/>
              </w:rPr>
            </w:pPr>
            <w:r>
              <w:rPr>
                <w:rFonts w:ascii="Calibri" w:cs="Calibri" w:eastAsia="Calibri" w:hAnsi="Calibri"/>
                <w:sz w:val="14"/>
                <w:szCs w:val="14"/>
                <w:color w:val="auto"/>
              </w:rPr>
              <w:t>Average Equity</w:t>
            </w:r>
            <w:r>
              <w:rPr>
                <w:rFonts w:ascii="Calibri" w:cs="Calibri" w:eastAsia="Calibri" w:hAnsi="Calibri"/>
                <w:sz w:val="18"/>
                <w:szCs w:val="18"/>
                <w:color w:val="auto"/>
                <w:vertAlign w:val="superscript"/>
              </w:rPr>
              <w:t>(e)(f)</w:t>
            </w:r>
          </w:p>
        </w:tc>
        <w:tc>
          <w:tcPr>
            <w:tcW w:w="4120" w:type="dxa"/>
            <w:vAlign w:val="bottom"/>
            <w:tcBorders>
              <w:bottom w:val="single" w:sz="8" w:color="959595"/>
            </w:tcBorders>
          </w:tcPr>
          <w:p>
            <w:pPr>
              <w:spacing w:after="0"/>
              <w:rPr>
                <w:sz w:val="19"/>
                <w:szCs w:val="19"/>
                <w:color w:val="auto"/>
              </w:rPr>
            </w:pPr>
          </w:p>
        </w:tc>
        <w:tc>
          <w:tcPr>
            <w:tcW w:w="820" w:type="dxa"/>
            <w:vAlign w:val="bottom"/>
            <w:tcBorders>
              <w:bottom w:val="single" w:sz="8" w:color="959595"/>
            </w:tcBorders>
          </w:tcPr>
          <w:p>
            <w:pPr>
              <w:jc w:val="right"/>
              <w:ind w:right="90"/>
              <w:spacing w:after="0"/>
              <w:rPr>
                <w:sz w:val="20"/>
                <w:szCs w:val="20"/>
                <w:color w:val="auto"/>
              </w:rPr>
            </w:pPr>
            <w:r>
              <w:rPr>
                <w:rFonts w:ascii="Calibri" w:cs="Calibri" w:eastAsia="Calibri" w:hAnsi="Calibri"/>
                <w:sz w:val="14"/>
                <w:szCs w:val="14"/>
                <w:color w:val="auto"/>
              </w:rPr>
              <w:t>7,507</w:t>
            </w:r>
          </w:p>
        </w:tc>
        <w:tc>
          <w:tcPr>
            <w:tcW w:w="0" w:type="dxa"/>
            <w:vAlign w:val="bottom"/>
          </w:tcPr>
          <w:p>
            <w:pPr>
              <w:spacing w:after="0"/>
              <w:rPr>
                <w:sz w:val="1"/>
                <w:szCs w:val="1"/>
                <w:color w:val="auto"/>
              </w:rPr>
            </w:pPr>
          </w:p>
        </w:tc>
      </w:tr>
      <w:tr>
        <w:trPr>
          <w:trHeight w:val="202"/>
        </w:trPr>
        <w:tc>
          <w:tcPr>
            <w:tcW w:w="6300" w:type="dxa"/>
            <w:vAlign w:val="bottom"/>
            <w:tcBorders>
              <w:bottom w:val="single" w:sz="8" w:color="959595"/>
            </w:tcBorders>
          </w:tcPr>
          <w:p>
            <w:pPr>
              <w:ind w:left="20"/>
              <w:spacing w:after="0" w:line="203" w:lineRule="exact"/>
              <w:rPr>
                <w:sz w:val="20"/>
                <w:szCs w:val="20"/>
                <w:color w:val="auto"/>
              </w:rPr>
            </w:pPr>
            <w:r>
              <w:rPr>
                <w:rFonts w:ascii="Calibri" w:cs="Calibri" w:eastAsia="Calibri" w:hAnsi="Calibri"/>
                <w:sz w:val="14"/>
                <w:szCs w:val="14"/>
                <w:color w:val="auto"/>
              </w:rPr>
              <w:t>Average Adjustments to Equity</w:t>
            </w:r>
            <w:r>
              <w:rPr>
                <w:rFonts w:ascii="Calibri" w:cs="Calibri" w:eastAsia="Calibri" w:hAnsi="Calibri"/>
                <w:sz w:val="18"/>
                <w:szCs w:val="18"/>
                <w:color w:val="auto"/>
                <w:vertAlign w:val="superscript"/>
              </w:rPr>
              <w:t>(b)(e)</w:t>
            </w:r>
          </w:p>
        </w:tc>
        <w:tc>
          <w:tcPr>
            <w:tcW w:w="412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jc w:val="right"/>
              <w:ind w:right="90"/>
              <w:spacing w:after="0"/>
              <w:rPr>
                <w:sz w:val="20"/>
                <w:szCs w:val="20"/>
                <w:color w:val="auto"/>
              </w:rPr>
            </w:pPr>
            <w:r>
              <w:rPr>
                <w:rFonts w:ascii="Calibri" w:cs="Calibri" w:eastAsia="Calibri" w:hAnsi="Calibri"/>
                <w:sz w:val="14"/>
                <w:szCs w:val="14"/>
                <w:color w:val="auto"/>
              </w:rPr>
              <w:t>930</w:t>
            </w:r>
          </w:p>
        </w:tc>
        <w:tc>
          <w:tcPr>
            <w:tcW w:w="0" w:type="dxa"/>
            <w:vAlign w:val="bottom"/>
          </w:tcPr>
          <w:p>
            <w:pPr>
              <w:spacing w:after="0"/>
              <w:rPr>
                <w:sz w:val="1"/>
                <w:szCs w:val="1"/>
                <w:color w:val="auto"/>
              </w:rPr>
            </w:pPr>
          </w:p>
        </w:tc>
      </w:tr>
      <w:tr>
        <w:trPr>
          <w:trHeight w:val="209"/>
        </w:trPr>
        <w:tc>
          <w:tcPr>
            <w:tcW w:w="6300" w:type="dxa"/>
            <w:vAlign w:val="bottom"/>
          </w:tcPr>
          <w:p>
            <w:pPr>
              <w:ind w:left="20"/>
              <w:spacing w:after="0" w:line="209" w:lineRule="exact"/>
              <w:rPr>
                <w:sz w:val="20"/>
                <w:szCs w:val="20"/>
                <w:color w:val="auto"/>
              </w:rPr>
            </w:pPr>
            <w:r>
              <w:rPr>
                <w:rFonts w:ascii="Calibri" w:cs="Calibri" w:eastAsia="Calibri" w:hAnsi="Calibri"/>
                <w:sz w:val="14"/>
                <w:szCs w:val="14"/>
                <w:color w:val="auto"/>
              </w:rPr>
              <w:t>Average Beneft Plan Adjustments</w:t>
            </w:r>
            <w:r>
              <w:rPr>
                <w:rFonts w:ascii="Calibri" w:cs="Calibri" w:eastAsia="Calibri" w:hAnsi="Calibri"/>
                <w:sz w:val="18"/>
                <w:szCs w:val="18"/>
                <w:color w:val="auto"/>
                <w:vertAlign w:val="superscript"/>
              </w:rPr>
              <w:t>(e)</w:t>
            </w:r>
          </w:p>
        </w:tc>
        <w:tc>
          <w:tcPr>
            <w:tcW w:w="412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Calibri" w:cs="Calibri" w:eastAsia="Calibri" w:hAnsi="Calibri"/>
                <w:sz w:val="14"/>
                <w:szCs w:val="14"/>
                <w:color w:val="auto"/>
              </w:rPr>
              <w:t>12,870</w:t>
            </w: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260"/>
          </w:cols>
          <w:pgMar w:left="320" w:top="230" w:right="319" w:bottom="1440" w:gutter="0" w:footer="0" w:header="0"/>
        </w:sectPr>
      </w:pPr>
    </w:p>
    <w:p>
      <w:pPr>
        <w:ind w:left="20"/>
        <w:spacing w:after="0"/>
        <w:rPr>
          <w:sz w:val="20"/>
          <w:szCs w:val="20"/>
          <w:color w:val="auto"/>
        </w:rPr>
      </w:pPr>
      <w:r>
        <w:rPr>
          <w:rFonts w:ascii="Calibri" w:cs="Calibri" w:eastAsia="Calibri" w:hAnsi="Calibri"/>
          <w:sz w:val="14"/>
          <w:szCs w:val="14"/>
          <w:b w:val="1"/>
          <w:bCs w:val="1"/>
          <w:color w:val="auto"/>
        </w:rPr>
        <w:t>Average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40575" cy="3003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0575" cy="3003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ROIC</w:t>
      </w:r>
    </w:p>
    <w:p>
      <w:pPr>
        <w:spacing w:after="0" w:line="20" w:lineRule="exact"/>
        <w:rPr>
          <w:sz w:val="20"/>
          <w:szCs w:val="20"/>
          <w:color w:val="auto"/>
        </w:rPr>
      </w:pPr>
      <w:r>
        <w:rPr>
          <w:sz w:val="20"/>
          <w:szCs w:val="20"/>
          <w:color w:val="auto"/>
        </w:rPr>
        <w:br w:type="column"/>
      </w:r>
    </w:p>
    <w:p>
      <w:pPr>
        <w:ind w:left="475" w:hanging="475"/>
        <w:spacing w:after="0"/>
        <w:tabs>
          <w:tab w:leader="none" w:pos="475" w:val="left"/>
        </w:tabs>
        <w:numPr>
          <w:ilvl w:val="0"/>
          <w:numId w:val="121"/>
        </w:numPr>
        <w:rPr>
          <w:rFonts w:ascii="Calibri" w:cs="Calibri" w:eastAsia="Calibri" w:hAnsi="Calibri"/>
          <w:sz w:val="14"/>
          <w:szCs w:val="14"/>
          <w:b w:val="1"/>
          <w:bCs w:val="1"/>
          <w:color w:val="auto"/>
        </w:rPr>
      </w:pPr>
      <w:r>
        <w:rPr>
          <w:rFonts w:ascii="Calibri" w:cs="Calibri" w:eastAsia="Calibri" w:hAnsi="Calibri"/>
          <w:sz w:val="14"/>
          <w:szCs w:val="14"/>
          <w:b w:val="1"/>
          <w:bCs w:val="1"/>
          <w:color w:val="auto"/>
        </w:rPr>
        <w:t>33,691</w:t>
      </w:r>
    </w:p>
    <w:p>
      <w:pPr>
        <w:spacing w:after="0" w:line="58" w:lineRule="exact"/>
        <w:rPr>
          <w:rFonts w:ascii="Calibri" w:cs="Calibri" w:eastAsia="Calibri" w:hAnsi="Calibri"/>
          <w:sz w:val="14"/>
          <w:szCs w:val="14"/>
          <w:b w:val="1"/>
          <w:bCs w:val="1"/>
          <w:color w:val="auto"/>
        </w:rPr>
      </w:pPr>
    </w:p>
    <w:p>
      <w:pPr>
        <w:ind w:left="615"/>
        <w:spacing w:after="0"/>
        <w:rPr>
          <w:rFonts w:ascii="Calibri" w:cs="Calibri" w:eastAsia="Calibri" w:hAnsi="Calibri"/>
          <w:sz w:val="14"/>
          <w:szCs w:val="14"/>
          <w:b w:val="1"/>
          <w:bCs w:val="1"/>
          <w:color w:val="auto"/>
        </w:rPr>
      </w:pPr>
      <w:r>
        <w:rPr>
          <w:rFonts w:ascii="Calibri" w:cs="Calibri" w:eastAsia="Calibri" w:hAnsi="Calibri"/>
          <w:sz w:val="14"/>
          <w:szCs w:val="14"/>
          <w:b w:val="1"/>
          <w:bCs w:val="1"/>
          <w:color w:val="auto"/>
        </w:rPr>
        <w:t>22.9 %</w:t>
      </w:r>
    </w:p>
    <w:p>
      <w:pPr>
        <w:spacing w:after="0" w:line="173" w:lineRule="exact"/>
        <w:rPr>
          <w:sz w:val="20"/>
          <w:szCs w:val="20"/>
          <w:color w:val="auto"/>
        </w:rPr>
      </w:pPr>
    </w:p>
    <w:p>
      <w:pPr>
        <w:sectPr>
          <w:pgSz w:w="11900" w:h="16838" w:orient="portrait"/>
          <w:cols w:equalWidth="0" w:num="2">
            <w:col w:w="9485" w:space="720"/>
            <w:col w:w="1055"/>
          </w:cols>
          <w:pgMar w:left="320" w:top="230" w:right="319" w:bottom="1440" w:gutter="0" w:footer="0" w:header="0"/>
          <w:type w:val="continuous"/>
        </w:sectPr>
      </w:pPr>
    </w:p>
    <w:p>
      <w:pPr>
        <w:ind w:left="240" w:hanging="232"/>
        <w:spacing w:after="0"/>
        <w:tabs>
          <w:tab w:leader="none" w:pos="240" w:val="left"/>
        </w:tabs>
        <w:numPr>
          <w:ilvl w:val="0"/>
          <w:numId w:val="122"/>
        </w:numPr>
        <w:rPr>
          <w:rFonts w:ascii="Calibri" w:cs="Calibri" w:eastAsia="Calibri" w:hAnsi="Calibri"/>
          <w:sz w:val="19"/>
          <w:szCs w:val="19"/>
          <w:color w:val="auto"/>
          <w:vertAlign w:val="superscript"/>
        </w:rPr>
      </w:pPr>
      <w:r>
        <w:rPr>
          <w:rFonts w:ascii="Calibri" w:cs="Calibri" w:eastAsia="Calibri" w:hAnsi="Calibri"/>
          <w:sz w:val="14"/>
          <w:szCs w:val="14"/>
          <w:color w:val="auto"/>
        </w:rPr>
        <w:t>Three-year 2020-2022 values for Net Earnings, Interest Expense and any Return related adjustments refect average values over the period.</w:t>
      </w:r>
    </w:p>
    <w:p>
      <w:pPr>
        <w:spacing w:after="0" w:line="73" w:lineRule="exact"/>
        <w:rPr>
          <w:rFonts w:ascii="Calibri" w:cs="Calibri" w:eastAsia="Calibri" w:hAnsi="Calibri"/>
          <w:sz w:val="19"/>
          <w:szCs w:val="19"/>
          <w:color w:val="auto"/>
          <w:vertAlign w:val="superscript"/>
        </w:rPr>
      </w:pPr>
    </w:p>
    <w:p>
      <w:pPr>
        <w:ind w:left="260" w:right="80" w:hanging="252"/>
        <w:spacing w:after="0" w:line="229" w:lineRule="auto"/>
        <w:tabs>
          <w:tab w:leader="none" w:pos="258" w:val="left"/>
        </w:tabs>
        <w:numPr>
          <w:ilvl w:val="0"/>
          <w:numId w:val="122"/>
        </w:numPr>
        <w:rPr>
          <w:rFonts w:ascii="Calibri" w:cs="Calibri" w:eastAsia="Calibri" w:hAnsi="Calibri"/>
          <w:sz w:val="19"/>
          <w:szCs w:val="19"/>
          <w:color w:val="auto"/>
          <w:vertAlign w:val="superscript"/>
        </w:rPr>
      </w:pPr>
      <w:r>
        <w:rPr>
          <w:rFonts w:ascii="Calibri" w:cs="Calibri" w:eastAsia="Calibri" w:hAnsi="Calibri"/>
          <w:sz w:val="14"/>
          <w:szCs w:val="14"/>
          <w:color w:val="auto"/>
        </w:rPr>
        <w:t>Net earnings and equity were adjusted to exclude the impact of the noncash, non-operatng pension setlement charge of $1.7 billion ($1.3 billion afer-tax) due to the 2021 pension risk transfer event and the non-operatng setlement charge of $1.5 billion ($1.2 billion afer-tax) due to the 2022 pension risk transfer event. In additon, net earnings and equity were adjusted to neutralize pension-related impacts to the Company’s long range plan resultng solely from the implementaton of the American Rescue Plan Act of 2021.</w:t>
      </w:r>
    </w:p>
    <w:p>
      <w:pPr>
        <w:spacing w:after="0" w:line="73" w:lineRule="exact"/>
        <w:rPr>
          <w:rFonts w:ascii="Calibri" w:cs="Calibri" w:eastAsia="Calibri" w:hAnsi="Calibri"/>
          <w:sz w:val="19"/>
          <w:szCs w:val="19"/>
          <w:color w:val="auto"/>
          <w:vertAlign w:val="superscript"/>
        </w:rPr>
      </w:pPr>
    </w:p>
    <w:p>
      <w:pPr>
        <w:ind w:left="260" w:right="300" w:hanging="252"/>
        <w:spacing w:after="0" w:line="213" w:lineRule="auto"/>
        <w:tabs>
          <w:tab w:leader="none" w:pos="248" w:val="left"/>
        </w:tabs>
        <w:numPr>
          <w:ilvl w:val="0"/>
          <w:numId w:val="122"/>
        </w:numPr>
        <w:rPr>
          <w:rFonts w:ascii="Calibri" w:cs="Calibri" w:eastAsia="Calibri" w:hAnsi="Calibri"/>
          <w:sz w:val="19"/>
          <w:szCs w:val="19"/>
          <w:color w:val="auto"/>
          <w:vertAlign w:val="superscript"/>
        </w:rPr>
      </w:pPr>
      <w:r>
        <w:rPr>
          <w:rFonts w:ascii="Calibri" w:cs="Calibri" w:eastAsia="Calibri" w:hAnsi="Calibri"/>
          <w:sz w:val="14"/>
          <w:szCs w:val="14"/>
          <w:color w:val="auto"/>
        </w:rPr>
        <w:t>Represents afer-tax interest expense utlizing the U.S. federal statutory tax rate of 21 percent in 2020-2022. Interest expense is added back to net earnings as it represents the return to debt holders. Debt is included as a component of average invested capital.</w:t>
      </w:r>
    </w:p>
    <w:p>
      <w:pPr>
        <w:spacing w:after="0" w:line="1" w:lineRule="exact"/>
        <w:rPr>
          <w:rFonts w:ascii="Calibri" w:cs="Calibri" w:eastAsia="Calibri" w:hAnsi="Calibri"/>
          <w:sz w:val="19"/>
          <w:szCs w:val="19"/>
          <w:color w:val="auto"/>
          <w:vertAlign w:val="superscript"/>
        </w:rPr>
      </w:pPr>
    </w:p>
    <w:p>
      <w:pPr>
        <w:ind w:left="240" w:hanging="232"/>
        <w:spacing w:after="0" w:line="237" w:lineRule="auto"/>
        <w:tabs>
          <w:tab w:leader="none" w:pos="240" w:val="left"/>
        </w:tabs>
        <w:numPr>
          <w:ilvl w:val="0"/>
          <w:numId w:val="122"/>
        </w:numPr>
        <w:rPr>
          <w:rFonts w:ascii="Calibri" w:cs="Calibri" w:eastAsia="Calibri" w:hAnsi="Calibri"/>
          <w:sz w:val="19"/>
          <w:szCs w:val="19"/>
          <w:color w:val="auto"/>
          <w:vertAlign w:val="superscript"/>
        </w:rPr>
      </w:pPr>
      <w:r>
        <w:rPr>
          <w:rFonts w:ascii="Calibri" w:cs="Calibri" w:eastAsia="Calibri" w:hAnsi="Calibri"/>
          <w:sz w:val="14"/>
          <w:szCs w:val="14"/>
          <w:color w:val="auto"/>
        </w:rPr>
        <w:t>Debt consists of long-term debt, including current maturites, and short-term borrowings (if any).</w:t>
      </w:r>
    </w:p>
    <w:p>
      <w:pPr>
        <w:spacing w:after="0" w:line="73" w:lineRule="exact"/>
        <w:rPr>
          <w:rFonts w:ascii="Calibri" w:cs="Calibri" w:eastAsia="Calibri" w:hAnsi="Calibri"/>
          <w:sz w:val="19"/>
          <w:szCs w:val="19"/>
          <w:color w:val="auto"/>
          <w:vertAlign w:val="superscript"/>
        </w:rPr>
      </w:pPr>
    </w:p>
    <w:p>
      <w:pPr>
        <w:ind w:left="260" w:right="240" w:hanging="252"/>
        <w:spacing w:after="0" w:line="213" w:lineRule="auto"/>
        <w:tabs>
          <w:tab w:leader="none" w:pos="255" w:val="left"/>
        </w:tabs>
        <w:numPr>
          <w:ilvl w:val="0"/>
          <w:numId w:val="122"/>
        </w:numPr>
        <w:rPr>
          <w:rFonts w:ascii="Calibri" w:cs="Calibri" w:eastAsia="Calibri" w:hAnsi="Calibri"/>
          <w:sz w:val="19"/>
          <w:szCs w:val="19"/>
          <w:color w:val="auto"/>
          <w:vertAlign w:val="superscript"/>
        </w:rPr>
      </w:pPr>
      <w:r>
        <w:rPr>
          <w:rFonts w:ascii="Calibri" w:cs="Calibri" w:eastAsia="Calibri" w:hAnsi="Calibri"/>
          <w:sz w:val="14"/>
          <w:szCs w:val="14"/>
          <w:color w:val="auto"/>
        </w:rPr>
        <w:t>The three-year averages are calculated using thirteen quarter point balances at the start of the plan performance period and at the end of each quarter for each of the three-years in the performance period.</w:t>
      </w:r>
    </w:p>
    <w:p>
      <w:pPr>
        <w:spacing w:after="0" w:line="12" w:lineRule="exact"/>
        <w:rPr>
          <w:rFonts w:ascii="Calibri" w:cs="Calibri" w:eastAsia="Calibri" w:hAnsi="Calibri"/>
          <w:sz w:val="19"/>
          <w:szCs w:val="19"/>
          <w:color w:val="auto"/>
          <w:vertAlign w:val="superscript"/>
        </w:rPr>
      </w:pPr>
    </w:p>
    <w:p>
      <w:pPr>
        <w:ind w:left="240" w:hanging="232"/>
        <w:spacing w:after="0"/>
        <w:tabs>
          <w:tab w:leader="none" w:pos="240" w:val="left"/>
        </w:tabs>
        <w:numPr>
          <w:ilvl w:val="0"/>
          <w:numId w:val="122"/>
        </w:numPr>
        <w:rPr>
          <w:rFonts w:ascii="Calibri" w:cs="Calibri" w:eastAsia="Calibri" w:hAnsi="Calibri"/>
          <w:sz w:val="19"/>
          <w:szCs w:val="19"/>
          <w:color w:val="auto"/>
          <w:vertAlign w:val="superscript"/>
        </w:rPr>
      </w:pPr>
      <w:r>
        <w:rPr>
          <w:rFonts w:ascii="Calibri" w:cs="Calibri" w:eastAsia="Calibri" w:hAnsi="Calibri"/>
          <w:sz w:val="14"/>
          <w:szCs w:val="14"/>
          <w:color w:val="auto"/>
        </w:rPr>
        <w:t>Equity includes non-cash adjustments, primarily to recognize the funded / unfunded status of the Company’s post-retrement beneft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304165</wp:posOffset>
            </wp:positionV>
            <wp:extent cx="1071880" cy="1797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071880" cy="17970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110" w:lineRule="exact"/>
        <w:rPr>
          <w:sz w:val="20"/>
          <w:szCs w:val="20"/>
          <w:color w:val="auto"/>
        </w:rPr>
      </w:pPr>
    </w:p>
    <w:p>
      <w:pPr>
        <w:jc w:val="right"/>
        <w:ind w:right="20"/>
        <w:spacing w:after="0"/>
        <w:rPr>
          <w:sz w:val="20"/>
          <w:szCs w:val="20"/>
          <w:color w:val="auto"/>
        </w:rPr>
      </w:pPr>
      <w:r>
        <w:rPr>
          <w:rFonts w:ascii="Calibri" w:cs="Calibri" w:eastAsia="Calibri" w:hAnsi="Calibri"/>
          <w:sz w:val="15"/>
          <w:szCs w:val="15"/>
          <w:color w:val="003478"/>
        </w:rPr>
        <w:t>Appendix A: Defniton of Non-GAAP Measures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color w:val="818EB4"/>
        </w:rPr>
        <w:t>Performance Cash</w:t>
      </w:r>
    </w:p>
    <w:p>
      <w:pPr>
        <w:spacing w:after="0" w:line="126" w:lineRule="exact"/>
        <w:rPr>
          <w:sz w:val="20"/>
          <w:szCs w:val="20"/>
          <w:color w:val="auto"/>
        </w:rPr>
      </w:pPr>
    </w:p>
    <w:p>
      <w:pPr>
        <w:ind w:right="40"/>
        <w:spacing w:after="0" w:line="261" w:lineRule="auto"/>
        <w:rPr>
          <w:sz w:val="20"/>
          <w:szCs w:val="20"/>
          <w:color w:val="auto"/>
        </w:rPr>
      </w:pPr>
      <w:r>
        <w:rPr>
          <w:rFonts w:ascii="Calibri" w:cs="Calibri" w:eastAsia="Calibri" w:hAnsi="Calibri"/>
          <w:sz w:val="17"/>
          <w:szCs w:val="17"/>
          <w:color w:val="auto"/>
        </w:rPr>
        <w:t>Performance Cash represents the Company’s Cash from Operatons adjusted for items as described in the 2020-2022 PSU and LTIP award agreements. For the 2020-2022 performance cycle award agreements, Cash from Operatons was adjusted for the items in the table below to calculate Performance Cash.</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80" w:type="dxa"/>
            <w:vAlign w:val="bottom"/>
            <w:shd w:val="clear" w:color="auto" w:fill="E5E7EF"/>
          </w:tcPr>
          <w:p>
            <w:pPr>
              <w:spacing w:after="0"/>
              <w:rPr>
                <w:sz w:val="16"/>
                <w:szCs w:val="16"/>
                <w:color w:val="auto"/>
              </w:rPr>
            </w:pPr>
          </w:p>
        </w:tc>
        <w:tc>
          <w:tcPr>
            <w:tcW w:w="16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2020-2022</w:t>
            </w:r>
          </w:p>
        </w:tc>
      </w:tr>
      <w:tr>
        <w:trPr>
          <w:trHeight w:val="278"/>
        </w:trPr>
        <w:tc>
          <w:tcPr>
            <w:tcW w:w="95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Cash Flow ($M)</w:t>
            </w:r>
          </w:p>
        </w:tc>
        <w:tc>
          <w:tcPr>
            <w:tcW w:w="16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9580" w:type="dxa"/>
            <w:vAlign w:val="bottom"/>
            <w:tcBorders>
              <w:top w:val="single" w:sz="8" w:color="003478"/>
            </w:tcBorders>
          </w:tcPr>
          <w:p>
            <w:pPr>
              <w:ind w:left="20"/>
              <w:spacing w:after="0" w:line="164" w:lineRule="exact"/>
              <w:rPr>
                <w:sz w:val="20"/>
                <w:szCs w:val="20"/>
                <w:color w:val="auto"/>
              </w:rPr>
            </w:pPr>
            <w:r>
              <w:rPr>
                <w:rFonts w:ascii="Calibri" w:cs="Calibri" w:eastAsia="Calibri" w:hAnsi="Calibri"/>
                <w:sz w:val="14"/>
                <w:szCs w:val="14"/>
                <w:b w:val="1"/>
                <w:bCs w:val="1"/>
                <w:color w:val="auto"/>
              </w:rPr>
              <w:t>Cash from Operatons (GAAP)</w:t>
            </w:r>
          </w:p>
        </w:tc>
        <w:tc>
          <w:tcPr>
            <w:tcW w:w="166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b w:val="1"/>
                <w:bCs w:val="1"/>
                <w:color w:val="auto"/>
              </w:rPr>
              <w:t>25,206</w:t>
            </w:r>
          </w:p>
        </w:tc>
      </w:tr>
      <w:tr>
        <w:trPr>
          <w:trHeight w:val="46"/>
        </w:trPr>
        <w:tc>
          <w:tcPr>
            <w:tcW w:w="9580" w:type="dxa"/>
            <w:vAlign w:val="bottom"/>
            <w:tcBorders>
              <w:bottom w:val="single" w:sz="8" w:color="959595"/>
            </w:tcBorders>
          </w:tcPr>
          <w:p>
            <w:pPr>
              <w:spacing w:after="0"/>
              <w:rPr>
                <w:sz w:val="4"/>
                <w:szCs w:val="4"/>
                <w:color w:val="auto"/>
              </w:rPr>
            </w:pPr>
          </w:p>
        </w:tc>
        <w:tc>
          <w:tcPr>
            <w:tcW w:w="1660" w:type="dxa"/>
            <w:vAlign w:val="bottom"/>
            <w:tcBorders>
              <w:bottom w:val="single" w:sz="8" w:color="959595"/>
            </w:tcBorders>
          </w:tcPr>
          <w:p>
            <w:pPr>
              <w:spacing w:after="0"/>
              <w:rPr>
                <w:sz w:val="4"/>
                <w:szCs w:val="4"/>
                <w:color w:val="auto"/>
              </w:rPr>
            </w:pPr>
          </w:p>
        </w:tc>
      </w:tr>
      <w:tr>
        <w:trPr>
          <w:trHeight w:val="163"/>
        </w:trPr>
        <w:tc>
          <w:tcPr>
            <w:tcW w:w="9580" w:type="dxa"/>
            <w:vAlign w:val="bottom"/>
          </w:tcPr>
          <w:p>
            <w:pPr>
              <w:ind w:left="60"/>
              <w:spacing w:after="0" w:line="164" w:lineRule="exact"/>
              <w:rPr>
                <w:sz w:val="20"/>
                <w:szCs w:val="20"/>
                <w:color w:val="auto"/>
              </w:rPr>
            </w:pPr>
            <w:r>
              <w:rPr>
                <w:rFonts w:ascii="Calibri" w:cs="Calibri" w:eastAsia="Calibri" w:hAnsi="Calibri"/>
                <w:sz w:val="14"/>
                <w:szCs w:val="14"/>
                <w:color w:val="auto"/>
              </w:rPr>
              <w:t>Pension Funding Adjustment</w:t>
            </w:r>
          </w:p>
        </w:tc>
        <w:tc>
          <w:tcPr>
            <w:tcW w:w="1660" w:type="dxa"/>
            <w:vAlign w:val="bottom"/>
          </w:tcPr>
          <w:p>
            <w:pPr>
              <w:spacing w:after="0"/>
              <w:rPr>
                <w:sz w:val="14"/>
                <w:szCs w:val="14"/>
                <w:color w:val="auto"/>
              </w:rPr>
            </w:pPr>
          </w:p>
        </w:tc>
      </w:tr>
      <w:tr>
        <w:trPr>
          <w:trHeight w:val="46"/>
        </w:trPr>
        <w:tc>
          <w:tcPr>
            <w:tcW w:w="9580" w:type="dxa"/>
            <w:vAlign w:val="bottom"/>
            <w:tcBorders>
              <w:bottom w:val="single" w:sz="8" w:color="959595"/>
            </w:tcBorders>
          </w:tcPr>
          <w:p>
            <w:pPr>
              <w:spacing w:after="0"/>
              <w:rPr>
                <w:sz w:val="4"/>
                <w:szCs w:val="4"/>
                <w:color w:val="auto"/>
              </w:rPr>
            </w:pPr>
          </w:p>
        </w:tc>
        <w:tc>
          <w:tcPr>
            <w:tcW w:w="1660" w:type="dxa"/>
            <w:vAlign w:val="bottom"/>
            <w:tcBorders>
              <w:bottom w:val="single" w:sz="8" w:color="959595"/>
            </w:tcBorders>
          </w:tcPr>
          <w:p>
            <w:pPr>
              <w:spacing w:after="0"/>
              <w:rPr>
                <w:sz w:val="4"/>
                <w:szCs w:val="4"/>
                <w:color w:val="auto"/>
              </w:rPr>
            </w:pPr>
          </w:p>
        </w:tc>
      </w:tr>
      <w:tr>
        <w:trPr>
          <w:trHeight w:val="163"/>
        </w:trPr>
        <w:tc>
          <w:tcPr>
            <w:tcW w:w="9580" w:type="dxa"/>
            <w:vAlign w:val="bottom"/>
          </w:tcPr>
          <w:p>
            <w:pPr>
              <w:ind w:left="240"/>
              <w:spacing w:after="0" w:line="164" w:lineRule="exact"/>
              <w:rPr>
                <w:sz w:val="20"/>
                <w:szCs w:val="20"/>
                <w:color w:val="auto"/>
              </w:rPr>
            </w:pPr>
            <w:r>
              <w:rPr>
                <w:rFonts w:ascii="Calibri" w:cs="Calibri" w:eastAsia="Calibri" w:hAnsi="Calibri"/>
                <w:sz w:val="14"/>
                <w:szCs w:val="14"/>
                <w:color w:val="auto"/>
              </w:rPr>
              <w:t>Actual Pension Funding</w:t>
            </w:r>
          </w:p>
        </w:tc>
        <w:tc>
          <w:tcPr>
            <w:tcW w:w="1660" w:type="dxa"/>
            <w:vAlign w:val="bottom"/>
          </w:tcPr>
          <w:p>
            <w:pPr>
              <w:jc w:val="right"/>
              <w:spacing w:after="0" w:line="164" w:lineRule="exact"/>
              <w:rPr>
                <w:sz w:val="20"/>
                <w:szCs w:val="20"/>
                <w:color w:val="auto"/>
              </w:rPr>
            </w:pPr>
            <w:r>
              <w:rPr>
                <w:rFonts w:ascii="Calibri" w:cs="Calibri" w:eastAsia="Calibri" w:hAnsi="Calibri"/>
                <w:sz w:val="14"/>
                <w:szCs w:val="14"/>
                <w:color w:val="auto"/>
              </w:rPr>
              <w:t>1,235</w:t>
            </w:r>
          </w:p>
        </w:tc>
      </w:tr>
      <w:tr>
        <w:trPr>
          <w:trHeight w:val="46"/>
        </w:trPr>
        <w:tc>
          <w:tcPr>
            <w:tcW w:w="9580" w:type="dxa"/>
            <w:vAlign w:val="bottom"/>
            <w:tcBorders>
              <w:bottom w:val="single" w:sz="8" w:color="959595"/>
            </w:tcBorders>
          </w:tcPr>
          <w:p>
            <w:pPr>
              <w:spacing w:after="0"/>
              <w:rPr>
                <w:sz w:val="4"/>
                <w:szCs w:val="4"/>
                <w:color w:val="auto"/>
              </w:rPr>
            </w:pPr>
          </w:p>
        </w:tc>
        <w:tc>
          <w:tcPr>
            <w:tcW w:w="1660" w:type="dxa"/>
            <w:vAlign w:val="bottom"/>
            <w:tcBorders>
              <w:bottom w:val="single" w:sz="8" w:color="959595"/>
            </w:tcBorders>
          </w:tcPr>
          <w:p>
            <w:pPr>
              <w:spacing w:after="0"/>
              <w:rPr>
                <w:sz w:val="4"/>
                <w:szCs w:val="4"/>
                <w:color w:val="auto"/>
              </w:rPr>
            </w:pPr>
          </w:p>
        </w:tc>
      </w:tr>
      <w:tr>
        <w:trPr>
          <w:trHeight w:val="163"/>
        </w:trPr>
        <w:tc>
          <w:tcPr>
            <w:tcW w:w="9580" w:type="dxa"/>
            <w:vAlign w:val="bottom"/>
          </w:tcPr>
          <w:p>
            <w:pPr>
              <w:ind w:left="240"/>
              <w:spacing w:after="0" w:line="164" w:lineRule="exact"/>
              <w:rPr>
                <w:sz w:val="20"/>
                <w:szCs w:val="20"/>
                <w:color w:val="auto"/>
              </w:rPr>
            </w:pPr>
            <w:r>
              <w:rPr>
                <w:rFonts w:ascii="Calibri" w:cs="Calibri" w:eastAsia="Calibri" w:hAnsi="Calibri"/>
                <w:sz w:val="14"/>
                <w:szCs w:val="14"/>
                <w:color w:val="auto"/>
              </w:rPr>
              <w:t>Planned Pension Funding</w:t>
            </w:r>
          </w:p>
        </w:tc>
        <w:tc>
          <w:tcPr>
            <w:tcW w:w="1660" w:type="dxa"/>
            <w:vAlign w:val="bottom"/>
          </w:tcPr>
          <w:p>
            <w:pPr>
              <w:jc w:val="right"/>
              <w:spacing w:after="0" w:line="164" w:lineRule="exact"/>
              <w:rPr>
                <w:sz w:val="20"/>
                <w:szCs w:val="20"/>
                <w:color w:val="auto"/>
              </w:rPr>
            </w:pPr>
            <w:r>
              <w:rPr>
                <w:rFonts w:ascii="Calibri" w:cs="Calibri" w:eastAsia="Calibri" w:hAnsi="Calibri"/>
                <w:sz w:val="14"/>
                <w:szCs w:val="14"/>
                <w:color w:val="auto"/>
              </w:rPr>
              <w:t>2,838</w:t>
            </w:r>
          </w:p>
        </w:tc>
      </w:tr>
      <w:tr>
        <w:trPr>
          <w:trHeight w:val="46"/>
        </w:trPr>
        <w:tc>
          <w:tcPr>
            <w:tcW w:w="9580" w:type="dxa"/>
            <w:vAlign w:val="bottom"/>
            <w:tcBorders>
              <w:bottom w:val="single" w:sz="8" w:color="959595"/>
            </w:tcBorders>
          </w:tcPr>
          <w:p>
            <w:pPr>
              <w:spacing w:after="0"/>
              <w:rPr>
                <w:sz w:val="4"/>
                <w:szCs w:val="4"/>
                <w:color w:val="auto"/>
              </w:rPr>
            </w:pPr>
          </w:p>
        </w:tc>
        <w:tc>
          <w:tcPr>
            <w:tcW w:w="1660" w:type="dxa"/>
            <w:vAlign w:val="bottom"/>
            <w:tcBorders>
              <w:bottom w:val="single" w:sz="8" w:color="959595"/>
            </w:tcBorders>
          </w:tcPr>
          <w:p>
            <w:pPr>
              <w:spacing w:after="0"/>
              <w:rPr>
                <w:sz w:val="4"/>
                <w:szCs w:val="4"/>
                <w:color w:val="auto"/>
              </w:rPr>
            </w:pPr>
          </w:p>
        </w:tc>
      </w:tr>
      <w:tr>
        <w:trPr>
          <w:trHeight w:val="163"/>
        </w:trPr>
        <w:tc>
          <w:tcPr>
            <w:tcW w:w="9580" w:type="dxa"/>
            <w:vAlign w:val="bottom"/>
          </w:tcPr>
          <w:p>
            <w:pPr>
              <w:ind w:left="240"/>
              <w:spacing w:after="0" w:line="164" w:lineRule="exact"/>
              <w:rPr>
                <w:sz w:val="20"/>
                <w:szCs w:val="20"/>
                <w:color w:val="auto"/>
              </w:rPr>
            </w:pPr>
            <w:r>
              <w:rPr>
                <w:rFonts w:ascii="Calibri" w:cs="Calibri" w:eastAsia="Calibri" w:hAnsi="Calibri"/>
                <w:sz w:val="14"/>
                <w:szCs w:val="14"/>
                <w:color w:val="auto"/>
              </w:rPr>
              <w:t>Delta: Forecasted vs. Actual Pension Contributons</w:t>
            </w:r>
          </w:p>
        </w:tc>
        <w:tc>
          <w:tcPr>
            <w:tcW w:w="1660" w:type="dxa"/>
            <w:vAlign w:val="bottom"/>
          </w:tcPr>
          <w:p>
            <w:pPr>
              <w:jc w:val="right"/>
              <w:spacing w:after="0" w:line="164" w:lineRule="exact"/>
              <w:rPr>
                <w:sz w:val="20"/>
                <w:szCs w:val="20"/>
                <w:color w:val="auto"/>
              </w:rPr>
            </w:pPr>
            <w:r>
              <w:rPr>
                <w:rFonts w:ascii="Calibri" w:cs="Calibri" w:eastAsia="Calibri" w:hAnsi="Calibri"/>
                <w:sz w:val="14"/>
                <w:szCs w:val="14"/>
                <w:color w:val="auto"/>
              </w:rPr>
              <w:t>(1,603)</w:t>
            </w:r>
          </w:p>
        </w:tc>
      </w:tr>
      <w:tr>
        <w:trPr>
          <w:trHeight w:val="46"/>
        </w:trPr>
        <w:tc>
          <w:tcPr>
            <w:tcW w:w="9580" w:type="dxa"/>
            <w:vAlign w:val="bottom"/>
            <w:tcBorders>
              <w:bottom w:val="single" w:sz="8" w:color="959595"/>
            </w:tcBorders>
          </w:tcPr>
          <w:p>
            <w:pPr>
              <w:spacing w:after="0"/>
              <w:rPr>
                <w:sz w:val="4"/>
                <w:szCs w:val="4"/>
                <w:color w:val="auto"/>
              </w:rPr>
            </w:pPr>
          </w:p>
        </w:tc>
        <w:tc>
          <w:tcPr>
            <w:tcW w:w="1660" w:type="dxa"/>
            <w:vAlign w:val="bottom"/>
            <w:tcBorders>
              <w:bottom w:val="single" w:sz="8" w:color="959595"/>
            </w:tcBorders>
          </w:tcPr>
          <w:p>
            <w:pPr>
              <w:spacing w:after="0"/>
              <w:rPr>
                <w:sz w:val="4"/>
                <w:szCs w:val="4"/>
                <w:color w:val="auto"/>
              </w:rPr>
            </w:pPr>
          </w:p>
        </w:tc>
      </w:tr>
      <w:tr>
        <w:trPr>
          <w:trHeight w:val="163"/>
        </w:trPr>
        <w:tc>
          <w:tcPr>
            <w:tcW w:w="9580" w:type="dxa"/>
            <w:vAlign w:val="bottom"/>
          </w:tcPr>
          <w:p>
            <w:pPr>
              <w:ind w:left="60"/>
              <w:spacing w:after="0" w:line="164" w:lineRule="exact"/>
              <w:rPr>
                <w:sz w:val="20"/>
                <w:szCs w:val="20"/>
                <w:color w:val="auto"/>
              </w:rPr>
            </w:pPr>
            <w:r>
              <w:rPr>
                <w:rFonts w:ascii="Calibri" w:cs="Calibri" w:eastAsia="Calibri" w:hAnsi="Calibri"/>
                <w:sz w:val="14"/>
                <w:szCs w:val="14"/>
                <w:color w:val="auto"/>
              </w:rPr>
              <w:t>Adjustment for Unplanned Tax Payments related to Divesttures</w:t>
            </w:r>
          </w:p>
        </w:tc>
        <w:tc>
          <w:tcPr>
            <w:tcW w:w="1660" w:type="dxa"/>
            <w:vAlign w:val="bottom"/>
          </w:tcPr>
          <w:p>
            <w:pPr>
              <w:jc w:val="right"/>
              <w:spacing w:after="0" w:line="164" w:lineRule="exact"/>
              <w:rPr>
                <w:sz w:val="20"/>
                <w:szCs w:val="20"/>
                <w:color w:val="auto"/>
              </w:rPr>
            </w:pPr>
            <w:r>
              <w:rPr>
                <w:rFonts w:ascii="Calibri" w:cs="Calibri" w:eastAsia="Calibri" w:hAnsi="Calibri"/>
                <w:sz w:val="14"/>
                <w:szCs w:val="14"/>
                <w:color w:val="auto"/>
              </w:rPr>
              <w:t>(25)</w:t>
            </w:r>
          </w:p>
        </w:tc>
      </w:tr>
      <w:tr>
        <w:trPr>
          <w:trHeight w:val="46"/>
        </w:trPr>
        <w:tc>
          <w:tcPr>
            <w:tcW w:w="9580" w:type="dxa"/>
            <w:vAlign w:val="bottom"/>
            <w:tcBorders>
              <w:bottom w:val="single" w:sz="8" w:color="959595"/>
            </w:tcBorders>
          </w:tcPr>
          <w:p>
            <w:pPr>
              <w:spacing w:after="0"/>
              <w:rPr>
                <w:sz w:val="4"/>
                <w:szCs w:val="4"/>
                <w:color w:val="auto"/>
              </w:rPr>
            </w:pPr>
          </w:p>
        </w:tc>
        <w:tc>
          <w:tcPr>
            <w:tcW w:w="1660" w:type="dxa"/>
            <w:vAlign w:val="bottom"/>
            <w:tcBorders>
              <w:bottom w:val="single" w:sz="8" w:color="959595"/>
            </w:tcBorders>
          </w:tcPr>
          <w:p>
            <w:pPr>
              <w:spacing w:after="0"/>
              <w:rPr>
                <w:sz w:val="4"/>
                <w:szCs w:val="4"/>
                <w:color w:val="auto"/>
              </w:rPr>
            </w:pPr>
          </w:p>
        </w:tc>
      </w:tr>
      <w:tr>
        <w:trPr>
          <w:trHeight w:val="163"/>
        </w:trPr>
        <w:tc>
          <w:tcPr>
            <w:tcW w:w="9580" w:type="dxa"/>
            <w:vAlign w:val="bottom"/>
          </w:tcPr>
          <w:p>
            <w:pPr>
              <w:ind w:left="60"/>
              <w:spacing w:after="0" w:line="164" w:lineRule="exact"/>
              <w:rPr>
                <w:sz w:val="20"/>
                <w:szCs w:val="20"/>
                <w:color w:val="auto"/>
              </w:rPr>
            </w:pPr>
            <w:r>
              <w:rPr>
                <w:rFonts w:ascii="Calibri" w:cs="Calibri" w:eastAsia="Calibri" w:hAnsi="Calibri"/>
                <w:sz w:val="14"/>
                <w:szCs w:val="14"/>
                <w:color w:val="auto"/>
              </w:rPr>
              <w:t>Adjustment for Unplanned Tax Payments related to Reducton in Planned Pension Contributons</w:t>
            </w:r>
          </w:p>
        </w:tc>
        <w:tc>
          <w:tcPr>
            <w:tcW w:w="1660" w:type="dxa"/>
            <w:vAlign w:val="bottom"/>
          </w:tcPr>
          <w:p>
            <w:pPr>
              <w:jc w:val="right"/>
              <w:spacing w:after="0" w:line="164" w:lineRule="exact"/>
              <w:rPr>
                <w:sz w:val="20"/>
                <w:szCs w:val="20"/>
                <w:color w:val="auto"/>
              </w:rPr>
            </w:pPr>
            <w:r>
              <w:rPr>
                <w:rFonts w:ascii="Calibri" w:cs="Calibri" w:eastAsia="Calibri" w:hAnsi="Calibri"/>
                <w:sz w:val="14"/>
                <w:szCs w:val="14"/>
                <w:color w:val="auto"/>
              </w:rPr>
              <w:t>577</w:t>
            </w:r>
          </w:p>
        </w:tc>
      </w:tr>
      <w:tr>
        <w:trPr>
          <w:trHeight w:val="46"/>
        </w:trPr>
        <w:tc>
          <w:tcPr>
            <w:tcW w:w="9580" w:type="dxa"/>
            <w:vAlign w:val="bottom"/>
            <w:tcBorders>
              <w:bottom w:val="single" w:sz="8" w:color="959595"/>
            </w:tcBorders>
          </w:tcPr>
          <w:p>
            <w:pPr>
              <w:spacing w:after="0"/>
              <w:rPr>
                <w:sz w:val="4"/>
                <w:szCs w:val="4"/>
                <w:color w:val="auto"/>
              </w:rPr>
            </w:pPr>
          </w:p>
        </w:tc>
        <w:tc>
          <w:tcPr>
            <w:tcW w:w="1660" w:type="dxa"/>
            <w:vAlign w:val="bottom"/>
            <w:tcBorders>
              <w:bottom w:val="single" w:sz="8" w:color="959595"/>
            </w:tcBorders>
          </w:tcPr>
          <w:p>
            <w:pPr>
              <w:spacing w:after="0"/>
              <w:rPr>
                <w:sz w:val="4"/>
                <w:szCs w:val="4"/>
                <w:color w:val="auto"/>
              </w:rPr>
            </w:pPr>
          </w:p>
        </w:tc>
      </w:tr>
      <w:tr>
        <w:trPr>
          <w:trHeight w:val="163"/>
        </w:trPr>
        <w:tc>
          <w:tcPr>
            <w:tcW w:w="9580" w:type="dxa"/>
            <w:vAlign w:val="bottom"/>
          </w:tcPr>
          <w:p>
            <w:pPr>
              <w:ind w:left="60"/>
              <w:spacing w:after="0" w:line="164" w:lineRule="exact"/>
              <w:rPr>
                <w:sz w:val="20"/>
                <w:szCs w:val="20"/>
                <w:color w:val="auto"/>
              </w:rPr>
            </w:pPr>
            <w:r>
              <w:rPr>
                <w:rFonts w:ascii="Calibri" w:cs="Calibri" w:eastAsia="Calibri" w:hAnsi="Calibri"/>
                <w:sz w:val="14"/>
                <w:szCs w:val="14"/>
                <w:color w:val="auto"/>
              </w:rPr>
              <w:t>Adjustment for Implementaton of American Rescue Plan Act</w:t>
            </w:r>
          </w:p>
        </w:tc>
        <w:tc>
          <w:tcPr>
            <w:tcW w:w="1660" w:type="dxa"/>
            <w:vAlign w:val="bottom"/>
          </w:tcPr>
          <w:p>
            <w:pPr>
              <w:jc w:val="right"/>
              <w:spacing w:after="0" w:line="164" w:lineRule="exact"/>
              <w:rPr>
                <w:sz w:val="20"/>
                <w:szCs w:val="20"/>
                <w:color w:val="auto"/>
              </w:rPr>
            </w:pPr>
            <w:r>
              <w:rPr>
                <w:rFonts w:ascii="Calibri" w:cs="Calibri" w:eastAsia="Calibri" w:hAnsi="Calibri"/>
                <w:sz w:val="14"/>
                <w:szCs w:val="14"/>
                <w:color w:val="auto"/>
              </w:rPr>
              <w:t>426</w:t>
            </w:r>
          </w:p>
        </w:tc>
      </w:tr>
      <w:tr>
        <w:trPr>
          <w:trHeight w:val="33"/>
        </w:trPr>
        <w:tc>
          <w:tcPr>
            <w:tcW w:w="9580" w:type="dxa"/>
            <w:vAlign w:val="bottom"/>
            <w:tcBorders>
              <w:bottom w:val="single" w:sz="8" w:color="959595"/>
            </w:tcBorders>
          </w:tcPr>
          <w:p>
            <w:pPr>
              <w:spacing w:after="0"/>
              <w:rPr>
                <w:sz w:val="2"/>
                <w:szCs w:val="2"/>
                <w:color w:val="auto"/>
              </w:rPr>
            </w:pPr>
          </w:p>
        </w:tc>
        <w:tc>
          <w:tcPr>
            <w:tcW w:w="1660" w:type="dxa"/>
            <w:vAlign w:val="bottom"/>
            <w:tcBorders>
              <w:bottom w:val="single" w:sz="8" w:color="959595"/>
            </w:tcBorders>
          </w:tcPr>
          <w:p>
            <w:pPr>
              <w:spacing w:after="0"/>
              <w:rPr>
                <w:sz w:val="2"/>
                <w:szCs w:val="2"/>
                <w:color w:val="auto"/>
              </w:rPr>
            </w:pPr>
          </w:p>
        </w:tc>
      </w:tr>
      <w:tr>
        <w:trPr>
          <w:trHeight w:val="163"/>
        </w:trPr>
        <w:tc>
          <w:tcPr>
            <w:tcW w:w="9580" w:type="dxa"/>
            <w:vAlign w:val="bottom"/>
          </w:tcPr>
          <w:p>
            <w:pPr>
              <w:ind w:left="60"/>
              <w:spacing w:after="0" w:line="164" w:lineRule="exact"/>
              <w:rPr>
                <w:sz w:val="20"/>
                <w:szCs w:val="20"/>
                <w:color w:val="auto"/>
              </w:rPr>
            </w:pPr>
            <w:r>
              <w:rPr>
                <w:rFonts w:ascii="Calibri" w:cs="Calibri" w:eastAsia="Calibri" w:hAnsi="Calibri"/>
                <w:sz w:val="14"/>
                <w:szCs w:val="14"/>
                <w:color w:val="auto"/>
              </w:rPr>
              <w:t>Adjustment for CARES Impact / Supplier Acceleratons</w:t>
            </w:r>
          </w:p>
        </w:tc>
        <w:tc>
          <w:tcPr>
            <w:tcW w:w="1660" w:type="dxa"/>
            <w:vAlign w:val="bottom"/>
          </w:tcPr>
          <w:p>
            <w:pPr>
              <w:jc w:val="right"/>
              <w:spacing w:after="0" w:line="164" w:lineRule="exact"/>
              <w:rPr>
                <w:sz w:val="20"/>
                <w:szCs w:val="20"/>
                <w:color w:val="auto"/>
              </w:rPr>
            </w:pPr>
            <w:r>
              <w:rPr>
                <w:rFonts w:ascii="Calibri" w:cs="Calibri" w:eastAsia="Calibri" w:hAnsi="Calibri"/>
                <w:sz w:val="14"/>
                <w:szCs w:val="14"/>
                <w:color w:val="auto"/>
              </w:rPr>
              <w:t>(295)</w:t>
            </w:r>
          </w:p>
        </w:tc>
      </w:tr>
      <w:tr>
        <w:trPr>
          <w:trHeight w:val="33"/>
        </w:trPr>
        <w:tc>
          <w:tcPr>
            <w:tcW w:w="9580" w:type="dxa"/>
            <w:vAlign w:val="bottom"/>
            <w:tcBorders>
              <w:bottom w:val="single" w:sz="8" w:color="959595"/>
            </w:tcBorders>
          </w:tcPr>
          <w:p>
            <w:pPr>
              <w:spacing w:after="0"/>
              <w:rPr>
                <w:sz w:val="2"/>
                <w:szCs w:val="2"/>
                <w:color w:val="auto"/>
              </w:rPr>
            </w:pPr>
          </w:p>
        </w:tc>
        <w:tc>
          <w:tcPr>
            <w:tcW w:w="1660" w:type="dxa"/>
            <w:vAlign w:val="bottom"/>
            <w:tcBorders>
              <w:bottom w:val="single" w:sz="8" w:color="959595"/>
            </w:tcBorders>
          </w:tcPr>
          <w:p>
            <w:pPr>
              <w:spacing w:after="0"/>
              <w:rPr>
                <w:sz w:val="2"/>
                <w:szCs w:val="2"/>
                <w:color w:val="auto"/>
              </w:rPr>
            </w:pPr>
          </w:p>
        </w:tc>
      </w:tr>
      <w:tr>
        <w:trPr>
          <w:trHeight w:val="163"/>
        </w:trPr>
        <w:tc>
          <w:tcPr>
            <w:tcW w:w="9580" w:type="dxa"/>
            <w:vAlign w:val="bottom"/>
          </w:tcPr>
          <w:p>
            <w:pPr>
              <w:ind w:left="60"/>
              <w:spacing w:after="0" w:line="164" w:lineRule="exact"/>
              <w:rPr>
                <w:sz w:val="20"/>
                <w:szCs w:val="20"/>
                <w:color w:val="auto"/>
              </w:rPr>
            </w:pPr>
            <w:r>
              <w:rPr>
                <w:rFonts w:ascii="Calibri" w:cs="Calibri" w:eastAsia="Calibri" w:hAnsi="Calibri"/>
                <w:sz w:val="14"/>
                <w:szCs w:val="14"/>
                <w:color w:val="auto"/>
              </w:rPr>
              <w:t>Adjustment for Tax Payment related to Interpretatons in Law related to the Amortzaton of R&amp;D expenditures</w:t>
            </w:r>
          </w:p>
        </w:tc>
        <w:tc>
          <w:tcPr>
            <w:tcW w:w="1660" w:type="dxa"/>
            <w:vAlign w:val="bottom"/>
          </w:tcPr>
          <w:p>
            <w:pPr>
              <w:jc w:val="right"/>
              <w:spacing w:after="0" w:line="164" w:lineRule="exact"/>
              <w:rPr>
                <w:sz w:val="20"/>
                <w:szCs w:val="20"/>
                <w:color w:val="auto"/>
              </w:rPr>
            </w:pPr>
            <w:r>
              <w:rPr>
                <w:rFonts w:ascii="Calibri" w:cs="Calibri" w:eastAsia="Calibri" w:hAnsi="Calibri"/>
                <w:sz w:val="14"/>
                <w:szCs w:val="14"/>
                <w:color w:val="auto"/>
              </w:rPr>
              <w:t>(1,389)</w:t>
            </w:r>
          </w:p>
        </w:tc>
      </w:tr>
      <w:tr>
        <w:trPr>
          <w:trHeight w:val="33"/>
        </w:trPr>
        <w:tc>
          <w:tcPr>
            <w:tcW w:w="9580" w:type="dxa"/>
            <w:vAlign w:val="bottom"/>
            <w:tcBorders>
              <w:bottom w:val="single" w:sz="8" w:color="959595"/>
            </w:tcBorders>
          </w:tcPr>
          <w:p>
            <w:pPr>
              <w:spacing w:after="0"/>
              <w:rPr>
                <w:sz w:val="2"/>
                <w:szCs w:val="2"/>
                <w:color w:val="auto"/>
              </w:rPr>
            </w:pPr>
          </w:p>
        </w:tc>
        <w:tc>
          <w:tcPr>
            <w:tcW w:w="1660" w:type="dxa"/>
            <w:vAlign w:val="bottom"/>
            <w:tcBorders>
              <w:bottom w:val="single" w:sz="8" w:color="959595"/>
            </w:tcBorders>
          </w:tcPr>
          <w:p>
            <w:pPr>
              <w:spacing w:after="0"/>
              <w:rPr>
                <w:sz w:val="2"/>
                <w:szCs w:val="2"/>
                <w:color w:val="auto"/>
              </w:rPr>
            </w:pPr>
          </w:p>
        </w:tc>
      </w:tr>
      <w:tr>
        <w:trPr>
          <w:trHeight w:val="163"/>
        </w:trPr>
        <w:tc>
          <w:tcPr>
            <w:tcW w:w="9580" w:type="dxa"/>
            <w:vAlign w:val="bottom"/>
          </w:tcPr>
          <w:p>
            <w:pPr>
              <w:ind w:left="60"/>
              <w:spacing w:after="0" w:line="164" w:lineRule="exact"/>
              <w:rPr>
                <w:sz w:val="20"/>
                <w:szCs w:val="20"/>
                <w:color w:val="auto"/>
              </w:rPr>
            </w:pPr>
            <w:r>
              <w:rPr>
                <w:rFonts w:ascii="Calibri" w:cs="Calibri" w:eastAsia="Calibri" w:hAnsi="Calibri"/>
                <w:sz w:val="14"/>
                <w:szCs w:val="14"/>
                <w:color w:val="auto"/>
              </w:rPr>
              <w:t>Net Adjustng Items</w:t>
            </w:r>
          </w:p>
        </w:tc>
        <w:tc>
          <w:tcPr>
            <w:tcW w:w="1660" w:type="dxa"/>
            <w:vAlign w:val="bottom"/>
          </w:tcPr>
          <w:p>
            <w:pPr>
              <w:jc w:val="right"/>
              <w:spacing w:after="0" w:line="164" w:lineRule="exact"/>
              <w:rPr>
                <w:sz w:val="20"/>
                <w:szCs w:val="20"/>
                <w:color w:val="auto"/>
              </w:rPr>
            </w:pPr>
            <w:r>
              <w:rPr>
                <w:rFonts w:ascii="Calibri" w:cs="Calibri" w:eastAsia="Calibri" w:hAnsi="Calibri"/>
                <w:sz w:val="14"/>
                <w:szCs w:val="14"/>
                <w:color w:val="auto"/>
              </w:rPr>
              <w:t>(2,309)</w:t>
            </w:r>
          </w:p>
        </w:tc>
      </w:tr>
      <w:tr>
        <w:trPr>
          <w:trHeight w:val="46"/>
        </w:trPr>
        <w:tc>
          <w:tcPr>
            <w:tcW w:w="9580" w:type="dxa"/>
            <w:vAlign w:val="bottom"/>
            <w:tcBorders>
              <w:bottom w:val="single" w:sz="8" w:color="959595"/>
            </w:tcBorders>
          </w:tcPr>
          <w:p>
            <w:pPr>
              <w:spacing w:after="0"/>
              <w:rPr>
                <w:sz w:val="4"/>
                <w:szCs w:val="4"/>
                <w:color w:val="auto"/>
              </w:rPr>
            </w:pPr>
          </w:p>
        </w:tc>
        <w:tc>
          <w:tcPr>
            <w:tcW w:w="1660" w:type="dxa"/>
            <w:vAlign w:val="bottom"/>
            <w:tcBorders>
              <w:bottom w:val="single" w:sz="8" w:color="959595"/>
            </w:tcBorders>
          </w:tcPr>
          <w:p>
            <w:pPr>
              <w:spacing w:after="0"/>
              <w:rPr>
                <w:sz w:val="4"/>
                <w:szCs w:val="4"/>
                <w:color w:val="auto"/>
              </w:rPr>
            </w:pPr>
          </w:p>
        </w:tc>
      </w:tr>
      <w:tr>
        <w:trPr>
          <w:trHeight w:val="163"/>
        </w:trPr>
        <w:tc>
          <w:tcPr>
            <w:tcW w:w="9580" w:type="dxa"/>
            <w:vAlign w:val="bottom"/>
          </w:tcPr>
          <w:p>
            <w:pPr>
              <w:ind w:left="20"/>
              <w:spacing w:after="0" w:line="164" w:lineRule="exact"/>
              <w:rPr>
                <w:sz w:val="20"/>
                <w:szCs w:val="20"/>
                <w:color w:val="auto"/>
              </w:rPr>
            </w:pPr>
            <w:r>
              <w:rPr>
                <w:rFonts w:ascii="Calibri" w:cs="Calibri" w:eastAsia="Calibri" w:hAnsi="Calibri"/>
                <w:sz w:val="14"/>
                <w:szCs w:val="14"/>
                <w:b w:val="1"/>
                <w:bCs w:val="1"/>
                <w:color w:val="auto"/>
              </w:rPr>
              <w:t>Performance Cash (Non-GAAP)</w:t>
            </w:r>
          </w:p>
        </w:tc>
        <w:tc>
          <w:tcPr>
            <w:tcW w:w="166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22,897</w:t>
            </w:r>
          </w:p>
        </w:tc>
      </w:tr>
      <w:tr>
        <w:trPr>
          <w:trHeight w:val="46"/>
        </w:trPr>
        <w:tc>
          <w:tcPr>
            <w:tcW w:w="9580" w:type="dxa"/>
            <w:vAlign w:val="bottom"/>
            <w:tcBorders>
              <w:bottom w:val="single" w:sz="8" w:color="959595"/>
            </w:tcBorders>
          </w:tcPr>
          <w:p>
            <w:pPr>
              <w:spacing w:after="0"/>
              <w:rPr>
                <w:sz w:val="4"/>
                <w:szCs w:val="4"/>
                <w:color w:val="auto"/>
              </w:rPr>
            </w:pPr>
          </w:p>
        </w:tc>
        <w:tc>
          <w:tcPr>
            <w:tcW w:w="1660" w:type="dxa"/>
            <w:vAlign w:val="bottom"/>
            <w:tcBorders>
              <w:bottom w:val="single" w:sz="8" w:color="959595"/>
            </w:tcBorders>
          </w:tcPr>
          <w:p>
            <w:pPr>
              <w:spacing w:after="0"/>
              <w:rPr>
                <w:sz w:val="4"/>
                <w:szCs w:val="4"/>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5"/>
          <w:szCs w:val="25"/>
          <w:color w:val="818EB4"/>
        </w:rPr>
        <w:t>Free Cash Flow</w:t>
      </w:r>
    </w:p>
    <w:p>
      <w:pPr>
        <w:spacing w:after="0" w:line="126" w:lineRule="exact"/>
        <w:rPr>
          <w:sz w:val="20"/>
          <w:szCs w:val="20"/>
          <w:color w:val="auto"/>
        </w:rPr>
      </w:pPr>
    </w:p>
    <w:p>
      <w:pPr>
        <w:ind w:right="80"/>
        <w:spacing w:after="0" w:line="256" w:lineRule="auto"/>
        <w:rPr>
          <w:sz w:val="20"/>
          <w:szCs w:val="20"/>
          <w:color w:val="auto"/>
        </w:rPr>
      </w:pPr>
      <w:r>
        <w:rPr>
          <w:rFonts w:ascii="Calibri" w:cs="Calibri" w:eastAsia="Calibri" w:hAnsi="Calibri"/>
          <w:sz w:val="17"/>
          <w:szCs w:val="17"/>
          <w:color w:val="auto"/>
        </w:rPr>
        <w:t>Free cash fow is defned as cash from operatons less capital expenditures. Our capital expenditures are comprised of equipment and facilites infrastructure and informaton technology (inclusive of costs for the development or purchase of internal-use sofware that are capitalized). We use Free Cash Flow to evaluate our business performance and overall liquidity and it is a performance goal in our annual and long-term incentve plans. We believe Free Cash Flow is a useful measure for investors because it represents the amount of cash generated from operatons afer reinvestng in the business and that may be available to return to stockholders and creditors (through dividends, stock repurchases and debt repayments) or available to fund acquisitons or other investments. The entre Free Cash Flow amount is not necessarily available for discretonary expenditures, however, because it does not account for certain mandatory expenditures, such as the repayment of maturing debt and pension contributons. When used for performance determinaton of the PSU and LTIP awards and the annual incentve plan, Free Cash Flow must be adjusted for items as described in the PSU and LTIP award agreements or Compensaton Commitee resoluton, as applicable. Prior to the 2022 grants, Performance Cash described above was used instead of Free Cash Flow. The following table reconciles Cash from Operatons to Free Cash Flow:</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Borders>
              <w:right w:val="single" w:sz="8" w:color="E5E7EF"/>
            </w:tcBorders>
            <w:shd w:val="clear" w:color="auto" w:fill="E5E7EF"/>
          </w:tcPr>
          <w:p>
            <w:pPr>
              <w:spacing w:after="0"/>
              <w:rPr>
                <w:sz w:val="16"/>
                <w:szCs w:val="16"/>
                <w:color w:val="auto"/>
              </w:rPr>
            </w:pPr>
          </w:p>
        </w:tc>
        <w:tc>
          <w:tcPr>
            <w:tcW w:w="860" w:type="dxa"/>
            <w:vAlign w:val="bottom"/>
            <w:tcBorders>
              <w:right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2022</w:t>
            </w:r>
          </w:p>
        </w:tc>
        <w:tc>
          <w:tcPr>
            <w:tcW w:w="840" w:type="dxa"/>
            <w:vAlign w:val="bottom"/>
            <w:tcBorders>
              <w:right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2021</w:t>
            </w:r>
          </w:p>
        </w:tc>
        <w:tc>
          <w:tcPr>
            <w:tcW w:w="8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2020</w:t>
            </w:r>
          </w:p>
        </w:tc>
        <w:tc>
          <w:tcPr>
            <w:tcW w:w="20" w:type="dxa"/>
            <w:vAlign w:val="bottom"/>
          </w:tcPr>
          <w:p>
            <w:pPr>
              <w:spacing w:after="0"/>
              <w:rPr>
                <w:sz w:val="16"/>
                <w:szCs w:val="16"/>
                <w:color w:val="auto"/>
              </w:rPr>
            </w:pPr>
          </w:p>
        </w:tc>
      </w:tr>
      <w:tr>
        <w:trPr>
          <w:trHeight w:val="224"/>
        </w:trPr>
        <w:tc>
          <w:tcPr>
            <w:tcW w:w="8700" w:type="dxa"/>
            <w:vAlign w:val="bottom"/>
            <w:tcBorders>
              <w:bottom w:val="single" w:sz="8" w:color="E5E7EF"/>
              <w:right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($M)</w:t>
            </w:r>
          </w:p>
        </w:tc>
        <w:tc>
          <w:tcPr>
            <w:tcW w:w="860" w:type="dxa"/>
            <w:vAlign w:val="bottom"/>
            <w:tcBorders>
              <w:bottom w:val="single" w:sz="8" w:color="E5E7EF"/>
              <w:right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5E7EF"/>
              <w:right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9"/>
                <w:szCs w:val="19"/>
                <w:color w:val="auto"/>
              </w:rPr>
            </w:pPr>
          </w:p>
        </w:tc>
      </w:tr>
      <w:tr>
        <w:trPr>
          <w:trHeight w:val="163"/>
        </w:trPr>
        <w:tc>
          <w:tcPr>
            <w:tcW w:w="8700" w:type="dxa"/>
            <w:vAlign w:val="bottom"/>
            <w:tcBorders>
              <w:top w:val="single" w:sz="8" w:color="003478"/>
            </w:tcBorders>
          </w:tcPr>
          <w:p>
            <w:pPr>
              <w:ind w:left="20"/>
              <w:spacing w:after="0" w:line="164" w:lineRule="exact"/>
              <w:rPr>
                <w:sz w:val="20"/>
                <w:szCs w:val="20"/>
                <w:color w:val="auto"/>
              </w:rPr>
            </w:pPr>
            <w:r>
              <w:rPr>
                <w:rFonts w:ascii="Calibri" w:cs="Calibri" w:eastAsia="Calibri" w:hAnsi="Calibri"/>
                <w:sz w:val="14"/>
                <w:szCs w:val="14"/>
                <w:b w:val="1"/>
                <w:bCs w:val="1"/>
                <w:color w:val="auto"/>
              </w:rPr>
              <w:t>Cash from Operatons (GAAP)</w:t>
            </w:r>
          </w:p>
        </w:tc>
        <w:tc>
          <w:tcPr>
            <w:tcW w:w="86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7,802</w:t>
            </w:r>
          </w:p>
        </w:tc>
        <w:tc>
          <w:tcPr>
            <w:tcW w:w="84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9,221</w:t>
            </w:r>
          </w:p>
        </w:tc>
        <w:tc>
          <w:tcPr>
            <w:tcW w:w="840" w:type="dxa"/>
            <w:vAlign w:val="bottom"/>
            <w:tcBorders>
              <w:top w:val="single" w:sz="8" w:color="003478"/>
            </w:tcBorders>
          </w:tcPr>
          <w:p>
            <w:pPr>
              <w:jc w:val="right"/>
              <w:spacing w:after="0" w:line="164" w:lineRule="exact"/>
              <w:rPr>
                <w:sz w:val="20"/>
                <w:szCs w:val="20"/>
                <w:color w:val="auto"/>
              </w:rPr>
            </w:pPr>
            <w:r>
              <w:rPr>
                <w:rFonts w:ascii="Calibri" w:cs="Calibri" w:eastAsia="Calibri" w:hAnsi="Calibri"/>
                <w:sz w:val="14"/>
                <w:szCs w:val="14"/>
                <w:color w:val="auto"/>
              </w:rPr>
              <w:t>8,183</w:t>
            </w:r>
          </w:p>
        </w:tc>
        <w:tc>
          <w:tcPr>
            <w:tcW w:w="20" w:type="dxa"/>
            <w:vAlign w:val="bottom"/>
          </w:tcPr>
          <w:p>
            <w:pPr>
              <w:spacing w:after="0"/>
              <w:rPr>
                <w:sz w:val="14"/>
                <w:szCs w:val="14"/>
                <w:color w:val="auto"/>
              </w:rPr>
            </w:pPr>
          </w:p>
        </w:tc>
      </w:tr>
      <w:tr>
        <w:trPr>
          <w:trHeight w:val="33"/>
        </w:trPr>
        <w:tc>
          <w:tcPr>
            <w:tcW w:w="8700" w:type="dxa"/>
            <w:vAlign w:val="bottom"/>
            <w:tcBorders>
              <w:bottom w:val="single" w:sz="8" w:color="959595"/>
            </w:tcBorders>
          </w:tcPr>
          <w:p>
            <w:pPr>
              <w:spacing w:after="0"/>
              <w:rPr>
                <w:sz w:val="2"/>
                <w:szCs w:val="2"/>
                <w:color w:val="auto"/>
              </w:rPr>
            </w:pPr>
          </w:p>
        </w:tc>
        <w:tc>
          <w:tcPr>
            <w:tcW w:w="860" w:type="dxa"/>
            <w:vAlign w:val="bottom"/>
            <w:tcBorders>
              <w:bottom w:val="single" w:sz="8" w:color="959595"/>
            </w:tcBorders>
          </w:tcPr>
          <w:p>
            <w:pPr>
              <w:spacing w:after="0"/>
              <w:rPr>
                <w:sz w:val="2"/>
                <w:szCs w:val="2"/>
                <w:color w:val="auto"/>
              </w:rPr>
            </w:pPr>
          </w:p>
        </w:tc>
        <w:tc>
          <w:tcPr>
            <w:tcW w:w="840" w:type="dxa"/>
            <w:vAlign w:val="bottom"/>
            <w:tcBorders>
              <w:bottom w:val="single" w:sz="8" w:color="959595"/>
            </w:tcBorders>
          </w:tcPr>
          <w:p>
            <w:pPr>
              <w:spacing w:after="0"/>
              <w:rPr>
                <w:sz w:val="2"/>
                <w:szCs w:val="2"/>
                <w:color w:val="auto"/>
              </w:rPr>
            </w:pPr>
          </w:p>
        </w:tc>
        <w:tc>
          <w:tcPr>
            <w:tcW w:w="840" w:type="dxa"/>
            <w:vAlign w:val="bottom"/>
            <w:tcBorders>
              <w:bottom w:val="single" w:sz="8" w:color="959595"/>
            </w:tcBorders>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8700" w:type="dxa"/>
            <w:vAlign w:val="bottom"/>
          </w:tcPr>
          <w:p>
            <w:pPr>
              <w:ind w:left="20"/>
              <w:spacing w:after="0" w:line="164" w:lineRule="exact"/>
              <w:rPr>
                <w:sz w:val="20"/>
                <w:szCs w:val="20"/>
                <w:color w:val="auto"/>
              </w:rPr>
            </w:pPr>
            <w:r>
              <w:rPr>
                <w:rFonts w:ascii="Calibri" w:cs="Calibri" w:eastAsia="Calibri" w:hAnsi="Calibri"/>
                <w:sz w:val="14"/>
                <w:szCs w:val="14"/>
                <w:color w:val="auto"/>
              </w:rPr>
              <w:t>Capital Expenditures</w:t>
            </w:r>
          </w:p>
        </w:tc>
        <w:tc>
          <w:tcPr>
            <w:tcW w:w="860" w:type="dxa"/>
            <w:vAlign w:val="bottom"/>
          </w:tcPr>
          <w:p>
            <w:pPr>
              <w:jc w:val="right"/>
              <w:spacing w:after="0" w:line="164" w:lineRule="exact"/>
              <w:rPr>
                <w:sz w:val="20"/>
                <w:szCs w:val="20"/>
                <w:color w:val="auto"/>
              </w:rPr>
            </w:pPr>
            <w:r>
              <w:rPr>
                <w:rFonts w:ascii="Calibri" w:cs="Calibri" w:eastAsia="Calibri" w:hAnsi="Calibri"/>
                <w:sz w:val="14"/>
                <w:szCs w:val="14"/>
                <w:color w:val="auto"/>
              </w:rPr>
              <w:t>(1,670)</w:t>
            </w:r>
          </w:p>
        </w:tc>
        <w:tc>
          <w:tcPr>
            <w:tcW w:w="840" w:type="dxa"/>
            <w:vAlign w:val="bottom"/>
          </w:tcPr>
          <w:p>
            <w:pPr>
              <w:jc w:val="right"/>
              <w:spacing w:after="0" w:line="164" w:lineRule="exact"/>
              <w:rPr>
                <w:sz w:val="20"/>
                <w:szCs w:val="20"/>
                <w:color w:val="auto"/>
              </w:rPr>
            </w:pPr>
            <w:r>
              <w:rPr>
                <w:rFonts w:ascii="Calibri" w:cs="Calibri" w:eastAsia="Calibri" w:hAnsi="Calibri"/>
                <w:sz w:val="14"/>
                <w:szCs w:val="14"/>
                <w:color w:val="auto"/>
              </w:rPr>
              <w:t>(1,522)</w:t>
            </w:r>
          </w:p>
        </w:tc>
        <w:tc>
          <w:tcPr>
            <w:tcW w:w="840" w:type="dxa"/>
            <w:vAlign w:val="bottom"/>
          </w:tcPr>
          <w:p>
            <w:pPr>
              <w:jc w:val="right"/>
              <w:spacing w:after="0" w:line="164" w:lineRule="exact"/>
              <w:rPr>
                <w:sz w:val="20"/>
                <w:szCs w:val="20"/>
                <w:color w:val="auto"/>
              </w:rPr>
            </w:pPr>
            <w:r>
              <w:rPr>
                <w:rFonts w:ascii="Calibri" w:cs="Calibri" w:eastAsia="Calibri" w:hAnsi="Calibri"/>
                <w:sz w:val="14"/>
                <w:szCs w:val="14"/>
                <w:color w:val="auto"/>
              </w:rPr>
              <w:t>(1,766)</w:t>
            </w:r>
          </w:p>
        </w:tc>
        <w:tc>
          <w:tcPr>
            <w:tcW w:w="20" w:type="dxa"/>
            <w:vAlign w:val="bottom"/>
          </w:tcPr>
          <w:p>
            <w:pPr>
              <w:spacing w:after="0"/>
              <w:rPr>
                <w:sz w:val="14"/>
                <w:szCs w:val="14"/>
                <w:color w:val="auto"/>
              </w:rPr>
            </w:pPr>
          </w:p>
        </w:tc>
      </w:tr>
      <w:tr>
        <w:trPr>
          <w:trHeight w:val="33"/>
        </w:trPr>
        <w:tc>
          <w:tcPr>
            <w:tcW w:w="8700" w:type="dxa"/>
            <w:vAlign w:val="bottom"/>
            <w:tcBorders>
              <w:bottom w:val="single" w:sz="8" w:color="959595"/>
            </w:tcBorders>
          </w:tcPr>
          <w:p>
            <w:pPr>
              <w:spacing w:after="0"/>
              <w:rPr>
                <w:sz w:val="2"/>
                <w:szCs w:val="2"/>
                <w:color w:val="auto"/>
              </w:rPr>
            </w:pPr>
          </w:p>
        </w:tc>
        <w:tc>
          <w:tcPr>
            <w:tcW w:w="860" w:type="dxa"/>
            <w:vAlign w:val="bottom"/>
            <w:tcBorders>
              <w:bottom w:val="single" w:sz="8" w:color="003478"/>
            </w:tcBorders>
          </w:tcPr>
          <w:p>
            <w:pPr>
              <w:spacing w:after="0"/>
              <w:rPr>
                <w:sz w:val="2"/>
                <w:szCs w:val="2"/>
                <w:color w:val="auto"/>
              </w:rPr>
            </w:pPr>
          </w:p>
        </w:tc>
        <w:tc>
          <w:tcPr>
            <w:tcW w:w="840" w:type="dxa"/>
            <w:vAlign w:val="bottom"/>
            <w:tcBorders>
              <w:bottom w:val="single" w:sz="8" w:color="003478"/>
            </w:tcBorders>
          </w:tcPr>
          <w:p>
            <w:pPr>
              <w:spacing w:after="0"/>
              <w:rPr>
                <w:sz w:val="2"/>
                <w:szCs w:val="2"/>
                <w:color w:val="auto"/>
              </w:rPr>
            </w:pPr>
          </w:p>
        </w:tc>
        <w:tc>
          <w:tcPr>
            <w:tcW w:w="840" w:type="dxa"/>
            <w:vAlign w:val="bottom"/>
            <w:tcBorders>
              <w:bottom w:val="single" w:sz="8" w:color="003478"/>
            </w:tcBorders>
          </w:tcPr>
          <w:p>
            <w:pPr>
              <w:spacing w:after="0"/>
              <w:rPr>
                <w:sz w:val="2"/>
                <w:szCs w:val="2"/>
                <w:color w:val="auto"/>
              </w:rPr>
            </w:pPr>
          </w:p>
        </w:tc>
        <w:tc>
          <w:tcPr>
            <w:tcW w:w="20" w:type="dxa"/>
            <w:vAlign w:val="bottom"/>
            <w:tcBorders>
              <w:bottom w:val="single" w:sz="8" w:color="003478"/>
            </w:tcBorders>
          </w:tcPr>
          <w:p>
            <w:pPr>
              <w:spacing w:after="0"/>
              <w:rPr>
                <w:sz w:val="2"/>
                <w:szCs w:val="2"/>
                <w:color w:val="auto"/>
              </w:rPr>
            </w:pPr>
          </w:p>
        </w:tc>
      </w:tr>
      <w:tr>
        <w:trPr>
          <w:trHeight w:val="163"/>
        </w:trPr>
        <w:tc>
          <w:tcPr>
            <w:tcW w:w="8700" w:type="dxa"/>
            <w:vAlign w:val="bottom"/>
            <w:tcBorders>
              <w:right w:val="single" w:sz="8" w:color="003478"/>
            </w:tcBorders>
          </w:tcPr>
          <w:p>
            <w:pPr>
              <w:ind w:left="20"/>
              <w:spacing w:after="0" w:line="164" w:lineRule="exact"/>
              <w:rPr>
                <w:sz w:val="20"/>
                <w:szCs w:val="20"/>
                <w:color w:val="auto"/>
              </w:rPr>
            </w:pPr>
            <w:r>
              <w:rPr>
                <w:rFonts w:ascii="Calibri" w:cs="Calibri" w:eastAsia="Calibri" w:hAnsi="Calibri"/>
                <w:sz w:val="14"/>
                <w:szCs w:val="14"/>
                <w:b w:val="1"/>
                <w:bCs w:val="1"/>
                <w:color w:val="auto"/>
              </w:rPr>
              <w:t>Free Cash Flow (Non-GAAP)</w:t>
            </w:r>
          </w:p>
        </w:tc>
        <w:tc>
          <w:tcPr>
            <w:tcW w:w="860" w:type="dxa"/>
            <w:vAlign w:val="bottom"/>
            <w:tcBorders>
              <w:right w:val="single" w:sz="8" w:color="003478"/>
            </w:tcBorders>
          </w:tcPr>
          <w:p>
            <w:pPr>
              <w:jc w:val="right"/>
              <w:spacing w:after="0" w:line="164" w:lineRule="exact"/>
              <w:rPr>
                <w:sz w:val="20"/>
                <w:szCs w:val="20"/>
                <w:color w:val="auto"/>
              </w:rPr>
            </w:pPr>
            <w:r>
              <w:rPr>
                <w:rFonts w:ascii="Calibri" w:cs="Calibri" w:eastAsia="Calibri" w:hAnsi="Calibri"/>
                <w:sz w:val="14"/>
                <w:szCs w:val="14"/>
                <w:b w:val="1"/>
                <w:bCs w:val="1"/>
                <w:color w:val="auto"/>
              </w:rPr>
              <w:t>6,132</w:t>
            </w:r>
          </w:p>
        </w:tc>
        <w:tc>
          <w:tcPr>
            <w:tcW w:w="840" w:type="dxa"/>
            <w:vAlign w:val="bottom"/>
            <w:tcBorders>
              <w:right w:val="single" w:sz="8" w:color="003478"/>
            </w:tcBorders>
          </w:tcPr>
          <w:p>
            <w:pPr>
              <w:jc w:val="right"/>
              <w:spacing w:after="0" w:line="164" w:lineRule="exact"/>
              <w:rPr>
                <w:sz w:val="20"/>
                <w:szCs w:val="20"/>
                <w:color w:val="auto"/>
              </w:rPr>
            </w:pPr>
            <w:r>
              <w:rPr>
                <w:rFonts w:ascii="Calibri" w:cs="Calibri" w:eastAsia="Calibri" w:hAnsi="Calibri"/>
                <w:sz w:val="14"/>
                <w:szCs w:val="14"/>
                <w:b w:val="1"/>
                <w:bCs w:val="1"/>
                <w:color w:val="auto"/>
              </w:rPr>
              <w:t>7,699</w:t>
            </w:r>
          </w:p>
        </w:tc>
        <w:tc>
          <w:tcPr>
            <w:tcW w:w="84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auto"/>
              </w:rPr>
              <w:t>6,417</w:t>
            </w:r>
          </w:p>
        </w:tc>
        <w:tc>
          <w:tcPr>
            <w:tcW w:w="20" w:type="dxa"/>
            <w:vAlign w:val="bottom"/>
            <w:shd w:val="clear" w:color="auto" w:fill="003478"/>
          </w:tcPr>
          <w:p>
            <w:pPr>
              <w:spacing w:after="0"/>
              <w:rPr>
                <w:sz w:val="14"/>
                <w:szCs w:val="14"/>
                <w:color w:val="auto"/>
              </w:rPr>
            </w:pPr>
          </w:p>
        </w:tc>
      </w:tr>
      <w:tr>
        <w:trPr>
          <w:trHeight w:val="33"/>
        </w:trPr>
        <w:tc>
          <w:tcPr>
            <w:tcW w:w="8700" w:type="dxa"/>
            <w:vAlign w:val="bottom"/>
            <w:tcBorders>
              <w:bottom w:val="single" w:sz="8" w:color="959595"/>
              <w:right w:val="single" w:sz="8" w:color="003478"/>
            </w:tcBorders>
          </w:tcPr>
          <w:p>
            <w:pPr>
              <w:spacing w:after="0"/>
              <w:rPr>
                <w:sz w:val="2"/>
                <w:szCs w:val="2"/>
                <w:color w:val="auto"/>
              </w:rPr>
            </w:pPr>
          </w:p>
        </w:tc>
        <w:tc>
          <w:tcPr>
            <w:tcW w:w="860" w:type="dxa"/>
            <w:vAlign w:val="bottom"/>
            <w:tcBorders>
              <w:bottom w:val="single" w:sz="8" w:color="003478"/>
              <w:right w:val="single" w:sz="8" w:color="003478"/>
            </w:tcBorders>
          </w:tcPr>
          <w:p>
            <w:pPr>
              <w:spacing w:after="0"/>
              <w:rPr>
                <w:sz w:val="2"/>
                <w:szCs w:val="2"/>
                <w:color w:val="auto"/>
              </w:rPr>
            </w:pPr>
          </w:p>
        </w:tc>
        <w:tc>
          <w:tcPr>
            <w:tcW w:w="840" w:type="dxa"/>
            <w:vAlign w:val="bottom"/>
            <w:tcBorders>
              <w:bottom w:val="single" w:sz="8" w:color="003478"/>
              <w:right w:val="single" w:sz="8" w:color="003478"/>
            </w:tcBorders>
          </w:tcPr>
          <w:p>
            <w:pPr>
              <w:spacing w:after="0"/>
              <w:rPr>
                <w:sz w:val="2"/>
                <w:szCs w:val="2"/>
                <w:color w:val="auto"/>
              </w:rPr>
            </w:pPr>
          </w:p>
        </w:tc>
        <w:tc>
          <w:tcPr>
            <w:tcW w:w="840" w:type="dxa"/>
            <w:vAlign w:val="bottom"/>
            <w:tcBorders>
              <w:bottom w:val="single" w:sz="8" w:color="003478"/>
            </w:tcBorders>
          </w:tcPr>
          <w:p>
            <w:pPr>
              <w:spacing w:after="0"/>
              <w:rPr>
                <w:sz w:val="2"/>
                <w:szCs w:val="2"/>
                <w:color w:val="auto"/>
              </w:rPr>
            </w:pPr>
          </w:p>
        </w:tc>
        <w:tc>
          <w:tcPr>
            <w:tcW w:w="20" w:type="dxa"/>
            <w:vAlign w:val="bottom"/>
            <w:tcBorders>
              <w:bottom w:val="single" w:sz="8" w:color="003478"/>
            </w:tcBorders>
            <w:shd w:val="clear" w:color="auto" w:fill="003478"/>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9340" w:val="left"/>
          <w:tab w:leader="none" w:pos="11040" w:val="left"/>
        </w:tabs>
        <w:rPr>
          <w:sz w:val="20"/>
          <w:szCs w:val="20"/>
          <w:color w:val="auto"/>
        </w:rPr>
      </w:pPr>
      <w:r>
        <w:rPr>
          <w:rFonts w:ascii="Arial" w:cs="Arial" w:eastAsia="Arial" w:hAnsi="Arial"/>
          <w:sz w:val="14"/>
          <w:szCs w:val="14"/>
          <w:color w:val="003478"/>
        </w:rPr>
        <w:t>www.lockheedmartin.com</w:t>
      </w:r>
      <w:r>
        <w:rPr>
          <w:sz w:val="20"/>
          <w:szCs w:val="20"/>
          <w:color w:val="auto"/>
        </w:rPr>
        <w:tab/>
      </w:r>
      <w:r>
        <w:rPr>
          <w:rFonts w:ascii="Arial" w:cs="Arial" w:eastAsia="Arial" w:hAnsi="Arial"/>
          <w:sz w:val="14"/>
          <w:szCs w:val="14"/>
          <w:color w:val="003478"/>
        </w:rPr>
        <w:t>2023 Proxy Statement</w:t>
      </w:r>
      <w:r>
        <w:rPr>
          <w:sz w:val="20"/>
          <w:szCs w:val="20"/>
          <w:color w:val="auto"/>
        </w:rPr>
        <w:tab/>
      </w:r>
      <w:r>
        <w:rPr>
          <w:rFonts w:ascii="Arial" w:cs="Arial" w:eastAsia="Arial" w:hAnsi="Arial"/>
          <w:sz w:val="14"/>
          <w:szCs w:val="14"/>
          <w:b w:val="1"/>
          <w:bCs w:val="1"/>
          <w:color w:val="959595"/>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sectPr>
      </w:pPr>
    </w:p>
    <w:bookmarkStart w:id="105" w:name="page106"/>
    <w:bookmarkEnd w:id="105"/>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818EB4"/>
        </w:rPr>
        <w:t>Disclosure Regarding Forward-Looking Statements</w:t>
      </w:r>
    </w:p>
    <w:p>
      <w:pPr>
        <w:spacing w:after="0" w:line="32" w:lineRule="exact"/>
        <w:rPr>
          <w:sz w:val="20"/>
          <w:szCs w:val="20"/>
          <w:color w:val="auto"/>
        </w:rPr>
      </w:pPr>
    </w:p>
    <w:p>
      <w:pPr>
        <w:ind w:right="180"/>
        <w:spacing w:after="0" w:line="207" w:lineRule="auto"/>
        <w:rPr>
          <w:sz w:val="20"/>
          <w:szCs w:val="20"/>
          <w:color w:val="auto"/>
        </w:rPr>
      </w:pPr>
      <w:r>
        <w:rPr>
          <w:rFonts w:ascii="Calibri" w:cs="Calibri" w:eastAsia="Calibri" w:hAnsi="Calibri"/>
          <w:sz w:val="16"/>
          <w:szCs w:val="16"/>
          <w:color w:val="auto"/>
        </w:rPr>
        <w:t>This Proxy Statement contains statements that, to the extent they are not recitatons of historical fact, consttute forward-looking statements within the meaning of the federal securites laws, and are based on Lockheed Martn’s current expectatons and assumptons. The words “believe,” “estmate,” “antcipate,” “project,” “intend,” “expect,” “plan,” “outlook,” “scheduled,” “forecast” and similar expressions are intended to identfy forward-looking statements. These statements are not guarantees of future performance and are subject to risks and uncertaintes. Actual results may difer materially due to factors such as:</w:t>
      </w:r>
    </w:p>
    <w:p>
      <w:pPr>
        <w:sectPr>
          <w:pgSz w:w="11900" w:h="16838" w:orient="portrait"/>
          <w:cols w:equalWidth="0" w:num="1">
            <w:col w:w="11240"/>
          </w:cols>
          <w:pgMar w:left="320" w:top="230" w:right="339" w:bottom="1440" w:gutter="0" w:footer="0" w:header="0"/>
        </w:sectPr>
      </w:pPr>
    </w:p>
    <w:p>
      <w:pPr>
        <w:spacing w:after="0" w:line="91" w:lineRule="exact"/>
        <w:rPr>
          <w:sz w:val="20"/>
          <w:szCs w:val="20"/>
          <w:color w:val="auto"/>
        </w:rPr>
      </w:pPr>
    </w:p>
    <w:p>
      <w:pPr>
        <w:ind w:left="260" w:right="340" w:hanging="153"/>
        <w:spacing w:after="0" w:line="217" w:lineRule="auto"/>
        <w:tabs>
          <w:tab w:leader="none" w:pos="260" w:val="left"/>
        </w:tabs>
        <w:numPr>
          <w:ilvl w:val="0"/>
          <w:numId w:val="123"/>
        </w:numPr>
        <w:rPr>
          <w:rFonts w:ascii="Calibri" w:cs="Calibri" w:eastAsia="Calibri" w:hAnsi="Calibri"/>
          <w:sz w:val="16"/>
          <w:szCs w:val="16"/>
          <w:color w:val="003478"/>
        </w:rPr>
      </w:pPr>
      <w:r>
        <w:rPr>
          <w:rFonts w:ascii="Calibri" w:cs="Calibri" w:eastAsia="Calibri" w:hAnsi="Calibri"/>
          <w:sz w:val="16"/>
          <w:szCs w:val="16"/>
          <w:color w:val="auto"/>
        </w:rPr>
        <w:t>budget uncertainty, the risk of future budget cuts, the impact of contnuing resoluton funding mechanisms and the debt ceiling and the potental for government shutdowns and changing funding and acquisiton priorites;</w:t>
      </w:r>
    </w:p>
    <w:p>
      <w:pPr>
        <w:spacing w:after="0" w:line="1" w:lineRule="exact"/>
        <w:rPr>
          <w:rFonts w:ascii="Calibri" w:cs="Calibri" w:eastAsia="Calibri" w:hAnsi="Calibri"/>
          <w:sz w:val="16"/>
          <w:szCs w:val="16"/>
          <w:color w:val="003478"/>
        </w:rPr>
      </w:pPr>
    </w:p>
    <w:p>
      <w:pPr>
        <w:ind w:left="260" w:hanging="153"/>
        <w:spacing w:after="0" w:line="210" w:lineRule="auto"/>
        <w:tabs>
          <w:tab w:leader="none" w:pos="260" w:val="left"/>
        </w:tabs>
        <w:numPr>
          <w:ilvl w:val="0"/>
          <w:numId w:val="123"/>
        </w:numPr>
        <w:rPr>
          <w:rFonts w:ascii="Calibri" w:cs="Calibri" w:eastAsia="Calibri" w:hAnsi="Calibri"/>
          <w:sz w:val="16"/>
          <w:szCs w:val="16"/>
          <w:color w:val="003478"/>
        </w:rPr>
      </w:pPr>
      <w:r>
        <w:rPr>
          <w:rFonts w:ascii="Calibri" w:cs="Calibri" w:eastAsia="Calibri" w:hAnsi="Calibri"/>
          <w:sz w:val="16"/>
          <w:szCs w:val="16"/>
          <w:color w:val="auto"/>
        </w:rPr>
        <w:t>the Company’s reliance on contracts with the U.S. Government, which are dependent on U.S. Government funding and can be terminated for convenience, and the Company’s ability to negotate favorable contract terms;</w:t>
      </w:r>
    </w:p>
    <w:p>
      <w:pPr>
        <w:ind w:left="260" w:right="400" w:hanging="153"/>
        <w:spacing w:after="0" w:line="210" w:lineRule="auto"/>
        <w:tabs>
          <w:tab w:leader="none" w:pos="260" w:val="left"/>
        </w:tabs>
        <w:numPr>
          <w:ilvl w:val="0"/>
          <w:numId w:val="123"/>
        </w:numPr>
        <w:rPr>
          <w:rFonts w:ascii="Calibri" w:cs="Calibri" w:eastAsia="Calibri" w:hAnsi="Calibri"/>
          <w:sz w:val="16"/>
          <w:szCs w:val="16"/>
          <w:color w:val="003478"/>
        </w:rPr>
      </w:pPr>
      <w:r>
        <w:rPr>
          <w:rFonts w:ascii="Calibri" w:cs="Calibri" w:eastAsia="Calibri" w:hAnsi="Calibri"/>
          <w:sz w:val="16"/>
          <w:szCs w:val="16"/>
          <w:color w:val="auto"/>
        </w:rPr>
        <w:t>risks related to the development, producton, sustainment, performance, schedule, cost and requirements of complex and technologically advanced programs, including the F-35 program;</w:t>
      </w:r>
    </w:p>
    <w:p>
      <w:pPr>
        <w:ind w:left="260" w:right="120" w:hanging="153"/>
        <w:spacing w:after="0" w:line="207" w:lineRule="auto"/>
        <w:tabs>
          <w:tab w:leader="none" w:pos="260" w:val="left"/>
        </w:tabs>
        <w:numPr>
          <w:ilvl w:val="0"/>
          <w:numId w:val="123"/>
        </w:numPr>
        <w:rPr>
          <w:rFonts w:ascii="Calibri" w:cs="Calibri" w:eastAsia="Calibri" w:hAnsi="Calibri"/>
          <w:sz w:val="16"/>
          <w:szCs w:val="16"/>
          <w:color w:val="003478"/>
        </w:rPr>
      </w:pPr>
      <w:r>
        <w:rPr>
          <w:rFonts w:ascii="Calibri" w:cs="Calibri" w:eastAsia="Calibri" w:hAnsi="Calibri"/>
          <w:sz w:val="16"/>
          <w:szCs w:val="16"/>
          <w:color w:val="auto"/>
        </w:rPr>
        <w:t>planned producton rates and orders for signifcant programs, compliance with stringent performance and reliability standards, and materials availability;</w:t>
      </w:r>
    </w:p>
    <w:p>
      <w:pPr>
        <w:ind w:left="260" w:right="160" w:hanging="153"/>
        <w:spacing w:after="0" w:line="204" w:lineRule="auto"/>
        <w:tabs>
          <w:tab w:leader="none" w:pos="260" w:val="left"/>
        </w:tabs>
        <w:numPr>
          <w:ilvl w:val="0"/>
          <w:numId w:val="123"/>
        </w:numPr>
        <w:rPr>
          <w:rFonts w:ascii="Calibri" w:cs="Calibri" w:eastAsia="Calibri" w:hAnsi="Calibri"/>
          <w:sz w:val="16"/>
          <w:szCs w:val="16"/>
          <w:color w:val="003478"/>
        </w:rPr>
      </w:pPr>
      <w:r>
        <w:rPr>
          <w:rFonts w:ascii="Calibri" w:cs="Calibri" w:eastAsia="Calibri" w:hAnsi="Calibri"/>
          <w:sz w:val="16"/>
          <w:szCs w:val="16"/>
          <w:color w:val="auto"/>
        </w:rPr>
        <w:t>the tming of contract awards or delays in contract defnitzaton as well as the tming and customer acceptance of product deliveries and performance milestones;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158" w:right="520" w:hanging="158"/>
        <w:spacing w:after="0" w:line="218" w:lineRule="auto"/>
        <w:tabs>
          <w:tab w:leader="none" w:pos="157" w:val="left"/>
        </w:tabs>
        <w:numPr>
          <w:ilvl w:val="0"/>
          <w:numId w:val="124"/>
        </w:numPr>
        <w:rPr>
          <w:rFonts w:ascii="Calibri" w:cs="Calibri" w:eastAsia="Calibri" w:hAnsi="Calibri"/>
          <w:sz w:val="16"/>
          <w:szCs w:val="16"/>
          <w:color w:val="auto"/>
        </w:rPr>
      </w:pPr>
      <w:r>
        <w:rPr>
          <w:rFonts w:ascii="Calibri" w:cs="Calibri" w:eastAsia="Calibri" w:hAnsi="Calibri"/>
          <w:sz w:val="16"/>
          <w:szCs w:val="16"/>
          <w:color w:val="auto"/>
        </w:rPr>
        <w:t>changes in foreign natonal priorites and foreign government budgets and planned orders, including the impact of a strengthening U.S. dollar;</w:t>
      </w:r>
    </w:p>
    <w:p>
      <w:pPr>
        <w:ind w:left="158" w:right="100" w:hanging="158"/>
        <w:spacing w:after="0" w:line="215" w:lineRule="auto"/>
        <w:tabs>
          <w:tab w:leader="none" w:pos="157" w:val="left"/>
        </w:tabs>
        <w:numPr>
          <w:ilvl w:val="0"/>
          <w:numId w:val="124"/>
        </w:numPr>
        <w:rPr>
          <w:rFonts w:ascii="Calibri" w:cs="Calibri" w:eastAsia="Calibri" w:hAnsi="Calibri"/>
          <w:sz w:val="16"/>
          <w:szCs w:val="16"/>
          <w:color w:val="auto"/>
        </w:rPr>
      </w:pPr>
      <w:r>
        <w:rPr>
          <w:rFonts w:ascii="Calibri" w:cs="Calibri" w:eastAsia="Calibri" w:hAnsi="Calibri"/>
          <w:sz w:val="16"/>
          <w:szCs w:val="16"/>
          <w:color w:val="auto"/>
        </w:rPr>
        <w:t>the compettve environment for the Company’s products and services, including competton from startups and non-traditonal defense contractors;</w:t>
      </w:r>
    </w:p>
    <w:p>
      <w:pPr>
        <w:spacing w:after="0" w:line="1" w:lineRule="exact"/>
        <w:rPr>
          <w:rFonts w:ascii="Calibri" w:cs="Calibri" w:eastAsia="Calibri" w:hAnsi="Calibri"/>
          <w:sz w:val="16"/>
          <w:szCs w:val="16"/>
          <w:color w:val="auto"/>
        </w:rPr>
      </w:pPr>
    </w:p>
    <w:p>
      <w:pPr>
        <w:ind w:left="158" w:right="200" w:hanging="158"/>
        <w:spacing w:after="0" w:line="207" w:lineRule="auto"/>
        <w:tabs>
          <w:tab w:leader="none" w:pos="157" w:val="left"/>
        </w:tabs>
        <w:numPr>
          <w:ilvl w:val="0"/>
          <w:numId w:val="124"/>
        </w:numPr>
        <w:rPr>
          <w:rFonts w:ascii="Calibri" w:cs="Calibri" w:eastAsia="Calibri" w:hAnsi="Calibri"/>
          <w:sz w:val="16"/>
          <w:szCs w:val="16"/>
          <w:color w:val="auto"/>
        </w:rPr>
      </w:pPr>
      <w:r>
        <w:rPr>
          <w:rFonts w:ascii="Calibri" w:cs="Calibri" w:eastAsia="Calibri" w:hAnsi="Calibri"/>
          <w:sz w:val="16"/>
          <w:szCs w:val="16"/>
          <w:color w:val="auto"/>
        </w:rPr>
        <w:t>the Company’s ability to develop and commercialize new technologies and products, including emerging digital and network technologies and capabilites;</w:t>
      </w:r>
    </w:p>
    <w:p>
      <w:pPr>
        <w:ind w:left="158" w:right="200" w:hanging="158"/>
        <w:spacing w:after="0" w:line="207" w:lineRule="auto"/>
        <w:tabs>
          <w:tab w:leader="none" w:pos="157" w:val="left"/>
        </w:tabs>
        <w:numPr>
          <w:ilvl w:val="0"/>
          <w:numId w:val="124"/>
        </w:numPr>
        <w:rPr>
          <w:rFonts w:ascii="Calibri" w:cs="Calibri" w:eastAsia="Calibri" w:hAnsi="Calibri"/>
          <w:sz w:val="16"/>
          <w:szCs w:val="16"/>
          <w:color w:val="auto"/>
        </w:rPr>
      </w:pPr>
      <w:r>
        <w:rPr>
          <w:rFonts w:ascii="Calibri" w:cs="Calibri" w:eastAsia="Calibri" w:hAnsi="Calibri"/>
          <w:sz w:val="16"/>
          <w:szCs w:val="16"/>
          <w:color w:val="auto"/>
        </w:rPr>
        <w:t>the Company’s ability to beneft fully from or adequately protect its intellectual property rights;</w:t>
      </w:r>
    </w:p>
    <w:p>
      <w:pPr>
        <w:ind w:left="158" w:right="140" w:hanging="158"/>
        <w:spacing w:after="0" w:line="207" w:lineRule="auto"/>
        <w:tabs>
          <w:tab w:leader="none" w:pos="157" w:val="left"/>
        </w:tabs>
        <w:numPr>
          <w:ilvl w:val="0"/>
          <w:numId w:val="124"/>
        </w:numPr>
        <w:rPr>
          <w:rFonts w:ascii="Calibri" w:cs="Calibri" w:eastAsia="Calibri" w:hAnsi="Calibri"/>
          <w:sz w:val="16"/>
          <w:szCs w:val="16"/>
          <w:color w:val="auto"/>
        </w:rPr>
      </w:pPr>
      <w:r>
        <w:rPr>
          <w:rFonts w:ascii="Calibri" w:cs="Calibri" w:eastAsia="Calibri" w:hAnsi="Calibri"/>
          <w:sz w:val="16"/>
          <w:szCs w:val="16"/>
          <w:color w:val="auto"/>
        </w:rPr>
        <w:t>the Company’s ability to atract and retain a highly skilled workforce, the impact of work stoppages or other labor disruptons;</w:t>
      </w:r>
    </w:p>
    <w:p>
      <w:pPr>
        <w:ind w:left="158" w:right="180" w:hanging="158"/>
        <w:spacing w:after="0" w:line="207" w:lineRule="auto"/>
        <w:tabs>
          <w:tab w:leader="none" w:pos="157" w:val="left"/>
        </w:tabs>
        <w:numPr>
          <w:ilvl w:val="0"/>
          <w:numId w:val="124"/>
        </w:numPr>
        <w:rPr>
          <w:rFonts w:ascii="Calibri" w:cs="Calibri" w:eastAsia="Calibri" w:hAnsi="Calibri"/>
          <w:sz w:val="16"/>
          <w:szCs w:val="16"/>
          <w:color w:val="auto"/>
        </w:rPr>
      </w:pPr>
      <w:r>
        <w:rPr>
          <w:rFonts w:ascii="Calibri" w:cs="Calibri" w:eastAsia="Calibri" w:hAnsi="Calibri"/>
          <w:sz w:val="16"/>
          <w:szCs w:val="16"/>
          <w:color w:val="auto"/>
        </w:rPr>
        <w:t>cyber or other security threats or other disruptons faced by the Company or its suppliers;</w:t>
      </w:r>
    </w:p>
    <w:p>
      <w:pPr>
        <w:ind w:left="158" w:right="140" w:hanging="158"/>
        <w:spacing w:after="0" w:line="207" w:lineRule="auto"/>
        <w:tabs>
          <w:tab w:leader="none" w:pos="157" w:val="left"/>
        </w:tabs>
        <w:numPr>
          <w:ilvl w:val="0"/>
          <w:numId w:val="124"/>
        </w:numPr>
        <w:rPr>
          <w:rFonts w:ascii="Calibri" w:cs="Calibri" w:eastAsia="Calibri" w:hAnsi="Calibri"/>
          <w:sz w:val="16"/>
          <w:szCs w:val="16"/>
          <w:color w:val="auto"/>
        </w:rPr>
      </w:pPr>
      <w:r>
        <w:rPr>
          <w:rFonts w:ascii="Calibri" w:cs="Calibri" w:eastAsia="Calibri" w:hAnsi="Calibri"/>
          <w:sz w:val="16"/>
          <w:szCs w:val="16"/>
          <w:color w:val="auto"/>
        </w:rPr>
        <w:t>the Company’s ability to implement and contnue, and the tming and impact of, capitalizaton changes such as share repurchases, dividend payments and</w:t>
      </w:r>
    </w:p>
    <w:p>
      <w:pPr>
        <w:spacing w:after="0" w:line="1" w:lineRule="exact"/>
        <w:rPr>
          <w:sz w:val="20"/>
          <w:szCs w:val="20"/>
          <w:color w:val="auto"/>
        </w:rPr>
      </w:pPr>
    </w:p>
    <w:p>
      <w:pPr>
        <w:sectPr>
          <w:pgSz w:w="11900" w:h="16838" w:orient="portrait"/>
          <w:cols w:equalWidth="0" w:num="2">
            <w:col w:w="5540" w:space="142"/>
            <w:col w:w="5558"/>
          </w:cols>
          <w:pgMar w:left="320" w:top="230" w:right="339" w:bottom="1440" w:gutter="0" w:footer="0" w:header="0"/>
          <w:type w:val="continuous"/>
        </w:sectPr>
      </w:pPr>
    </w:p>
    <w:p>
      <w:pPr>
        <w:ind w:left="260" w:right="100" w:hanging="153"/>
        <w:spacing w:after="0" w:line="215" w:lineRule="auto"/>
        <w:tabs>
          <w:tab w:leader="none" w:pos="260" w:val="left"/>
        </w:tabs>
        <w:numPr>
          <w:ilvl w:val="0"/>
          <w:numId w:val="125"/>
        </w:numPr>
        <w:rPr>
          <w:rFonts w:ascii="Calibri" w:cs="Calibri" w:eastAsia="Calibri" w:hAnsi="Calibri"/>
          <w:sz w:val="16"/>
          <w:szCs w:val="16"/>
          <w:color w:val="003478"/>
        </w:rPr>
      </w:pPr>
      <w:r>
        <w:rPr>
          <w:rFonts w:ascii="Calibri" w:cs="Calibri" w:eastAsia="Calibri" w:hAnsi="Calibri"/>
          <w:sz w:val="16"/>
          <w:szCs w:val="16"/>
          <w:color w:val="auto"/>
        </w:rPr>
        <w:t>the Company’s ability to recover costs under U.S. Government contracts and the mix of fxed-price and cost-reimbursable contracts;</w:t>
      </w:r>
    </w:p>
    <w:p>
      <w:pPr>
        <w:spacing w:after="0" w:line="1" w:lineRule="exact"/>
        <w:rPr>
          <w:rFonts w:ascii="Calibri" w:cs="Calibri" w:eastAsia="Calibri" w:hAnsi="Calibri"/>
          <w:sz w:val="16"/>
          <w:szCs w:val="16"/>
          <w:color w:val="003478"/>
        </w:rPr>
      </w:pPr>
    </w:p>
    <w:p>
      <w:pPr>
        <w:ind w:left="260" w:right="20" w:hanging="153"/>
        <w:spacing w:after="0" w:line="207" w:lineRule="auto"/>
        <w:tabs>
          <w:tab w:leader="none" w:pos="260" w:val="left"/>
        </w:tabs>
        <w:numPr>
          <w:ilvl w:val="0"/>
          <w:numId w:val="125"/>
        </w:numPr>
        <w:rPr>
          <w:rFonts w:ascii="Calibri" w:cs="Calibri" w:eastAsia="Calibri" w:hAnsi="Calibri"/>
          <w:sz w:val="16"/>
          <w:szCs w:val="16"/>
          <w:color w:val="003478"/>
        </w:rPr>
      </w:pPr>
      <w:r>
        <w:rPr>
          <w:rFonts w:ascii="Calibri" w:cs="Calibri" w:eastAsia="Calibri" w:hAnsi="Calibri"/>
          <w:sz w:val="16"/>
          <w:szCs w:val="16"/>
          <w:color w:val="auto"/>
        </w:rPr>
        <w:t>customer procurement policies that shif risk to contractors, including compettvely bid programs with fxed-price development work or follow-on producton optons or other fnancial risks; and the impact of investments, cost overruns or other cost pressures and performance issues on fxed price contracts;</w:t>
      </w:r>
    </w:p>
    <w:p>
      <w:pPr>
        <w:spacing w:after="0" w:line="1" w:lineRule="exact"/>
        <w:rPr>
          <w:rFonts w:ascii="Calibri" w:cs="Calibri" w:eastAsia="Calibri" w:hAnsi="Calibri"/>
          <w:sz w:val="16"/>
          <w:szCs w:val="16"/>
          <w:color w:val="003478"/>
        </w:rPr>
      </w:pPr>
    </w:p>
    <w:p>
      <w:pPr>
        <w:ind w:left="260" w:hanging="153"/>
        <w:spacing w:after="0" w:line="210" w:lineRule="auto"/>
        <w:tabs>
          <w:tab w:leader="none" w:pos="260" w:val="left"/>
        </w:tabs>
        <w:numPr>
          <w:ilvl w:val="0"/>
          <w:numId w:val="125"/>
        </w:numPr>
        <w:rPr>
          <w:rFonts w:ascii="Calibri" w:cs="Calibri" w:eastAsia="Calibri" w:hAnsi="Calibri"/>
          <w:sz w:val="16"/>
          <w:szCs w:val="16"/>
          <w:color w:val="003478"/>
        </w:rPr>
      </w:pPr>
      <w:r>
        <w:rPr>
          <w:rFonts w:ascii="Calibri" w:cs="Calibri" w:eastAsia="Calibri" w:hAnsi="Calibri"/>
          <w:sz w:val="16"/>
          <w:szCs w:val="16"/>
          <w:color w:val="auto"/>
        </w:rPr>
        <w:t>changes in procurement and other regulatons and policies afectng the Company’s industry, export of its products, cost allowability or recovery, preferred contract type, and performance and progress payments policy;</w:t>
      </w:r>
    </w:p>
    <w:p>
      <w:pPr>
        <w:ind w:left="260" w:right="300" w:hanging="153"/>
        <w:spacing w:after="0" w:line="207" w:lineRule="auto"/>
        <w:tabs>
          <w:tab w:leader="none" w:pos="260" w:val="left"/>
        </w:tabs>
        <w:numPr>
          <w:ilvl w:val="0"/>
          <w:numId w:val="125"/>
        </w:numPr>
        <w:rPr>
          <w:rFonts w:ascii="Calibri" w:cs="Calibri" w:eastAsia="Calibri" w:hAnsi="Calibri"/>
          <w:sz w:val="16"/>
          <w:szCs w:val="16"/>
          <w:color w:val="003478"/>
        </w:rPr>
      </w:pPr>
      <w:r>
        <w:rPr>
          <w:rFonts w:ascii="Calibri" w:cs="Calibri" w:eastAsia="Calibri" w:hAnsi="Calibri"/>
          <w:sz w:val="16"/>
          <w:szCs w:val="16"/>
          <w:color w:val="auto"/>
        </w:rPr>
        <w:t>performance and fnancial viability of key suppliers, teammates, joint venture partners, subcontractors and customers;</w:t>
      </w:r>
    </w:p>
    <w:p>
      <w:pPr>
        <w:ind w:left="260" w:right="260" w:hanging="153"/>
        <w:spacing w:after="0" w:line="207" w:lineRule="auto"/>
        <w:tabs>
          <w:tab w:leader="none" w:pos="260" w:val="left"/>
        </w:tabs>
        <w:numPr>
          <w:ilvl w:val="0"/>
          <w:numId w:val="125"/>
        </w:numPr>
        <w:rPr>
          <w:rFonts w:ascii="Calibri" w:cs="Calibri" w:eastAsia="Calibri" w:hAnsi="Calibri"/>
          <w:sz w:val="16"/>
          <w:szCs w:val="16"/>
          <w:color w:val="003478"/>
        </w:rPr>
      </w:pPr>
      <w:r>
        <w:rPr>
          <w:rFonts w:ascii="Calibri" w:cs="Calibri" w:eastAsia="Calibri" w:hAnsi="Calibri"/>
          <w:sz w:val="16"/>
          <w:szCs w:val="16"/>
          <w:color w:val="auto"/>
        </w:rPr>
        <w:t>economic, industry, business and politcal conditons including their efects on governmental policy;</w:t>
      </w:r>
    </w:p>
    <w:p>
      <w:pPr>
        <w:ind w:left="260" w:hanging="153"/>
        <w:spacing w:after="0" w:line="215" w:lineRule="auto"/>
        <w:tabs>
          <w:tab w:leader="none" w:pos="260" w:val="left"/>
        </w:tabs>
        <w:numPr>
          <w:ilvl w:val="0"/>
          <w:numId w:val="125"/>
        </w:numPr>
        <w:rPr>
          <w:rFonts w:ascii="Calibri" w:cs="Calibri" w:eastAsia="Calibri" w:hAnsi="Calibri"/>
          <w:sz w:val="16"/>
          <w:szCs w:val="16"/>
          <w:color w:val="003478"/>
        </w:rPr>
      </w:pPr>
      <w:r>
        <w:rPr>
          <w:rFonts w:ascii="Calibri" w:cs="Calibri" w:eastAsia="Calibri" w:hAnsi="Calibri"/>
          <w:sz w:val="16"/>
          <w:szCs w:val="16"/>
          <w:color w:val="auto"/>
        </w:rPr>
        <w:t>the impact of infaton and other cost pressures;</w:t>
      </w:r>
    </w:p>
    <w:p>
      <w:pPr>
        <w:ind w:left="260" w:right="160" w:hanging="153"/>
        <w:spacing w:after="0" w:line="207" w:lineRule="auto"/>
        <w:tabs>
          <w:tab w:leader="none" w:pos="260" w:val="left"/>
        </w:tabs>
        <w:numPr>
          <w:ilvl w:val="0"/>
          <w:numId w:val="125"/>
        </w:numPr>
        <w:rPr>
          <w:rFonts w:ascii="Calibri" w:cs="Calibri" w:eastAsia="Calibri" w:hAnsi="Calibri"/>
          <w:sz w:val="16"/>
          <w:szCs w:val="16"/>
          <w:color w:val="003478"/>
        </w:rPr>
      </w:pPr>
      <w:r>
        <w:rPr>
          <w:rFonts w:ascii="Calibri" w:cs="Calibri" w:eastAsia="Calibri" w:hAnsi="Calibri"/>
          <w:sz w:val="16"/>
          <w:szCs w:val="16"/>
          <w:color w:val="auto"/>
        </w:rPr>
        <w:t>the impact of COVID-19 or future epidemics on the Company’s business and fnancial results, including supply chain disruptons and delays, labor challenges associated with employee absences, quarantne restrictons, travel restrictons, site access, program delays, and changes in customer payment policies;</w:t>
      </w:r>
    </w:p>
    <w:p>
      <w:pPr>
        <w:spacing w:after="0" w:line="1" w:lineRule="exact"/>
        <w:rPr>
          <w:rFonts w:ascii="Calibri" w:cs="Calibri" w:eastAsia="Calibri" w:hAnsi="Calibri"/>
          <w:sz w:val="16"/>
          <w:szCs w:val="16"/>
          <w:color w:val="003478"/>
        </w:rPr>
      </w:pPr>
    </w:p>
    <w:p>
      <w:pPr>
        <w:ind w:left="260" w:right="120" w:hanging="153"/>
        <w:spacing w:after="0" w:line="210" w:lineRule="auto"/>
        <w:tabs>
          <w:tab w:leader="none" w:pos="260" w:val="left"/>
        </w:tabs>
        <w:numPr>
          <w:ilvl w:val="0"/>
          <w:numId w:val="125"/>
        </w:numPr>
        <w:rPr>
          <w:rFonts w:ascii="Calibri" w:cs="Calibri" w:eastAsia="Calibri" w:hAnsi="Calibri"/>
          <w:sz w:val="16"/>
          <w:szCs w:val="16"/>
          <w:color w:val="003478"/>
        </w:rPr>
      </w:pPr>
      <w:r>
        <w:rPr>
          <w:rFonts w:ascii="Calibri" w:cs="Calibri" w:eastAsia="Calibri" w:hAnsi="Calibri"/>
          <w:sz w:val="16"/>
          <w:szCs w:val="16"/>
          <w:color w:val="auto"/>
        </w:rPr>
        <w:t>government actons that disrupt the Company’s supply chain or prevent the sale or delivery of its products (such as delays in approvals for exports requiring Congressional notfcaton);</w:t>
      </w:r>
    </w:p>
    <w:p>
      <w:pPr>
        <w:ind w:left="260" w:right="100" w:hanging="153"/>
        <w:spacing w:after="0" w:line="207" w:lineRule="auto"/>
        <w:tabs>
          <w:tab w:leader="none" w:pos="260" w:val="left"/>
        </w:tabs>
        <w:numPr>
          <w:ilvl w:val="0"/>
          <w:numId w:val="125"/>
        </w:numPr>
        <w:rPr>
          <w:rFonts w:ascii="Calibri" w:cs="Calibri" w:eastAsia="Calibri" w:hAnsi="Calibri"/>
          <w:sz w:val="16"/>
          <w:szCs w:val="16"/>
          <w:color w:val="003478"/>
        </w:rPr>
      </w:pPr>
      <w:r>
        <w:rPr>
          <w:rFonts w:ascii="Calibri" w:cs="Calibri" w:eastAsia="Calibri" w:hAnsi="Calibri"/>
          <w:sz w:val="16"/>
          <w:szCs w:val="16"/>
          <w:color w:val="auto"/>
        </w:rPr>
        <w:t>trade policies or sanctons (including Chinese sanctons on the Company or its suppliers, teammates or partners, U.S. Government sanctons on Türkish enttes and persons, and potental indirect efects of sanctons on Russia to the Company’s supply chain);</w:t>
      </w:r>
    </w:p>
    <w:p>
      <w:pPr>
        <w:spacing w:after="0" w:line="1" w:lineRule="exact"/>
        <w:rPr>
          <w:rFonts w:ascii="Calibri" w:cs="Calibri" w:eastAsia="Calibri" w:hAnsi="Calibri"/>
          <w:sz w:val="16"/>
          <w:szCs w:val="16"/>
          <w:color w:val="003478"/>
        </w:rPr>
      </w:pPr>
    </w:p>
    <w:p>
      <w:pPr>
        <w:ind w:left="260" w:right="240" w:hanging="153"/>
        <w:spacing w:after="0" w:line="215" w:lineRule="auto"/>
        <w:tabs>
          <w:tab w:leader="none" w:pos="260" w:val="left"/>
        </w:tabs>
        <w:numPr>
          <w:ilvl w:val="0"/>
          <w:numId w:val="125"/>
        </w:numPr>
        <w:rPr>
          <w:rFonts w:ascii="Calibri" w:cs="Calibri" w:eastAsia="Calibri" w:hAnsi="Calibri"/>
          <w:sz w:val="16"/>
          <w:szCs w:val="16"/>
          <w:color w:val="002E6D"/>
        </w:rPr>
      </w:pPr>
      <w:r>
        <w:rPr>
          <w:rFonts w:ascii="Calibri" w:cs="Calibri" w:eastAsia="Calibri" w:hAnsi="Calibri"/>
          <w:sz w:val="16"/>
          <w:szCs w:val="16"/>
          <w:color w:val="auto"/>
        </w:rPr>
        <w:t>the Company’s success expanding into and doing business in adjacent markets and internatonally and the risks posed by internatonal sales;</w:t>
      </w:r>
    </w:p>
    <w:p>
      <w:pPr>
        <w:spacing w:after="0" w:line="20" w:lineRule="exact"/>
        <w:rPr>
          <w:sz w:val="20"/>
          <w:szCs w:val="20"/>
          <w:color w:val="auto"/>
        </w:rPr>
      </w:pPr>
      <w:r>
        <w:rPr>
          <w:sz w:val="20"/>
          <w:szCs w:val="20"/>
          <w:color w:val="auto"/>
        </w:rPr>
        <w:br w:type="column"/>
      </w:r>
    </w:p>
    <w:p>
      <w:pPr>
        <w:ind w:left="158"/>
        <w:spacing w:after="0" w:line="216" w:lineRule="auto"/>
        <w:rPr>
          <w:sz w:val="20"/>
          <w:szCs w:val="20"/>
          <w:color w:val="auto"/>
        </w:rPr>
      </w:pPr>
      <w:r>
        <w:rPr>
          <w:rFonts w:ascii="Calibri" w:cs="Calibri" w:eastAsia="Calibri" w:hAnsi="Calibri"/>
          <w:sz w:val="16"/>
          <w:szCs w:val="16"/>
          <w:color w:val="auto"/>
        </w:rPr>
        <w:t>fnancing transactons;</w:t>
      </w:r>
    </w:p>
    <w:p>
      <w:pPr>
        <w:ind w:left="158" w:hanging="158"/>
        <w:spacing w:after="0" w:line="216" w:lineRule="auto"/>
        <w:tabs>
          <w:tab w:leader="none" w:pos="158" w:val="left"/>
        </w:tabs>
        <w:numPr>
          <w:ilvl w:val="0"/>
          <w:numId w:val="126"/>
        </w:numPr>
        <w:rPr>
          <w:rFonts w:ascii="Calibri" w:cs="Calibri" w:eastAsia="Calibri" w:hAnsi="Calibri"/>
          <w:sz w:val="16"/>
          <w:szCs w:val="16"/>
          <w:color w:val="auto"/>
        </w:rPr>
      </w:pPr>
      <w:r>
        <w:rPr>
          <w:rFonts w:ascii="Calibri" w:cs="Calibri" w:eastAsia="Calibri" w:hAnsi="Calibri"/>
          <w:sz w:val="16"/>
          <w:szCs w:val="16"/>
          <w:color w:val="auto"/>
        </w:rPr>
        <w:t>the Company’s ability to meet its ESG goals and targets;</w:t>
      </w:r>
    </w:p>
    <w:p>
      <w:pPr>
        <w:ind w:left="158" w:hanging="158"/>
        <w:spacing w:after="0" w:line="199" w:lineRule="auto"/>
        <w:tabs>
          <w:tab w:leader="none" w:pos="158" w:val="left"/>
        </w:tabs>
        <w:numPr>
          <w:ilvl w:val="0"/>
          <w:numId w:val="126"/>
        </w:numPr>
        <w:rPr>
          <w:rFonts w:ascii="Calibri" w:cs="Calibri" w:eastAsia="Calibri" w:hAnsi="Calibri"/>
          <w:sz w:val="16"/>
          <w:szCs w:val="16"/>
          <w:color w:val="auto"/>
        </w:rPr>
      </w:pPr>
      <w:r>
        <w:rPr>
          <w:rFonts w:ascii="Calibri" w:cs="Calibri" w:eastAsia="Calibri" w:hAnsi="Calibri"/>
          <w:sz w:val="16"/>
          <w:szCs w:val="16"/>
          <w:color w:val="auto"/>
        </w:rPr>
        <w:t>the accuracy of the Company’s estmates and projectons;</w:t>
      </w:r>
    </w:p>
    <w:p>
      <w:pPr>
        <w:ind w:left="158" w:right="160" w:hanging="158"/>
        <w:spacing w:after="0" w:line="209" w:lineRule="auto"/>
        <w:tabs>
          <w:tab w:leader="none" w:pos="157" w:val="left"/>
        </w:tabs>
        <w:numPr>
          <w:ilvl w:val="0"/>
          <w:numId w:val="126"/>
        </w:numPr>
        <w:rPr>
          <w:rFonts w:ascii="Calibri" w:cs="Calibri" w:eastAsia="Calibri" w:hAnsi="Calibri"/>
          <w:sz w:val="16"/>
          <w:szCs w:val="16"/>
          <w:color w:val="auto"/>
        </w:rPr>
      </w:pPr>
      <w:r>
        <w:rPr>
          <w:rFonts w:ascii="Calibri" w:cs="Calibri" w:eastAsia="Calibri" w:hAnsi="Calibri"/>
          <w:sz w:val="16"/>
          <w:szCs w:val="16"/>
          <w:color w:val="auto"/>
        </w:rPr>
        <w:t>the impact of pension risk transfers, including potental noncash setlement charges, tming and estmates regarding pension funding and movements in interest rates and other changes that may afect pension plan assumptons, stockholders’ equity, the level of the FAS/CAS adjustment, and actual returns on pension plan assets;</w:t>
      </w:r>
    </w:p>
    <w:p>
      <w:pPr>
        <w:jc w:val="both"/>
        <w:ind w:left="158" w:right="20" w:hanging="158"/>
        <w:spacing w:after="0" w:line="210" w:lineRule="auto"/>
        <w:tabs>
          <w:tab w:leader="none" w:pos="157" w:val="left"/>
        </w:tabs>
        <w:numPr>
          <w:ilvl w:val="0"/>
          <w:numId w:val="126"/>
        </w:numPr>
        <w:rPr>
          <w:rFonts w:ascii="Calibri" w:cs="Calibri" w:eastAsia="Calibri" w:hAnsi="Calibri"/>
          <w:sz w:val="16"/>
          <w:szCs w:val="16"/>
          <w:color w:val="auto"/>
        </w:rPr>
      </w:pPr>
      <w:r>
        <w:rPr>
          <w:rFonts w:ascii="Calibri" w:cs="Calibri" w:eastAsia="Calibri" w:hAnsi="Calibri"/>
          <w:sz w:val="16"/>
          <w:szCs w:val="16"/>
          <w:color w:val="auto"/>
        </w:rPr>
        <w:t>realizing the antcipated benefts of acquisitons or divesttures, investments, joint ventures, teaming arrangements or internal reorganizatons, and market volatlity afectng the fair value of investments that are marked to market;</w:t>
      </w:r>
    </w:p>
    <w:p>
      <w:pPr>
        <w:jc w:val="both"/>
        <w:ind w:left="158" w:right="60" w:hanging="158"/>
        <w:spacing w:after="0" w:line="210" w:lineRule="auto"/>
        <w:tabs>
          <w:tab w:leader="none" w:pos="157" w:val="left"/>
        </w:tabs>
        <w:numPr>
          <w:ilvl w:val="0"/>
          <w:numId w:val="126"/>
        </w:numPr>
        <w:rPr>
          <w:rFonts w:ascii="Calibri" w:cs="Calibri" w:eastAsia="Calibri" w:hAnsi="Calibri"/>
          <w:sz w:val="16"/>
          <w:szCs w:val="16"/>
          <w:color w:val="auto"/>
        </w:rPr>
      </w:pPr>
      <w:r>
        <w:rPr>
          <w:rFonts w:ascii="Calibri" w:cs="Calibri" w:eastAsia="Calibri" w:hAnsi="Calibri"/>
          <w:sz w:val="16"/>
          <w:szCs w:val="16"/>
          <w:color w:val="auto"/>
        </w:rPr>
        <w:t>the Company’s eforts to increase the efciency of its operatons and improve the afordability of its products and services, including through digital transformaton and cost reducton initatves;</w:t>
      </w:r>
    </w:p>
    <w:p>
      <w:pPr>
        <w:ind w:left="158" w:right="540" w:hanging="158"/>
        <w:spacing w:after="0" w:line="207" w:lineRule="auto"/>
        <w:tabs>
          <w:tab w:leader="none" w:pos="157" w:val="left"/>
        </w:tabs>
        <w:numPr>
          <w:ilvl w:val="0"/>
          <w:numId w:val="126"/>
        </w:numPr>
        <w:rPr>
          <w:rFonts w:ascii="Calibri" w:cs="Calibri" w:eastAsia="Calibri" w:hAnsi="Calibri"/>
          <w:sz w:val="16"/>
          <w:szCs w:val="16"/>
          <w:color w:val="auto"/>
        </w:rPr>
      </w:pPr>
      <w:r>
        <w:rPr>
          <w:rFonts w:ascii="Calibri" w:cs="Calibri" w:eastAsia="Calibri" w:hAnsi="Calibri"/>
          <w:sz w:val="16"/>
          <w:szCs w:val="16"/>
          <w:color w:val="auto"/>
        </w:rPr>
        <w:t>the risk of an impairment of the Company’s assets, including the potental impairment of goodwill recorded at the Sikorsky line of business;</w:t>
      </w:r>
    </w:p>
    <w:p>
      <w:pPr>
        <w:ind w:left="158" w:hanging="158"/>
        <w:spacing w:after="0" w:line="215" w:lineRule="auto"/>
        <w:tabs>
          <w:tab w:leader="none" w:pos="158" w:val="left"/>
        </w:tabs>
        <w:numPr>
          <w:ilvl w:val="0"/>
          <w:numId w:val="126"/>
        </w:numPr>
        <w:rPr>
          <w:rFonts w:ascii="Calibri" w:cs="Calibri" w:eastAsia="Calibri" w:hAnsi="Calibri"/>
          <w:sz w:val="16"/>
          <w:szCs w:val="16"/>
          <w:color w:val="auto"/>
        </w:rPr>
      </w:pPr>
      <w:r>
        <w:rPr>
          <w:rFonts w:ascii="Calibri" w:cs="Calibri" w:eastAsia="Calibri" w:hAnsi="Calibri"/>
          <w:sz w:val="16"/>
          <w:szCs w:val="16"/>
          <w:color w:val="auto"/>
        </w:rPr>
        <w:t>the availability and adequacy of the Company’s insurance and indemnites;</w:t>
      </w:r>
    </w:p>
    <w:p>
      <w:pPr>
        <w:ind w:left="158" w:right="240" w:hanging="158"/>
        <w:spacing w:after="0" w:line="207" w:lineRule="auto"/>
        <w:tabs>
          <w:tab w:leader="none" w:pos="157" w:val="left"/>
        </w:tabs>
        <w:numPr>
          <w:ilvl w:val="0"/>
          <w:numId w:val="126"/>
        </w:numPr>
        <w:rPr>
          <w:rFonts w:ascii="Calibri" w:cs="Calibri" w:eastAsia="Calibri" w:hAnsi="Calibri"/>
          <w:sz w:val="16"/>
          <w:szCs w:val="16"/>
          <w:color w:val="auto"/>
        </w:rPr>
      </w:pPr>
      <w:r>
        <w:rPr>
          <w:rFonts w:ascii="Calibri" w:cs="Calibri" w:eastAsia="Calibri" w:hAnsi="Calibri"/>
          <w:sz w:val="16"/>
          <w:szCs w:val="16"/>
          <w:color w:val="auto"/>
        </w:rPr>
        <w:t>impacts of climate change and compliance with laws, regulatons, policies, and customer requirements in response to climate change concerns;</w:t>
      </w:r>
    </w:p>
    <w:p>
      <w:pPr>
        <w:ind w:left="158" w:right="140" w:hanging="158"/>
        <w:spacing w:after="0" w:line="207" w:lineRule="auto"/>
        <w:tabs>
          <w:tab w:leader="none" w:pos="157" w:val="left"/>
        </w:tabs>
        <w:numPr>
          <w:ilvl w:val="0"/>
          <w:numId w:val="126"/>
        </w:numPr>
        <w:rPr>
          <w:rFonts w:ascii="Calibri" w:cs="Calibri" w:eastAsia="Calibri" w:hAnsi="Calibri"/>
          <w:sz w:val="16"/>
          <w:szCs w:val="16"/>
          <w:color w:val="auto"/>
        </w:rPr>
      </w:pPr>
      <w:r>
        <w:rPr>
          <w:rFonts w:ascii="Calibri" w:cs="Calibri" w:eastAsia="Calibri" w:hAnsi="Calibri"/>
          <w:sz w:val="16"/>
          <w:szCs w:val="16"/>
          <w:color w:val="auto"/>
        </w:rPr>
        <w:t>changes in accountng, U.S. or foreign tax, export or other laws, regulatons, and policies and their interpretaton or applicaton; and</w:t>
      </w:r>
    </w:p>
    <w:p>
      <w:pPr>
        <w:ind w:left="158" w:right="20" w:hanging="158"/>
        <w:spacing w:after="0" w:line="207" w:lineRule="auto"/>
        <w:tabs>
          <w:tab w:leader="none" w:pos="157" w:val="left"/>
        </w:tabs>
        <w:numPr>
          <w:ilvl w:val="0"/>
          <w:numId w:val="126"/>
        </w:numPr>
        <w:rPr>
          <w:rFonts w:ascii="Calibri" w:cs="Calibri" w:eastAsia="Calibri" w:hAnsi="Calibri"/>
          <w:sz w:val="16"/>
          <w:szCs w:val="16"/>
          <w:color w:val="auto"/>
        </w:rPr>
      </w:pPr>
      <w:r>
        <w:rPr>
          <w:rFonts w:ascii="Calibri" w:cs="Calibri" w:eastAsia="Calibri" w:hAnsi="Calibri"/>
          <w:sz w:val="16"/>
          <w:szCs w:val="16"/>
          <w:color w:val="auto"/>
        </w:rPr>
        <w:t>the outcome of legal proceedings, bid protests, environmental remediaton eforts, audits, government investgatons or government allegatons that the Company has failed to comply with law, other contngencies and U.S. Government identfcaton of defciencies in its business systems.</w:t>
      </w:r>
    </w:p>
    <w:p>
      <w:pPr>
        <w:spacing w:after="0" w:line="429" w:lineRule="exact"/>
        <w:rPr>
          <w:sz w:val="20"/>
          <w:szCs w:val="20"/>
          <w:color w:val="auto"/>
        </w:rPr>
      </w:pPr>
    </w:p>
    <w:p>
      <w:pPr>
        <w:sectPr>
          <w:pgSz w:w="11900" w:h="16838" w:orient="portrait"/>
          <w:cols w:equalWidth="0" w:num="2">
            <w:col w:w="5640" w:space="42"/>
            <w:col w:w="5558"/>
          </w:cols>
          <w:pgMar w:left="320" w:top="230" w:right="339" w:bottom="1440" w:gutter="0" w:footer="0" w:header="0"/>
          <w:type w:val="continuous"/>
        </w:sectPr>
      </w:pPr>
    </w:p>
    <w:p>
      <w:pPr>
        <w:ind w:right="80"/>
        <w:spacing w:after="0" w:line="217" w:lineRule="auto"/>
        <w:rPr>
          <w:sz w:val="20"/>
          <w:szCs w:val="20"/>
          <w:color w:val="auto"/>
        </w:rPr>
      </w:pPr>
      <w:r>
        <w:rPr>
          <w:rFonts w:ascii="Calibri" w:cs="Calibri" w:eastAsia="Calibri" w:hAnsi="Calibri"/>
          <w:sz w:val="16"/>
          <w:szCs w:val="16"/>
          <w:color w:val="auto"/>
        </w:rPr>
        <w:t xml:space="preserve">These are only some of the factors that may afect the forward-looking statements contained in this Proxy Statement. For a discussion identfying additonal important factors that could cause actual results to difer materially from those antcipated in the forward-looking statements, see our flings with the SEC including, “Management’s Discussion and Analysis of Financial Conditon and Results of Operatons” and “Risk Factors” in our Annual Report on Form 10-K for the year ended Dec. 31, 2022. Our flings may be accessed through the Investor Relatons page of our website, </w:t>
      </w:r>
      <w:r>
        <w:rPr>
          <w:rFonts w:ascii="Calibri" w:cs="Calibri" w:eastAsia="Calibri" w:hAnsi="Calibri"/>
          <w:sz w:val="16"/>
          <w:szCs w:val="16"/>
          <w:i w:val="1"/>
          <w:iCs w:val="1"/>
          <w:color w:val="auto"/>
        </w:rPr>
        <w:t>www.lockheedmartn.com/investor</w:t>
      </w:r>
      <w:r>
        <w:rPr>
          <w:rFonts w:ascii="Calibri" w:cs="Calibri" w:eastAsia="Calibri" w:hAnsi="Calibri"/>
          <w:sz w:val="16"/>
          <w:szCs w:val="16"/>
          <w:color w:val="auto"/>
        </w:rPr>
        <w:t>, or through the website maintained by the SEC at</w:t>
      </w:r>
    </w:p>
    <w:p>
      <w:pPr>
        <w:spacing w:after="0" w:line="215" w:lineRule="auto"/>
        <w:rPr>
          <w:sz w:val="20"/>
          <w:szCs w:val="20"/>
          <w:color w:val="auto"/>
        </w:rPr>
      </w:pPr>
      <w:r>
        <w:rPr>
          <w:rFonts w:ascii="Calibri" w:cs="Calibri" w:eastAsia="Calibri" w:hAnsi="Calibri"/>
          <w:sz w:val="16"/>
          <w:szCs w:val="16"/>
          <w:i w:val="1"/>
          <w:iCs w:val="1"/>
          <w:color w:val="auto"/>
        </w:rPr>
        <w:t>www.sec.gov</w:t>
      </w:r>
      <w:r>
        <w:rPr>
          <w:rFonts w:ascii="Calibri" w:cs="Calibri" w:eastAsia="Calibri" w:hAnsi="Calibri"/>
          <w:sz w:val="16"/>
          <w:szCs w:val="16"/>
          <w:color w:val="auto"/>
        </w:rPr>
        <w:t>.</w:t>
      </w:r>
    </w:p>
    <w:p>
      <w:pPr>
        <w:spacing w:after="0" w:line="50" w:lineRule="exact"/>
        <w:rPr>
          <w:sz w:val="20"/>
          <w:szCs w:val="20"/>
          <w:color w:val="auto"/>
        </w:rPr>
      </w:pPr>
    </w:p>
    <w:p>
      <w:pPr>
        <w:spacing w:after="0" w:line="213" w:lineRule="auto"/>
        <w:rPr>
          <w:sz w:val="20"/>
          <w:szCs w:val="20"/>
          <w:color w:val="auto"/>
        </w:rPr>
      </w:pPr>
      <w:r>
        <w:rPr>
          <w:rFonts w:ascii="Calibri" w:cs="Calibri" w:eastAsia="Calibri" w:hAnsi="Calibri"/>
          <w:sz w:val="16"/>
          <w:szCs w:val="16"/>
          <w:color w:val="auto"/>
        </w:rPr>
        <w:t>Our actual fnancial results likely will be diferent from those projected due to the inherent nature of projectons. Given these uncertaintes, forward-looking statements should not be relied on in making investment decisions. The forward-looking statements contained in this Proxy Statement speak only as of the date of its fling. Except where required by applicable law, we expressly disclaim a duty to provide updates to forward-looking statements afer the date of this Proxy Statement to refect subsequent events, changed circumstances, changes in expectatons, or the estmates and assumptons associated with them. The forward-looking statements in this Proxy Statement are intended to be subject to the safe harbor protecton provided by the federal securites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258445</wp:posOffset>
            </wp:positionV>
            <wp:extent cx="1071880" cy="1803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071880" cy="1803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959595"/>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267970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25"/>
          <w:szCs w:val="25"/>
          <w:color w:val="003478"/>
        </w:rPr>
        <w:t>Sustainability Awards and Recognitions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337756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3775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568960</wp:posOffset>
            </wp:positionV>
            <wp:extent cx="1534160" cy="6597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53416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565"/>
        <w:spacing w:after="0" w:line="321" w:lineRule="auto"/>
        <w:rPr>
          <w:sz w:val="20"/>
          <w:szCs w:val="20"/>
          <w:color w:val="auto"/>
        </w:rPr>
      </w:pPr>
      <w:r>
        <w:rPr>
          <w:rFonts w:ascii="Arial" w:cs="Arial" w:eastAsia="Arial" w:hAnsi="Arial"/>
          <w:sz w:val="16"/>
          <w:szCs w:val="16"/>
          <w:color w:val="003478"/>
        </w:rPr>
        <w:t>Dow Jones Sustainability Indices World Index and North American Index Ranking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1139825" cy="5657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1398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003478"/>
        </w:rPr>
        <w:t>ENERGY STAR 2022 Partner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003478"/>
        </w:rPr>
        <w:t>Year Sustained Excellence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565785" cy="5657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003478"/>
        </w:rPr>
        <w:t>Department of Labor 2022 HIRE Vets Gold Medallion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243840</wp:posOffset>
            </wp:positionV>
            <wp:extent cx="471805" cy="5657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18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003478"/>
        </w:rPr>
        <w:t>JUST Capital: Included in the JUST 100 for fourth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1049655</wp:posOffset>
            </wp:positionV>
            <wp:extent cx="337756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003478"/>
        </w:rPr>
        <w:t>Lockheed Martin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03478"/>
        </w:rPr>
        <w:t>6801 Rockledge Drive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03478"/>
        </w:rPr>
        <w:t>Bethesda, MD 20817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3478"/>
        </w:rPr>
        <w:t>www.lockheedmartin.com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331724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475C90"/>
        </w:rPr>
        <w:t>© 2023 Lockheed Martin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Forbes Best Employers for New Grads</w:t>
      </w:r>
    </w:p>
    <w:p>
      <w:pPr>
        <w:spacing w:after="0" w:line="8"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Forbes Best Employers for Diversity</w:t>
      </w:r>
    </w:p>
    <w:p>
      <w:pPr>
        <w:spacing w:after="0" w:line="21"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Forbes America’s Best Large Employers</w:t>
      </w:r>
    </w:p>
    <w:p>
      <w:pPr>
        <w:spacing w:after="0" w:line="8"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Forbes #1 for Workers in Aerospace and Defense</w:t>
      </w:r>
    </w:p>
    <w:p>
      <w:pPr>
        <w:spacing w:after="0" w:line="8"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Forbes Best Employers for Veterans</w:t>
      </w:r>
    </w:p>
    <w:p>
      <w:pPr>
        <w:spacing w:after="0" w:line="21"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Forbes World’s Best Employers</w:t>
      </w:r>
    </w:p>
    <w:p>
      <w:pPr>
        <w:spacing w:after="0" w:line="8"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Forbes America’s Best Employers by State</w:t>
      </w:r>
    </w:p>
    <w:p>
      <w:pPr>
        <w:spacing w:after="0" w:line="25" w:lineRule="exact"/>
        <w:rPr>
          <w:rFonts w:ascii="Calibri" w:cs="Calibri" w:eastAsia="Calibri" w:hAnsi="Calibri"/>
          <w:sz w:val="17"/>
          <w:szCs w:val="17"/>
          <w:color w:val="auto"/>
        </w:rPr>
      </w:pPr>
    </w:p>
    <w:p>
      <w:pPr>
        <w:ind w:left="155" w:right="180" w:hanging="155"/>
        <w:spacing w:after="0" w:line="245" w:lineRule="auto"/>
        <w:tabs>
          <w:tab w:leader="none" w:pos="148"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Ranked in the Top 100 of JUST Capital’s 2022 Workforce Equity and Mobility Ranking</w:t>
      </w:r>
    </w:p>
    <w:p>
      <w:pPr>
        <w:spacing w:after="0" w:line="21" w:lineRule="exact"/>
        <w:rPr>
          <w:rFonts w:ascii="Calibri" w:cs="Calibri" w:eastAsia="Calibri" w:hAnsi="Calibri"/>
          <w:sz w:val="17"/>
          <w:szCs w:val="17"/>
          <w:color w:val="auto"/>
        </w:rPr>
      </w:pPr>
    </w:p>
    <w:p>
      <w:pPr>
        <w:ind w:left="155" w:right="360" w:hanging="155"/>
        <w:spacing w:after="0" w:line="245" w:lineRule="auto"/>
        <w:tabs>
          <w:tab w:leader="none" w:pos="148"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Minority Engineer Reader’s Choice Awards Top 50 Employers for Minority Engineers</w:t>
      </w:r>
    </w:p>
    <w:p>
      <w:pPr>
        <w:spacing w:after="0" w:line="18"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American Business Award bronze award for diversity and inclusion</w:t>
      </w:r>
    </w:p>
    <w:p>
      <w:pPr>
        <w:spacing w:after="0" w:line="8"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LinkedIn Top Companies to grow your career</w:t>
      </w:r>
    </w:p>
    <w:p>
      <w:pPr>
        <w:spacing w:after="0" w:line="25" w:lineRule="exact"/>
        <w:rPr>
          <w:rFonts w:ascii="Calibri" w:cs="Calibri" w:eastAsia="Calibri" w:hAnsi="Calibri"/>
          <w:sz w:val="17"/>
          <w:szCs w:val="17"/>
          <w:color w:val="auto"/>
        </w:rPr>
      </w:pPr>
    </w:p>
    <w:p>
      <w:pPr>
        <w:ind w:left="155" w:right="340" w:hanging="155"/>
        <w:spacing w:after="0" w:line="245" w:lineRule="auto"/>
        <w:tabs>
          <w:tab w:leader="none" w:pos="148"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Equal Opportunity Reader’s Choice Awards Top 50 Employers for Equal Opportunity</w:t>
      </w:r>
    </w:p>
    <w:p>
      <w:pPr>
        <w:spacing w:after="0" w:line="8" w:lineRule="exact"/>
        <w:rPr>
          <w:rFonts w:ascii="Calibri" w:cs="Calibri" w:eastAsia="Calibri" w:hAnsi="Calibri"/>
          <w:sz w:val="17"/>
          <w:szCs w:val="17"/>
          <w:color w:val="auto"/>
        </w:rPr>
      </w:pPr>
    </w:p>
    <w:p>
      <w:pPr>
        <w:ind w:left="155" w:right="1440" w:hanging="155"/>
        <w:spacing w:after="0" w:line="257" w:lineRule="auto"/>
        <w:tabs>
          <w:tab w:leader="none" w:pos="148"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Woman Engineer Reader’s Choice Awards Top 50 Employers for Women</w:t>
      </w: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Named One of Fortune’s World’s Most Admired Companies</w:t>
      </w:r>
    </w:p>
    <w:p>
      <w:pPr>
        <w:spacing w:after="0" w:line="21"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Natonal Organizaton on Disability 2022 Leading Disability Employers</w:t>
      </w:r>
    </w:p>
    <w:p>
      <w:pPr>
        <w:spacing w:after="0" w:line="8"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Military.com Top 25 Employers for Veterans</w:t>
      </w:r>
    </w:p>
    <w:p>
      <w:pPr>
        <w:spacing w:after="0" w:line="21"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Gold Hermes Award Winner in the Educatonal Category</w:t>
      </w:r>
    </w:p>
    <w:p>
      <w:pPr>
        <w:spacing w:after="0" w:line="8"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Human Rights Campaign Best Places to Work for LGBTQIA+ Equality</w:t>
      </w:r>
    </w:p>
    <w:p>
      <w:pPr>
        <w:spacing w:after="0" w:line="21" w:lineRule="exact"/>
        <w:rPr>
          <w:rFonts w:ascii="Calibri" w:cs="Calibri" w:eastAsia="Calibri" w:hAnsi="Calibri"/>
          <w:sz w:val="17"/>
          <w:szCs w:val="17"/>
          <w:color w:val="auto"/>
        </w:rPr>
      </w:pPr>
    </w:p>
    <w:p>
      <w:pPr>
        <w:ind w:left="155" w:hanging="155"/>
        <w:spacing w:after="0"/>
        <w:tabs>
          <w:tab w:leader="none" w:pos="155"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Ranked in the U.S. EPA Green Power Partnership Natonal Top 100</w:t>
      </w:r>
    </w:p>
    <w:p>
      <w:pPr>
        <w:spacing w:after="0" w:line="11" w:lineRule="exact"/>
        <w:rPr>
          <w:rFonts w:ascii="Calibri" w:cs="Calibri" w:eastAsia="Calibri" w:hAnsi="Calibri"/>
          <w:sz w:val="17"/>
          <w:szCs w:val="17"/>
          <w:color w:val="auto"/>
        </w:rPr>
      </w:pPr>
    </w:p>
    <w:p>
      <w:pPr>
        <w:ind w:left="155" w:right="420" w:hanging="155"/>
        <w:spacing w:after="0" w:line="261" w:lineRule="auto"/>
        <w:tabs>
          <w:tab w:leader="none" w:pos="148" w:val="left"/>
        </w:tabs>
        <w:numPr>
          <w:ilvl w:val="0"/>
          <w:numId w:val="127"/>
        </w:numPr>
        <w:rPr>
          <w:rFonts w:ascii="Calibri" w:cs="Calibri" w:eastAsia="Calibri" w:hAnsi="Calibri"/>
          <w:sz w:val="17"/>
          <w:szCs w:val="17"/>
          <w:color w:val="auto"/>
        </w:rPr>
      </w:pPr>
      <w:r>
        <w:rPr>
          <w:rFonts w:ascii="Calibri" w:cs="Calibri" w:eastAsia="Calibri" w:hAnsi="Calibri"/>
          <w:sz w:val="17"/>
          <w:szCs w:val="17"/>
          <w:color w:val="auto"/>
        </w:rPr>
        <w:t>Ranked in the U.S. EPA Green Power Partnership Top 30 On-site Generaton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3789680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1264920</wp:posOffset>
            </wp:positionV>
            <wp:extent cx="339471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-3912235</wp:posOffset>
            </wp:positionV>
            <wp:extent cx="339471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9471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1993900</wp:posOffset>
            </wp:positionV>
            <wp:extent cx="1440180" cy="6515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440180" cy="651510"/>
                    </a:xfrm>
                    <a:prstGeom prst="rect">
                      <a:avLst/>
                    </a:prstGeom>
                    <a:noFill/>
                  </pic:spPr>
                </pic:pic>
              </a:graphicData>
            </a:graphic>
          </wp:anchor>
        </w:drawing>
      </w:r>
    </w:p>
    <w:p>
      <w:pPr>
        <w:sectPr>
          <w:pgSz w:w="11900" w:h="16838" w:orient="portrait"/>
          <w:cols w:equalWidth="0" w:num="2">
            <w:col w:w="5145" w:space="720"/>
            <w:col w:w="5075"/>
          </w:cols>
          <w:pgMar w:left="340" w:top="1346" w:right="619" w:bottom="1440"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9257030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833755</wp:posOffset>
            </wp:positionH>
            <wp:positionV relativeFrom="page">
              <wp:posOffset>843280</wp:posOffset>
            </wp:positionV>
            <wp:extent cx="5880735" cy="761238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9257030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833755</wp:posOffset>
            </wp:positionH>
            <wp:positionV relativeFrom="page">
              <wp:posOffset>843280</wp:posOffset>
            </wp:positionV>
            <wp:extent cx="5880735" cy="761238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9257030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833755</wp:posOffset>
            </wp:positionH>
            <wp:positionV relativeFrom="page">
              <wp:posOffset>843280</wp:posOffset>
            </wp:positionV>
            <wp:extent cx="5880735" cy="761238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833755</wp:posOffset>
            </wp:positionH>
            <wp:positionV relativeFrom="page">
              <wp:posOffset>843280</wp:posOffset>
            </wp:positionV>
            <wp:extent cx="5880735" cy="761238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6123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1"/>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1)"/>
      <w:numFmt w:val="lowerLetter"/>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
      <w:numFmt w:val="bullet"/>
      <w:start w:val="1"/>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1"/>
      <w:numFmt w:val="decimal"/>
      <w:start w:val="42"/>
    </w:lvl>
  </w:abstractNum>
  <w:abstractNum w:abstractNumId="60">
    <w:nsid w:val="60EF0119"/>
    <w:multiLevelType w:val="hybridMultilevel"/>
    <w:lvl w:ilvl="0">
      <w:lvlJc w:val="left"/>
      <w:lvlText w:val="%1"/>
      <w:numFmt w:val="decimal"/>
      <w:start w:val="45"/>
    </w:lvl>
  </w:abstractNum>
  <w:abstractNum w:abstractNumId="61">
    <w:nsid w:val="26F324BA"/>
    <w:multiLevelType w:val="hybridMultilevel"/>
    <w:lvl w:ilvl="0">
      <w:lvlJc w:val="left"/>
      <w:lvlText w:val="%1"/>
      <w:numFmt w:val="decimal"/>
      <w:start w:val="47"/>
    </w:lvl>
  </w:abstractNum>
  <w:abstractNum w:abstractNumId="62">
    <w:nsid w:val="7F01579B"/>
    <w:multiLevelType w:val="hybridMultilevel"/>
    <w:lvl w:ilvl="0">
      <w:lvlJc w:val="left"/>
      <w:lvlText w:val="%1"/>
      <w:numFmt w:val="decimal"/>
      <w:start w:val="54"/>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1)"/>
      <w:numFmt w:val="decimal"/>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1)"/>
      <w:numFmt w:val="decimal"/>
      <w:start w:val="1"/>
    </w:lvl>
  </w:abstractNum>
  <w:abstractNum w:abstractNumId="84">
    <w:nsid w:val="1FBFE8E0"/>
    <w:multiLevelType w:val="hybridMultilevel"/>
    <w:lvl w:ilvl="0">
      <w:lvlJc w:val="left"/>
      <w:lvlText w:val="(%1)"/>
      <w:numFmt w:val="decimal"/>
      <w:start w:val="5"/>
    </w:lvl>
  </w:abstractNum>
  <w:abstractNum w:abstractNumId="85">
    <w:nsid w:val="5092CA79"/>
    <w:multiLevelType w:val="hybridMultilevel"/>
    <w:lvl w:ilvl="0">
      <w:lvlJc w:val="left"/>
      <w:lvlText w:val="(%1)"/>
      <w:numFmt w:val="decimal"/>
      <w:start w:val="5"/>
    </w:lvl>
    <w:lvl w:ilvl="1">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1)"/>
      <w:numFmt w:val="decimal"/>
      <w:start w:val="1"/>
    </w:lvl>
  </w:abstractNum>
  <w:abstractNum w:abstractNumId="88">
    <w:nsid w:val="288F1A34"/>
    <w:multiLevelType w:val="hybridMultilevel"/>
    <w:lvl w:ilvl="0">
      <w:lvlJc w:val="left"/>
      <w:lvlText w:val="(%1)"/>
      <w:numFmt w:val="decimal"/>
      <w:start w:val="3"/>
    </w:lvl>
  </w:abstractNum>
  <w:abstractNum w:abstractNumId="89">
    <w:nsid w:val="2A155DBC"/>
    <w:multiLevelType w:val="hybridMultilevel"/>
    <w:lvl w:ilvl="0">
      <w:lvlJc w:val="left"/>
      <w:lvlText w:val="(%1)"/>
      <w:numFmt w:val="decimal"/>
      <w:start w:val="1"/>
    </w:lvl>
  </w:abstractNum>
  <w:abstractNum w:abstractNumId="90">
    <w:nsid w:val="1D9F6E5F"/>
    <w:multiLevelType w:val="hybridMultilevel"/>
    <w:lvl w:ilvl="0">
      <w:lvlJc w:val="left"/>
      <w:lvlText w:val="(%1)"/>
      <w:numFmt w:val="decimal"/>
      <w:start w:val="4"/>
    </w:lvl>
  </w:abstractNum>
  <w:abstractNum w:abstractNumId="91">
    <w:nsid w:val="97E1B4E"/>
    <w:multiLevelType w:val="hybridMultilevel"/>
    <w:lvl w:ilvl="0">
      <w:lvlJc w:val="left"/>
      <w:lvlText w:val="(%1)"/>
      <w:numFmt w:val="decimal"/>
      <w:start w:val="1"/>
    </w:lvl>
  </w:abstractNum>
  <w:abstractNum w:abstractNumId="92">
    <w:nsid w:val="51088277"/>
    <w:multiLevelType w:val="hybridMultilevel"/>
    <w:lvl w:ilvl="0">
      <w:lvlJc w:val="left"/>
      <w:lvlText w:val="(%1)"/>
      <w:numFmt w:val="decimal"/>
      <w:start w:val="1"/>
    </w:lvl>
  </w:abstractNum>
  <w:abstractNum w:abstractNumId="93">
    <w:nsid w:val="1CA0C5FA"/>
    <w:multiLevelType w:val="hybridMultilevel"/>
    <w:lvl w:ilvl="0">
      <w:lvlJc w:val="left"/>
      <w:lvlText w:val="(%1)"/>
      <w:numFmt w:val="decimal"/>
      <w:start w:val="1"/>
    </w:lvl>
  </w:abstractNum>
  <w:abstractNum w:abstractNumId="94">
    <w:nsid w:val="53584BCB"/>
    <w:multiLevelType w:val="hybridMultilevel"/>
    <w:lvl w:ilvl="0">
      <w:lvlJc w:val="left"/>
      <w:lvlText w:val="(%1)"/>
      <w:numFmt w:val="decimal"/>
      <w:start w:val="1"/>
    </w:lvl>
  </w:abstractNum>
  <w:abstractNum w:abstractNumId="95">
    <w:nsid w:val="415E286C"/>
    <w:multiLevelType w:val="hybridMultilevel"/>
    <w:lvl w:ilvl="0">
      <w:lvlJc w:val="left"/>
      <w:lvlText w:val="(%1)"/>
      <w:numFmt w:val="decimal"/>
      <w:start w:val="1"/>
    </w:lvl>
  </w:abstractNum>
  <w:abstractNum w:abstractNumId="96">
    <w:nsid w:val="7C58FD05"/>
    <w:multiLevelType w:val="hybridMultilevel"/>
    <w:lvl w:ilvl="0">
      <w:lvlJc w:val="left"/>
      <w:lvlText w:val="(%1)"/>
      <w:numFmt w:val="decimal"/>
      <w:start w:val="2"/>
    </w:lvl>
  </w:abstractNum>
  <w:abstractNum w:abstractNumId="97">
    <w:nsid w:val="23D86AAC"/>
    <w:multiLevelType w:val="hybridMultilevel"/>
    <w:lvl w:ilvl="0">
      <w:lvlJc w:val="left"/>
      <w:lvlText w:val="(%1)"/>
      <w:numFmt w:val="decimal"/>
      <w:start w:val="1"/>
    </w:lvl>
  </w:abstractNum>
  <w:abstractNum w:abstractNumId="98">
    <w:nsid w:val="45E6D486"/>
    <w:multiLevelType w:val="hybridMultilevel"/>
    <w:lvl w:ilvl="0">
      <w:lvlJc w:val="left"/>
      <w:lvlText w:val="(%1)"/>
      <w:numFmt w:val="decimal"/>
      <w:start w:val="3"/>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1)"/>
      <w:numFmt w:val="decimal"/>
      <w:start w:val="1"/>
    </w:lvl>
  </w:abstractNum>
  <w:abstractNum w:abstractNumId="101">
    <w:nsid w:val="3C5991AA"/>
    <w:multiLevelType w:val="hybridMultilevel"/>
    <w:lvl w:ilvl="0">
      <w:lvlJc w:val="left"/>
      <w:lvlText w:val="(%1)"/>
      <w:numFmt w:val="decimal"/>
      <w:start w:val="1"/>
    </w:lvl>
  </w:abstractNum>
  <w:abstractNum w:abstractNumId="102">
    <w:nsid w:val="4BD8591A"/>
    <w:multiLevelType w:val="hybridMultilevel"/>
    <w:lvl w:ilvl="0">
      <w:lvlJc w:val="left"/>
      <w:lvlText w:val="(%1)"/>
      <w:numFmt w:val="decimal"/>
      <w:start w:val="8"/>
    </w:lvl>
  </w:abstractNum>
  <w:abstractNum w:abstractNumId="103">
    <w:nsid w:val="78DF6A55"/>
    <w:multiLevelType w:val="hybridMultilevel"/>
    <w:lvl w:ilvl="0">
      <w:lvlJc w:val="left"/>
      <w:lvlText w:val="(%1)"/>
      <w:numFmt w:val="decimal"/>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1)"/>
      <w:numFmt w:val="lowerLetter"/>
      <w:start w:val="1"/>
    </w:lvl>
  </w:abstractNum>
  <w:abstractNum w:abstractNumId="106">
    <w:nsid w:val="6C80EC70"/>
    <w:multiLevelType w:val="hybridMultilevel"/>
    <w:lvl w:ilvl="0">
      <w:lvlJc w:val="left"/>
      <w:lvlText w:val="1"/>
      <w:numFmt w:val="bullet"/>
      <w:start w:val="1"/>
    </w:lvl>
  </w:abstractNum>
  <w:abstractNum w:abstractNumId="107">
    <w:nsid w:val="379E21B5"/>
    <w:multiLevelType w:val="hybridMultilevel"/>
    <w:lvl w:ilvl="0">
      <w:lvlJc w:val="left"/>
      <w:lvlText w:val="%1"/>
      <w:numFmt w:val="decimal"/>
      <w:start w:val="1"/>
    </w:lvl>
    <w:lvl w:ilvl="1">
      <w:lvlJc w:val="left"/>
      <w:lvlText w:val="•"/>
      <w:numFmt w:val="bullet"/>
      <w:start w:val="1"/>
    </w:lvl>
  </w:abstractNum>
  <w:abstractNum w:abstractNumId="108">
    <w:nsid w:val="69E373"/>
    <w:multiLevelType w:val="hybridMultilevel"/>
    <w:lvl w:ilvl="0">
      <w:lvlJc w:val="left"/>
      <w:lvlText w:val="2"/>
      <w:numFmt w:val="bullet"/>
      <w:start w:val="1"/>
    </w:lvl>
  </w:abstractNum>
  <w:abstractNum w:abstractNumId="109">
    <w:nsid w:val="2C27173B"/>
    <w:multiLevelType w:val="hybridMultilevel"/>
    <w:lvl w:ilvl="0">
      <w:lvlJc w:val="left"/>
      <w:lvlText w:val="3"/>
      <w:numFmt w:val="bullet"/>
      <w:start w:val="1"/>
    </w:lvl>
  </w:abstractNum>
  <w:abstractNum w:abstractNumId="110">
    <w:nsid w:val="4C9B0904"/>
    <w:multiLevelType w:val="hybridMultilevel"/>
    <w:lvl w:ilvl="0">
      <w:lvlJc w:val="left"/>
      <w:lvlText w:val="4"/>
      <w:numFmt w:val="bullet"/>
      <w:start w:val="1"/>
    </w:lvl>
  </w:abstractNum>
  <w:abstractNum w:abstractNumId="111">
    <w:nsid w:val="6AA7B75C"/>
    <w:multiLevelType w:val="hybridMultilevel"/>
    <w:lvl w:ilvl="0">
      <w:lvlJc w:val="left"/>
      <w:lvlText w:val="•"/>
      <w:numFmt w:val="bullet"/>
      <w:start w:val="1"/>
    </w:lvl>
  </w:abstractNum>
  <w:abstractNum w:abstractNumId="112">
    <w:nsid w:val="1DF029D3"/>
    <w:multiLevelType w:val="hybridMultilevel"/>
    <w:lvl w:ilvl="0">
      <w:lvlJc w:val="left"/>
      <w:lvlText w:val="•"/>
      <w:numFmt w:val="bullet"/>
      <w:start w:val="1"/>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
      <w:numFmt w:val="bullet"/>
      <w:start w:val="1"/>
    </w:lvl>
  </w:abstractNum>
  <w:abstractNum w:abstractNumId="116">
    <w:nsid w:val="2708C9AF"/>
    <w:multiLevelType w:val="hybridMultilevel"/>
    <w:lvl w:ilvl="0">
      <w:lvlJc w:val="left"/>
      <w:lvlText w:val="(%1)"/>
      <w:numFmt w:val="decimal"/>
      <w:start w:val="1"/>
    </w:lvl>
  </w:abstractNum>
  <w:abstractNum w:abstractNumId="117">
    <w:nsid w:val="5B25ACE2"/>
    <w:multiLevelType w:val="hybridMultilevel"/>
    <w:lvl w:ilvl="0">
      <w:lvlJc w:val="left"/>
      <w:lvlText w:val="(%1)"/>
      <w:numFmt w:val="decimal"/>
      <w:start w:val="4"/>
    </w:lvl>
  </w:abstractNum>
  <w:abstractNum w:abstractNumId="118">
    <w:nsid w:val="175DFCF0"/>
    <w:multiLevelType w:val="hybridMultilevel"/>
    <w:lvl w:ilvl="0">
      <w:lvlJc w:val="left"/>
      <w:lvlText w:val="%1."/>
      <w:numFmt w:val="decimal"/>
      <w:start w:val="1"/>
    </w:lvl>
  </w:abstractNum>
  <w:abstractNum w:abstractNumId="119">
    <w:nsid w:val="4F97E3E4"/>
    <w:multiLevelType w:val="hybridMultilevel"/>
    <w:lvl w:ilvl="0">
      <w:lvlJc w:val="left"/>
      <w:lvlText w:val="•"/>
      <w:numFmt w:val="bullet"/>
      <w:start w:val="1"/>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1)"/>
      <w:numFmt w:val="lowerLetter"/>
      <w:start w:val="1"/>
    </w:lvl>
  </w:abstractNum>
  <w:abstractNum w:abstractNumId="122">
    <w:nsid w:val="5915FF32"/>
    <w:multiLevelType w:val="hybridMultilevel"/>
    <w:lvl w:ilvl="0">
      <w:lvlJc w:val="left"/>
      <w:lvlText w:val="•"/>
      <w:numFmt w:val="bullet"/>
      <w:start w:val="1"/>
    </w:lvl>
  </w:abstractNum>
  <w:abstractNum w:abstractNumId="123">
    <w:nsid w:val="56438D15"/>
    <w:multiLevelType w:val="hybridMultilevel"/>
    <w:lvl w:ilvl="0">
      <w:lvlJc w:val="left"/>
      <w:lvlText w:val="•"/>
      <w:numFmt w:val="bullet"/>
      <w:start w:val="1"/>
    </w:lvl>
  </w:abstractNum>
  <w:abstractNum w:abstractNumId="124">
    <w:nsid w:val="519E3149"/>
    <w:multiLevelType w:val="hybridMultilevel"/>
    <w:lvl w:ilvl="0">
      <w:lvlJc w:val="left"/>
      <w:lvlText w:val="•"/>
      <w:numFmt w:val="bullet"/>
      <w:start w:val="1"/>
    </w:lvl>
  </w:abstractNum>
  <w:abstractNum w:abstractNumId="125">
    <w:nsid w:val="2C6E4AFD"/>
    <w:multiLevelType w:val="hybridMultilevel"/>
    <w:lvl w:ilvl="0">
      <w:lvlJc w:val="left"/>
      <w:lvlText w:val="•"/>
      <w:numFmt w:val="bullet"/>
      <w:start w:val="1"/>
    </w:lvl>
  </w:abstractNum>
  <w:abstractNum w:abstractNumId="126">
    <w:nsid w:val="17A1B5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2023-03-14T13:16:15Z</dcterms:created>
  <dcterms:modified xsi:type="dcterms:W3CDTF">2023-03-14T13:16:15Z</dcterms:modified>
</cp:coreProperties>
</file>