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ind w:left="36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-234950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0"/>
        </w:trPr>
        <w:tc>
          <w:tcPr>
            <w:tcW w:w="632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5316220</wp:posOffset>
            </wp:positionH>
            <wp:positionV relativeFrom="paragraph">
              <wp:posOffset>-608330</wp:posOffset>
            </wp:positionV>
            <wp:extent cx="8255" cy="6089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8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4008120</wp:posOffset>
            </wp:positionH>
            <wp:positionV relativeFrom="paragraph">
              <wp:posOffset>-616585</wp:posOffset>
            </wp:positionV>
            <wp:extent cx="8255" cy="6172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7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4032885</wp:posOffset>
            </wp:positionH>
            <wp:positionV relativeFrom="paragraph">
              <wp:posOffset>-591820</wp:posOffset>
            </wp:positionV>
            <wp:extent cx="1266825" cy="5676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825" cy="567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36830</wp:posOffset>
            </wp:positionV>
            <wp:extent cx="6967855" cy="16205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855" cy="16205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sectPr>
          <w:pgSz w:w="11900" w:h="16859" w:orient="portrait"/>
          <w:cols w:equalWidth="0" w:num="2">
            <w:col w:w="2280" w:space="260"/>
            <w:col w:w="8540"/>
          </w:cols>
          <w:pgMar w:left="460" w:top="216" w:right="35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Evans Michele A</w:t>
        </w:r>
      </w:hyperlink>
    </w:p>
    <w:p>
      <w:pPr>
        <w:spacing w:after="0" w:line="28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6801 ROCKLEDGE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LOCKHEED MARTIN CORP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LMT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12/04/2020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5" w:right="620" w:firstLine="5"/>
        <w:spacing w:after="0" w:line="259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19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73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Executive Vice President</w:t>
      </w:r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sectPr>
          <w:pgSz w:w="11900" w:h="16859" w:orient="portrait"/>
          <w:cols w:equalWidth="0" w:num="3">
            <w:col w:w="3180" w:space="720"/>
            <w:col w:w="3220" w:space="605"/>
            <w:col w:w="3355"/>
          </w:cols>
          <w:pgMar w:left="460" w:top="216" w:right="359" w:bottom="0" w:gutter="0" w:footer="0" w:header="0"/>
          <w:type w:val="continuous"/>
        </w:sectPr>
      </w:pPr>
    </w:p>
    <w:p>
      <w:pPr>
        <w:spacing w:after="0" w:line="15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BETHESDA</w:t>
            </w: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MD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20817</w:t>
            </w: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7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-2473325</wp:posOffset>
            </wp:positionH>
            <wp:positionV relativeFrom="paragraph">
              <wp:posOffset>152400</wp:posOffset>
            </wp:positionV>
            <wp:extent cx="6967855" cy="247586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855" cy="2475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sectPr>
          <w:pgSz w:w="11900" w:h="16859" w:orient="portrait"/>
          <w:cols w:equalWidth="0" w:num="2">
            <w:col w:w="3740" w:space="160"/>
            <w:col w:w="7180"/>
          </w:cols>
          <w:pgMar w:left="460" w:top="216" w:right="35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ind w:left="1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jc w:val="center"/>
              <w:ind w:left="51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12/04/2020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6"/>
              </w:rPr>
              <w:t>M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0"/>
              </w:rPr>
              <w:t>145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0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5"/>
              <w:spacing w:after="0" w:line="3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3"/>
                <w:szCs w:val="33"/>
                <w:color w:val="000000"/>
                <w:w w:val="83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3"/>
                <w:szCs w:val="33"/>
                <w:color w:val="0000FF"/>
                <w:w w:val="83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3"/>
              </w:rPr>
              <w:t>(1)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145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12/04/2020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6"/>
              </w:rPr>
              <w:t>M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0"/>
              </w:rPr>
              <w:t>131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0"/>
                <w:vertAlign w:val="superscript"/>
              </w:rPr>
              <w:t>(2)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5"/>
              <w:spacing w:after="0" w:line="3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3"/>
                <w:szCs w:val="33"/>
                <w:color w:val="000000"/>
                <w:w w:val="83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3"/>
                <w:szCs w:val="33"/>
                <w:color w:val="0000FF"/>
                <w:w w:val="83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3"/>
              </w:rPr>
              <w:t>(2)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276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12/04/2020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6"/>
              </w:rPr>
              <w:t>M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36"/>
              <w:spacing w:after="0" w:line="31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3"/>
                <w:szCs w:val="33"/>
                <w:color w:val="0000FF"/>
                <w:w w:val="85"/>
                <w:vertAlign w:val="subscript"/>
              </w:rPr>
              <w:t>50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5"/>
              </w:rPr>
              <w:t>(3)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5"/>
              <w:spacing w:after="0" w:line="3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3"/>
                <w:szCs w:val="33"/>
                <w:color w:val="000000"/>
                <w:w w:val="83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3"/>
                <w:szCs w:val="33"/>
                <w:color w:val="0000FF"/>
                <w:w w:val="83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3"/>
              </w:rPr>
              <w:t>(3)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326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12/04/2020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F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36"/>
              <w:spacing w:after="0" w:line="31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3"/>
                <w:szCs w:val="33"/>
                <w:color w:val="0000FF"/>
                <w:w w:val="82"/>
                <w:vertAlign w:val="subscript"/>
              </w:rPr>
              <w:t>326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2"/>
              </w:rPr>
              <w:t>(4)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366.61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0.0000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Lockheed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Martin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jc w:val="center"/>
              <w:spacing w:after="0" w:line="20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416.4276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4"/>
                <w:vertAlign w:val="superscript"/>
              </w:rPr>
              <w:t>(5)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Salaried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Savings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center"/>
              <w:ind w:right="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10"/>
          </w:tcPr>
          <w:p>
            <w:pPr>
              <w:jc w:val="center"/>
              <w:ind w:left="4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82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lef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9"/>
              </w:rPr>
              <w:t>145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ind w:right="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12/04/2020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02/21/2022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3,721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left="2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87"/>
                <w:vertAlign w:val="subscript"/>
              </w:rPr>
              <w:t>50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7"/>
              </w:rPr>
              <w:t>(3)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ind w:right="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12/04/2020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02/22/2021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1,289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lef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84"/>
                <w:vertAlign w:val="subscript"/>
              </w:rPr>
              <w:t>131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(2)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ind w:right="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12/04/2020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02/27/2023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3,379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-2762885</wp:posOffset>
            </wp:positionV>
            <wp:extent cx="7033260" cy="280543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260" cy="2805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280" w:firstLine="3"/>
        <w:spacing w:after="0" w:line="243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the accelerated vesting of shares received upon the conversion of a portion of restricted stock units (RSUs) granted on February 21, 2019, with a value equal to the tax withholding obligation for the retirement-eligible reporting person and disposition to the Issuer of such shares to satisfy the reporting person's tax withholding obligation, which transactions are exempt under Rule 16b-3. The balance of the RSUs remain subject to continued vesting.</w:t>
      </w:r>
    </w:p>
    <w:p>
      <w:pPr>
        <w:spacing w:after="0" w:line="2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jc w:val="both"/>
        <w:ind w:left="40" w:right="280" w:firstLine="3"/>
        <w:spacing w:after="0" w:line="243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the accelerated vesting of shares received upon the conversion of a portion of restricted stock units (RSUs) granted on February 27, 2020, with a value equal to the tax withholding obligation for the retirement-eligible reporting person and disposition to the Issuer of such shares to satisfy the reporting person's tax withholding obligation, which transactions are exempt under Rule 16b-3. The balance of the RSUs remain subject to continued vesting.</w:t>
      </w:r>
    </w:p>
    <w:p>
      <w:pPr>
        <w:spacing w:after="0" w:line="2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jc w:val="both"/>
        <w:ind w:left="40" w:right="280" w:firstLine="3"/>
        <w:spacing w:after="0" w:line="243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the accelerated vesting of shares received upon the conversion of a portion of restricted stock units (RSUs) granted on February 22, 2018, with a value equal to the tax withholding obligation for the retirement-eligible reporting person and disposition to the Issuer of such shares to satisfy the reporting person's tax withholding obligation, which transactions are exempt under Rule 16b-3. The balance of the RSUs remain subject to continued vesting.</w:t>
      </w:r>
    </w:p>
    <w:p>
      <w:pPr>
        <w:spacing w:after="0" w:line="2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Disposition to the Issuer of shares to satisfy the reporting person's tax withholding obligation upon vesting and settlement of stock units which is exempt under Rule 16b-3.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End of period holdings include additional acquisitions through dividend reinvestment.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contingent right to receive one share of LMT common stock.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Michele A. Evans, by Kerri R.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5"/>
          <w:szCs w:val="25"/>
          <w:color w:val="0000FF"/>
          <w:vertAlign w:val="subscript"/>
        </w:rPr>
        <w:t>12/08/2020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-27305</wp:posOffset>
            </wp:positionV>
            <wp:extent cx="13068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68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Morey, Attorney-in-fact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-19685</wp:posOffset>
            </wp:positionV>
            <wp:extent cx="102616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6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5588000</wp:posOffset>
            </wp:positionH>
            <wp:positionV relativeFrom="paragraph">
              <wp:posOffset>-85725</wp:posOffset>
            </wp:positionV>
            <wp:extent cx="48704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60" w:firstLine="3"/>
        <w:spacing w:after="0" w:line="336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59" w:orient="portrait"/>
          <w:cols w:equalWidth="0" w:num="1">
            <w:col w:w="11080"/>
          </w:cols>
          <w:pgMar w:left="460" w:top="216" w:right="359" w:bottom="0" w:gutter="0" w:footer="0" w:header="0"/>
          <w:type w:val="continuous"/>
        </w:sectPr>
      </w:pPr>
    </w:p>
    <w:bookmarkStart w:id="1" w:name="page2"/>
    <w:bookmarkEnd w:id="1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755300" TargetMode="External"/><Relationship Id="rId14" Type="http://schemas.openxmlformats.org/officeDocument/2006/relationships/hyperlink" Target="http://www.sec.gov/cgi-bin/browse-edgar?action=getcompany&amp;CIK=00009364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2020-12-08T18:57:47Z</dcterms:created>
  <dcterms:modified xsi:type="dcterms:W3CDTF">2020-12-08T18:57:47Z</dcterms:modified>
</cp:coreProperties>
</file>